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4,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N-14</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REGISTRATION STATEMENT</w:t>
      </w:r>
    </w:p>
    <w:tbl>
      <w:tblPr>
        <w:tblLayout w:type="fixed"/>
        <w:tblInd w:w="3880" w:type="dxa"/>
        <w:tblCellMar>
          <w:top w:w="0" w:type="dxa"/>
          <w:left w:w="0" w:type="dxa"/>
          <w:bottom w:w="0" w:type="dxa"/>
          <w:right w:w="0" w:type="dxa"/>
        </w:tblCellMar>
      </w:tblPr>
      <w:tr>
        <w:trPr>
          <w:trHeight w:val="213"/>
        </w:trPr>
        <w:tc>
          <w:tcPr>
            <w:tcW w:w="5080" w:type="dxa"/>
            <w:vAlign w:val="bottom"/>
          </w:tcPr>
          <w:p>
            <w:pPr>
              <w:ind w:left="1360"/>
              <w:spacing w:after="0" w:line="213" w:lineRule="exact"/>
              <w:rPr>
                <w:sz w:val="20"/>
                <w:szCs w:val="20"/>
                <w:color w:val="auto"/>
              </w:rPr>
            </w:pPr>
            <w:r>
              <w:rPr>
                <w:rFonts w:ascii="Times New Roman" w:cs="Times New Roman" w:eastAsia="Times New Roman" w:hAnsi="Times New Roman"/>
                <w:sz w:val="22"/>
                <w:szCs w:val="22"/>
                <w:b w:val="1"/>
                <w:bCs w:val="1"/>
                <w:i w:val="1"/>
                <w:iCs w:val="1"/>
                <w:color w:val="auto"/>
              </w:rPr>
              <w:t>UNDER</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80" w:type="dxa"/>
            <w:vAlign w:val="bottom"/>
          </w:tcPr>
          <w:p>
            <w:pPr>
              <w:jc w:val="center"/>
              <w:ind w:right="1852"/>
              <w:spacing w:after="0" w:line="245" w:lineRule="exact"/>
              <w:rPr>
                <w:sz w:val="20"/>
                <w:szCs w:val="20"/>
                <w:color w:val="auto"/>
              </w:rPr>
            </w:pPr>
            <w:r>
              <w:rPr>
                <w:rFonts w:ascii="Times New Roman" w:cs="Times New Roman" w:eastAsia="Times New Roman" w:hAnsi="Times New Roman"/>
                <w:sz w:val="22"/>
                <w:szCs w:val="22"/>
                <w:b w:val="1"/>
                <w:bCs w:val="1"/>
                <w:i w:val="1"/>
                <w:iCs w:val="1"/>
                <w:color w:val="auto"/>
                <w:w w:val="98"/>
              </w:rPr>
              <w:t>THE SECURITIES ACT OF 1933</w:t>
            </w:r>
          </w:p>
        </w:tc>
        <w:tc>
          <w:tcPr>
            <w:tcW w:w="2120" w:type="dxa"/>
            <w:vAlign w:val="bottom"/>
            <w:vMerge w:val="restart"/>
          </w:tcPr>
          <w:p>
            <w:pPr>
              <w:ind w:left="19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0"/>
        </w:trPr>
        <w:tc>
          <w:tcPr>
            <w:tcW w:w="5080" w:type="dxa"/>
            <w:vAlign w:val="bottom"/>
          </w:tcPr>
          <w:p>
            <w:pPr>
              <w:jc w:val="center"/>
              <w:ind w:right="1872"/>
              <w:spacing w:after="0" w:line="221" w:lineRule="exact"/>
              <w:rPr>
                <w:sz w:val="20"/>
                <w:szCs w:val="20"/>
                <w:color w:val="auto"/>
              </w:rPr>
            </w:pPr>
            <w:r>
              <w:rPr>
                <w:rFonts w:ascii="Times New Roman" w:cs="Times New Roman" w:eastAsia="Times New Roman" w:hAnsi="Times New Roman"/>
                <w:sz w:val="22"/>
                <w:szCs w:val="22"/>
                <w:b w:val="1"/>
                <w:bCs w:val="1"/>
                <w:color w:val="auto"/>
                <w:w w:val="98"/>
              </w:rPr>
              <w:t>Pre-Effective Amendment No.</w:t>
            </w: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080" w:type="dxa"/>
            <w:vAlign w:val="bottom"/>
          </w:tcPr>
          <w:p>
            <w:pPr>
              <w:jc w:val="center"/>
              <w:ind w:right="1852"/>
              <w:spacing w:after="0"/>
              <w:rPr>
                <w:sz w:val="20"/>
                <w:szCs w:val="20"/>
                <w:color w:val="auto"/>
              </w:rPr>
            </w:pPr>
            <w:r>
              <w:rPr>
                <w:rFonts w:ascii="Times New Roman" w:cs="Times New Roman" w:eastAsia="Times New Roman" w:hAnsi="Times New Roman"/>
                <w:sz w:val="22"/>
                <w:szCs w:val="22"/>
                <w:b w:val="1"/>
                <w:bCs w:val="1"/>
                <w:color w:val="auto"/>
                <w:w w:val="97"/>
              </w:rPr>
              <w:t>Post-Effective Amendment No.</w:t>
            </w:r>
          </w:p>
        </w:tc>
        <w:tc>
          <w:tcPr>
            <w:tcW w:w="2120" w:type="dxa"/>
            <w:vAlign w:val="bottom"/>
          </w:tcPr>
          <w:p>
            <w:pPr>
              <w:ind w:left="19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6"/>
        </w:trPr>
        <w:tc>
          <w:tcPr>
            <w:tcW w:w="5080" w:type="dxa"/>
            <w:vAlign w:val="bottom"/>
          </w:tcPr>
          <w:p>
            <w:pPr>
              <w:jc w:val="center"/>
              <w:ind w:right="1872"/>
              <w:spacing w:after="0"/>
              <w:rPr>
                <w:sz w:val="20"/>
                <w:szCs w:val="20"/>
                <w:color w:val="auto"/>
              </w:rPr>
            </w:pPr>
            <w:r>
              <w:rPr>
                <w:rFonts w:ascii="Times New Roman" w:cs="Times New Roman" w:eastAsia="Times New Roman" w:hAnsi="Times New Roman"/>
                <w:sz w:val="22"/>
                <w:szCs w:val="22"/>
                <w:b w:val="1"/>
                <w:bCs w:val="1"/>
                <w:color w:val="auto"/>
                <w:w w:val="97"/>
              </w:rPr>
              <w:t>(Check appropriate box or boxes)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(469) 621-3001</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(Number, Street, City, State, Zip Code))</w:t>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Joshua Peck</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Rajib Chanda, Esq.</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Steven Grigoriou, Esq.</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Jonathan Pacheco, Esq.</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900 G Street, N.W.</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Proposed Public Offering: </w:t>
      </w:r>
      <w:r>
        <w:rPr>
          <w:rFonts w:ascii="Times New Roman" w:cs="Times New Roman" w:eastAsia="Times New Roman" w:hAnsi="Times New Roman"/>
          <w:sz w:val="18"/>
          <w:szCs w:val="18"/>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complete the exchange offers and issue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4, 2024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Offer to Exchange</w:t>
      </w:r>
    </w:p>
    <w:p>
      <w:pPr>
        <w:spacing w:after="0" w:line="81" w:lineRule="exact"/>
        <w:rPr>
          <w:sz w:val="20"/>
          <w:szCs w:val="20"/>
          <w:color w:val="auto"/>
        </w:rPr>
      </w:pPr>
    </w:p>
    <w:p>
      <w:pPr>
        <w:ind w:left="2500" w:right="2380"/>
        <w:spacing w:after="0" w:line="286" w:lineRule="auto"/>
        <w:rPr>
          <w:sz w:val="20"/>
          <w:szCs w:val="20"/>
          <w:color w:val="auto"/>
        </w:rPr>
      </w:pPr>
      <w:r>
        <w:rPr>
          <w:rFonts w:ascii="Times New Roman" w:cs="Times New Roman" w:eastAsia="Times New Roman" w:hAnsi="Times New Roman"/>
          <w:sz w:val="21"/>
          <w:szCs w:val="21"/>
          <w:b w:val="1"/>
          <w:bCs w:val="1"/>
          <w:color w:val="auto"/>
        </w:rPr>
        <w:t>$750,000,000 aggregate principal amount of 6.500% Notes due 2029 $600,000,000 aggregate principal amount of 5.750% Notes due 2030</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For</w:t>
      </w:r>
    </w:p>
    <w:p>
      <w:pPr>
        <w:spacing w:after="0" w:line="98" w:lineRule="exact"/>
        <w:rPr>
          <w:sz w:val="20"/>
          <w:szCs w:val="20"/>
          <w:color w:val="auto"/>
        </w:rPr>
      </w:pPr>
    </w:p>
    <w:p>
      <w:pPr>
        <w:jc w:val="center"/>
        <w:ind w:left="440" w:right="2380"/>
        <w:spacing w:after="0" w:line="246" w:lineRule="auto"/>
        <w:rPr>
          <w:sz w:val="20"/>
          <w:szCs w:val="20"/>
          <w:color w:val="auto"/>
        </w:rPr>
      </w:pPr>
      <w:r>
        <w:rPr>
          <w:rFonts w:ascii="Times New Roman" w:cs="Times New Roman" w:eastAsia="Times New Roman" w:hAnsi="Times New Roman"/>
          <w:sz w:val="22"/>
          <w:szCs w:val="22"/>
          <w:b w:val="1"/>
          <w:bCs w:val="1"/>
          <w:color w:val="auto"/>
        </w:rPr>
        <w:t>$750,000,000 aggregate principal amount of 6.500% Notes due 2029 $600,000,000 aggregate principal amount of 5.750% Notes due 2030 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Sixth Street Lending Partners (the “Company,” “we,” “us,” or “our”) is offering to exchange all of its outstanding (i) 6.500% Notes due 2029 that were issued in transactions not requiring registration under the Securities Act of 1933, as amended (the “1933 Act”) on March 11, 2024, and June 17, 2024 (the “6.500% Restricted Notes”) and (ii) 5.750% Notes due 2030 that were issued in a transaction not requiring registration under the 1933 Act on September 16, 2024 (the “5.750% Restricted Notes” and together with the 6.500% Restricted Notes, the “Restricted Notes”), for an equal aggregate principal amount of its new (a) 6.500% Notes due 2029 (the “6.500% Exchange Notes”) and (b) 5.750% Notes due 2030 (the “5.750% Exchange Notes” and together with the 6.500% Exchange Notes, the “Exchange Notes”), respectively, that have been registered with the Securities and Exchange Commission (the “SEC”) under the 1933 Act. We refer to the 6.500% Restricted Notes and the 6.500% Exchange Notes together as the “6.500% Notes” and the 5.750% Restricted Notes and the 5.750% Exchange Notes together as the “5.750% Notes.” We refer to the Restricted Notes and the Exchange Notes collectively as the “Notes.”</w:t>
      </w:r>
    </w:p>
    <w:p>
      <w:pPr>
        <w:spacing w:after="0" w:line="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you participate in the exchange offer, you will receive Exchange Notes for your Restricted Notes that are validly tendered. The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w:t>
      </w:r>
    </w:p>
    <w:p>
      <w:pPr>
        <w:spacing w:after="0" w:line="6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MATERIAL TERMS OF THE EXCHANGE OFFER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offer expires at 11:59 p.m., New York City time, on             , 2024, unless extended.</w:t>
      </w:r>
    </w:p>
    <w:p>
      <w:pPr>
        <w:spacing w:after="0" w:line="11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exchange all 6.500% Restricted Notes and 5.750% Restricted Notes that are validly tendered and not withdrawn prior to the expiration of the exchange offer for the 6.500% Exchange Notes and 5.750% Exchange Notes, respectively. You may withdraw tendered Restricted Notes at any time prior to the expiration of the exchange offer.</w:t>
      </w:r>
    </w:p>
    <w:p>
      <w:pPr>
        <w:spacing w:after="0" w:line="6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only conditions to completing the exchange offer are that the exchange offer not violate any applicable law or applicable interpretation of the staff of the SEC and that no injunction, order or decree has been or is issued that would prohibit, prevent or materially impair our ability to complete the exchange offer.</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cash proceeds from the exchange offer.</w:t>
      </w:r>
    </w:p>
    <w:p>
      <w:pPr>
        <w:spacing w:after="0" w:line="11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There is no active trading market for the Restricted Notes, and we do not intend to list the Exchange Notes on any securities exchange or to seek approval for quotations through any automated dealer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the Exchange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12 of this prospectus.</w:t>
      </w:r>
    </w:p>
    <w:p>
      <w:pPr>
        <w:spacing w:after="0" w:line="107"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Exchange Notes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 dealer, salesperson or other person is authorized to give any information or to represent anything not contained in this prospectus. You must not rely on any unauthorized information or representations. This prospectus is an offer to sell only the Exchange Notes offered hereby, but only under circumstances and in jurisdictions where it is lawful to do so. The information contained in this prospectus is current only as of its date.</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28"/>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8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THE EXCHANGE OFFER</w:t>
            </w:r>
          </w:p>
        </w:tc>
        <w:tc>
          <w:tcPr>
            <w:tcW w:w="534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EXCHANGE NOTES</w:t>
            </w:r>
          </w:p>
        </w:tc>
        <w:tc>
          <w:tcPr>
            <w:tcW w:w="71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CERTAIN MATERIAL U.S. FEDERAL INCOME TAX CONSIDERATIONS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3560" w:type="dxa"/>
            <w:vAlign w:val="bottom"/>
            <w:tcBorders>
              <w:top w:val="single" w:sz="8" w:color="0000EE"/>
            </w:tcBorders>
            <w:gridSpan w:val="13"/>
          </w:tcPr>
          <w:p>
            <w:pPr>
              <w:spacing w:after="0"/>
              <w:rPr>
                <w:sz w:val="17"/>
                <w:szCs w:val="17"/>
                <w:color w:val="auto"/>
              </w:rPr>
            </w:pPr>
          </w:p>
        </w:tc>
        <w:tc>
          <w:tcPr>
            <w:tcW w:w="50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614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760" w:type="dxa"/>
            <w:vAlign w:val="bottom"/>
            <w:tcBorders>
              <w:top w:val="single" w:sz="8" w:color="0000EE"/>
            </w:tcBorders>
            <w:gridSpan w:val="2"/>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60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BUSINESS OF THE COMPANY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REGULATION OF THE COMPANY</w:t>
            </w:r>
          </w:p>
        </w:tc>
        <w:tc>
          <w:tcPr>
            <w:tcW w:w="792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894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0" w:type="dxa"/>
            <w:vAlign w:val="bottom"/>
            <w:tcBorders>
              <w:top w:val="single" w:sz="8" w:color="0000EE"/>
            </w:tcBorders>
            <w:gridSpan w:val="9"/>
          </w:tcPr>
          <w:p>
            <w:pPr>
              <w:spacing w:after="0"/>
              <w:rPr>
                <w:sz w:val="17"/>
                <w:szCs w:val="17"/>
                <w:color w:val="auto"/>
              </w:rPr>
            </w:pPr>
          </w:p>
        </w:tc>
        <w:tc>
          <w:tcPr>
            <w:tcW w:w="852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PORTFOLIO MANAGEMENT</w:t>
            </w:r>
          </w:p>
        </w:tc>
        <w:tc>
          <w:tcPr>
            <w:tcW w:w="83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454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 PERSONS AND PRINCIPAL SHAREHOLDERS</w:t>
            </w:r>
          </w:p>
        </w:tc>
        <w:tc>
          <w:tcPr>
            <w:tcW w:w="920" w:type="dxa"/>
            <w:vAlign w:val="bottom"/>
            <w:tcBorders>
              <w:top w:val="single" w:sz="8" w:color="0000EE"/>
            </w:tcBorders>
            <w:gridSpan w:val="2"/>
          </w:tcPr>
          <w:p>
            <w:pPr>
              <w:spacing w:after="0"/>
              <w:rPr>
                <w:sz w:val="17"/>
                <w:szCs w:val="17"/>
                <w:color w:val="auto"/>
              </w:rPr>
            </w:pPr>
          </w:p>
        </w:tc>
        <w:tc>
          <w:tcPr>
            <w:tcW w:w="52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SHARES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140" w:type="dxa"/>
            <w:vAlign w:val="bottom"/>
            <w:gridSpan w:val="11"/>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78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DISTRIBUTION PAYING AGENT AND REGISTRAR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2220" w:type="dxa"/>
            <w:vAlign w:val="bottom"/>
            <w:tcBorders>
              <w:top w:val="single" w:sz="8" w:color="0000EE"/>
            </w:tcBorders>
            <w:gridSpan w:val="6"/>
          </w:tcPr>
          <w:p>
            <w:pPr>
              <w:spacing w:after="0"/>
              <w:rPr>
                <w:sz w:val="17"/>
                <w:szCs w:val="17"/>
                <w:color w:val="auto"/>
              </w:rPr>
            </w:pPr>
          </w:p>
        </w:tc>
        <w:tc>
          <w:tcPr>
            <w:tcW w:w="40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2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060" w:type="dxa"/>
            <w:vAlign w:val="bottom"/>
            <w:gridSpan w:val="1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2"/>
          </w:tcPr>
          <w:p>
            <w:pPr>
              <w:spacing w:after="0"/>
              <w:rPr>
                <w:sz w:val="17"/>
                <w:szCs w:val="17"/>
                <w:color w:val="auto"/>
              </w:rPr>
            </w:pPr>
          </w:p>
        </w:tc>
        <w:tc>
          <w:tcPr>
            <w:tcW w:w="68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important business and financial information about us that is not included in or delivered with the document. This information is available without charge to security holders upon written or oral request at:</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5600" w:right="4900" w:hanging="538"/>
        <w:spacing w:after="0" w:line="433" w:lineRule="auto"/>
        <w:tabs>
          <w:tab w:leader="none" w:pos="549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621-3001 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To obtain timely delivery, you must request information no later than five business days prior to the expiration of the exchange offer, which expiration is </w:t>
      </w:r>
      <w:r>
        <w:rPr>
          <w:rFonts w:ascii="Times New Roman" w:cs="Times New Roman" w:eastAsia="Times New Roman" w:hAnsi="Times New Roman"/>
          <w:sz w:val="18"/>
          <w:szCs w:val="18"/>
          <w:b w:val="1"/>
          <w:bCs w:val="1"/>
          <w:color w:val="auto"/>
        </w:rPr>
        <w:t>11:59 p.m., New York City time, on         , 2024.</w:t>
      </w:r>
    </w:p>
    <w:p>
      <w:pPr>
        <w:spacing w:after="0" w:line="158"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We are not making an offer of the Exchange Notes in any state or other jurisdiction where the offer is not permitted. You should not assume that the information contained in this prospectus is accurate as of any date other than the date on the front of this prospectus.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The accompanying letter of transmittal relating to the Exchange Offer states that, by so acknowledging and delivering a prospectus, such broker-dealer will not be deemed to admit that it is an “underwriter” of the Exchange Notes within the meaning of the 1933 Act. This prospectus, as it may be amended or supplemented from time to time, may be used by such broker-dealer in connection with resales or other transfers of Exchange Notes received in the exchange offer for Restricted Notes that were acquired by the broker-dealer as a result of market-making or other trading activities.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This summary may not contain all of the information that is important to you, and it is qualified in its entirety by the more detailed information and financial statements, including the notes to those financial statements, appearing elsewhere or incorporated by reference in this prospectus. Please see the sections titled “Where You Can Find More Information” and “Incorporation by Reference.” Before making an investment decision, we encourage you to consider the information contained in and incorporated by reference in this prospectus, including the risks discussed under the heading “Risk Factors” beginning on page 12 of this prospectus, as well as the “Risk Factors” section of the Company’s Annual Report on Form 10-K for the fiscal year ended December 31, 2023, and any updates to those risk factors contained in the Company’s subsequent Quarterly Reports on Form 10-Q and Current Reports on Form 8-K filed with the Securities and Exchange Commission (the “SEC”), all of which we incorporate by reference herein other than as specified.</w:t>
      </w: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Sixth Street Lending Partners (together with its consolidated subsidiaries, the “Fund”, the “Company”, “we”, “us,” or “our”), is a Delaware statutory trust formed on April 5, 2022. We are a non-diversified, closed-end management investment company that has elected to be regulated as a business development company (“BDC”) under the Investment Company Act of 1940, as amended (the “1940 Act”). We are externally managed by our adviser, Sixth Street Lending Partners Advisers, LLC (the “Adviser”). The Adviser is an affiliate of Sixth Street Partners, LLC, and its consolidated subsidiaries (“Sixth Street”).</w:t>
      </w:r>
    </w:p>
    <w:p>
      <w:pPr>
        <w:spacing w:after="0" w:line="183"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0"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w:t>
      </w:r>
    </w:p>
    <w:p>
      <w:pPr>
        <w:spacing w:after="0" w:line="176"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A BDC is a special closed-end investment vehicle that is regulated under the 1940 Act and used to facilitate capital formation by smaller U.S. companies. BDCs are subject to certain restrictions applicable to investment companies under the 1940 Act. As a BDC, at least 70% of our assets must be the type of “qualifying” assets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607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1607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listed in Section 55(a) of the 1940 Act, as described herein, which are generally privately-offered securities issued by U.S. private or thinly-traded companies. We may also invest up to 30% of our portfolio in “non-qualifying” portfolio investments, such as investments in non-U.S. companies. See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in the Company’s Annual Report on Form 10-K for the fiscal year ended December 31, 2023 and “</w:t>
      </w:r>
      <w:r>
        <w:rPr>
          <w:rFonts w:ascii="Times New Roman" w:cs="Times New Roman" w:eastAsia="Times New Roman" w:hAnsi="Times New Roman"/>
          <w:sz w:val="18"/>
          <w:szCs w:val="18"/>
          <w:i w:val="1"/>
          <w:iCs w:val="1"/>
          <w:color w:val="auto"/>
        </w:rPr>
        <w:t>Item 2.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in the Company’s Quarterly Report on Form 10-Q for the quarter ended June 30, 2024, each of which is incorporated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w:t>
      </w:r>
    </w:p>
    <w:p>
      <w:pPr>
        <w:spacing w:after="0" w:line="187" w:lineRule="exact"/>
        <w:rPr>
          <w:sz w:val="20"/>
          <w:szCs w:val="20"/>
          <w:color w:val="auto"/>
        </w:rPr>
      </w:pPr>
    </w:p>
    <w:p>
      <w:pPr>
        <w:ind w:left="300" w:right="76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corporate headquarters are located at 2100 McKinney Avenue, Suite 1500, Dallas, TX 75201. We maintain a website at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Information contained on our website or on Sixth Street’s website at</w:t>
      </w:r>
      <w:r>
        <w:rPr>
          <w:rFonts w:ascii="Times New Roman" w:cs="Times New Roman" w:eastAsia="Times New Roman" w:hAnsi="Times New Roman"/>
          <w:sz w:val="18"/>
          <w:szCs w:val="18"/>
          <w:i w:val="1"/>
          <w:iCs w:val="1"/>
          <w:color w:val="auto"/>
        </w:rPr>
        <w:t xml:space="preserve"> https://sixthstreet.com </w:t>
      </w:r>
      <w:r>
        <w:rPr>
          <w:rFonts w:ascii="Times New Roman" w:cs="Times New Roman" w:eastAsia="Times New Roman" w:hAnsi="Times New Roman"/>
          <w:sz w:val="18"/>
          <w:szCs w:val="18"/>
          <w:color w:val="auto"/>
        </w:rPr>
        <w:t>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prospectus, and you should not consider that information to be part of this prospectus.</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5"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Offer</w:t>
      </w:r>
    </w:p>
    <w:p>
      <w:pPr>
        <w:spacing w:after="0" w:line="227" w:lineRule="exact"/>
        <w:rPr>
          <w:sz w:val="20"/>
          <w:szCs w:val="20"/>
          <w:color w:val="auto"/>
        </w:rPr>
      </w:pPr>
    </w:p>
    <w:p>
      <w:pPr>
        <w:ind w:left="300" w:right="2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exchange offer. It does not contain all the information that may be important to you. For a more complete description of the exchange offer, you should read the discussion under the heading “The Exchange Offer.”</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$750,000,000 aggregate principal amount of 6.500% Notes due 2029 (the “6.500%</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$600,000,000 aggregate principal amount of 5.750% Notes due 2030 (the “5.750%</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 and, together with the 6.500% Exchange Notes, the “Exchange Notes”).</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terms of our 6.500% Exchange Notes and 5.750% Exchange Notes that have been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registered with the SEC under the Securities Act of 1933, as amended (the “1933 Act”), are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substantially identical to those of our outstanding 6.500% Notes due 2029 (the 6.500%</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Restricted Notes”) and 5.750% Notes due 2030 (the “5.750% Restricted Notes” and,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together with the 6.500% Restricted Notes, the “Restricted Notes”) that were issued in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transactions not requiring registration under the 1933 Act on March 11, 2024 and June 17,</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2024, with respect to the 6.500% Restricted Notes, and September 16, 2024, with respect to</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5.750% Restricted Notes, except that the transfer restrictions and registration rights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relating to the Restricted Notes will not apply to the Exchange Notes, and the Exchange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Notes will not provide for the payment of additional interest in the event of a registration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default. In addition, the Exchange Notes will bear a different CUSIP number than the</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Restricted Notes. See “Description of the Exchange Notes.”</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refer to the 6.500% Restricted Notes and the 6.500% Exchange Notes together as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“6.500% Notes” and the 5.750% Restricted Notes and the 5.750% Exchange Notes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together as the “5.750% Notes”. We refer to the Restricted Notes and the Exchange Notes</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as the “Notes.”</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Notes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$750,000,000 aggregate principal amount of 6.500% Notes due 2029, which were issued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private placements on March 11, 2024 and June 17, 2024.</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$600,000,000 aggregate principal amount of 5.750% Notes due 2030, which were issued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 private placement on September 16, 2024.</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Exchange Offer</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 the exchange offer, we will exchange the 6.500% Restricted Notes and 5.750%</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Restricted Notes that are validly tendered and not withdrawn prior to the expiration of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offer for a like principal amount of the 6.500% Exchange Notes and 5.750%</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 respectively, to satisfy certain of our obligations under the applicable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registration rights agreement that we entered into when the Restricted Notes were issued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reliance upon exemptions from registration under the 1933 Act.</w:t>
            </w:r>
          </w:p>
        </w:tc>
      </w:tr>
      <w:tr>
        <w:trPr>
          <w:trHeight w:val="172"/>
        </w:trPr>
        <w:tc>
          <w:tcPr>
            <w:tcW w:w="298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tcPr>
          <w:p>
            <w:pPr>
              <w:spacing w:after="0"/>
              <w:rPr>
                <w:sz w:val="14"/>
                <w:szCs w:val="14"/>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40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In order to be exchanged, outstanding Restricted Notes must be validly tendered and</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accepted. We will accept any and all Restricted Notes validly tendered and not withdrawn</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prior to 11:59 p.m., New York City time, on , 2024. Holders may tender some or all of their</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Restricted Notes pursuant to the exchange offer. However, Restricted Notes may be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tendered only in denominations of $2,000 and integral multiples of $1,000.</w:t>
            </w:r>
          </w:p>
        </w:tc>
      </w:tr>
      <w:tr>
        <w:trPr>
          <w:trHeight w:val="441"/>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We will issue Exchange Notes promptly after the expiration of the exchange offer. See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“The Exchange Offer—Terms of the Exchange Offer.”</w:t>
            </w:r>
          </w:p>
        </w:tc>
      </w:tr>
      <w:tr>
        <w:trPr>
          <w:trHeight w:val="441"/>
        </w:trPr>
        <w:tc>
          <w:tcPr>
            <w:tcW w:w="34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In connection with the private placement of the 6.500% Restricted Notes, we entered into</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registration rights agreements with BofA Securities, Inc., as representatives of the several</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initial purchasers. In connection with the private placement of the 5.750% Restricted</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Notes, we entered into a registration rights agreement with BofA Securities, Inc., as</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representatives of the several initial purchasers.</w:t>
            </w:r>
          </w:p>
        </w:tc>
      </w:tr>
      <w:tr>
        <w:trPr>
          <w:trHeight w:val="441"/>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Under each registration rights agreement, we agreed, for the benefit of the holders of the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Restricted Notes, to use commercially reasonable efforts to:</w:t>
            </w:r>
          </w:p>
        </w:tc>
      </w:tr>
      <w:tr>
        <w:trPr>
          <w:trHeight w:val="319"/>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  file a registration statement (the “Exchange Offer Registration Statement”) with respect</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to a registered offer to exchange the Restricted Notes for the Exchange Notes having</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terms substantially identical to the Restricted Notes being exchanged, except that the</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transfer restrictions and registration rights relating to the Restricted Notes will not apply</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to the Exchange Notes, and the Exchange Notes will not provide for the payment of</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additional interest in the event of a registration default;</w:t>
            </w:r>
          </w:p>
        </w:tc>
      </w:tr>
      <w:tr>
        <w:trPr>
          <w:trHeight w:val="319"/>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  cause the Exchange Offer Registration Statement to become effective and continuously</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effective, supplemented and amended, for a period ending on the earlier of (i) 180 days</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from the date on which the Exchange Offer Registration Statement becomes or is</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declared effective and (ii) the date on which a broker-dealer registered under the 1933</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Act is no longer required to deliver a prospectus in connection with market-making or</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other trading activities; and</w:t>
            </w:r>
          </w:p>
        </w:tc>
      </w:tr>
      <w:tr>
        <w:trPr>
          <w:trHeight w:val="319"/>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  cause the exchange offer to be consummated on the earliest practicable date after the</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Exchange Offer Registration Statement has become or been declared effective, but in no</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event later than 365 days after the initial issuance of the Restricted Notes (or if such</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365th day is not a business day, the next succeeding business day).</w:t>
            </w:r>
          </w:p>
        </w:tc>
      </w:tr>
      <w:tr>
        <w:trPr>
          <w:trHeight w:val="441"/>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The registration statement of which this prospectus forms a part constitutes an Exchange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Offer Registration Statement for purposes of the registration rights agreements.</w:t>
            </w:r>
          </w:p>
        </w:tc>
      </w:tr>
      <w:tr>
        <w:trPr>
          <w:trHeight w:val="172"/>
        </w:trPr>
        <w:tc>
          <w:tcPr>
            <w:tcW w:w="3400" w:type="dxa"/>
            <w:vAlign w:val="bottom"/>
            <w:tcBorders>
              <w:left w:val="single" w:sz="8" w:color="auto"/>
              <w:bottom w:val="single" w:sz="8" w:color="auto"/>
            </w:tcBorders>
          </w:tcPr>
          <w:p>
            <w:pPr>
              <w:spacing w:after="0"/>
              <w:rPr>
                <w:sz w:val="14"/>
                <w:szCs w:val="14"/>
                <w:color w:val="auto"/>
              </w:rPr>
            </w:pPr>
          </w:p>
        </w:tc>
        <w:tc>
          <w:tcPr>
            <w:tcW w:w="7620" w:type="dxa"/>
            <w:vAlign w:val="bottom"/>
            <w:tcBorders>
              <w:bottom w:val="single" w:sz="8" w:color="auto"/>
              <w:right w:val="single" w:sz="8" w:color="auto"/>
            </w:tcBorders>
          </w:tcPr>
          <w:p>
            <w:pPr>
              <w:spacing w:after="0"/>
              <w:rPr>
                <w:sz w:val="14"/>
                <w:szCs w:val="14"/>
                <w:color w:val="auto"/>
              </w:rPr>
            </w:pPr>
          </w:p>
        </w:tc>
      </w:tr>
      <w:tr>
        <w:trPr>
          <w:trHeight w:val="361"/>
        </w:trPr>
        <w:tc>
          <w:tcPr>
            <w:tcW w:w="3400" w:type="dxa"/>
            <w:vAlign w:val="bottom"/>
          </w:tcPr>
          <w:p>
            <w:pPr>
              <w:spacing w:after="0"/>
              <w:rPr>
                <w:sz w:val="24"/>
                <w:szCs w:val="24"/>
                <w:color w:val="auto"/>
              </w:rPr>
            </w:pPr>
          </w:p>
        </w:tc>
        <w:tc>
          <w:tcPr>
            <w:tcW w:w="7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20" w:type="dxa"/>
            <w:vAlign w:val="bottom"/>
            <w:tcBorders>
              <w:top w:val="single" w:sz="8" w:color="auto"/>
              <w:left w:val="single" w:sz="8" w:color="auto"/>
            </w:tcBorders>
          </w:tcPr>
          <w:p>
            <w:pPr>
              <w:spacing w:after="0"/>
              <w:rPr>
                <w:sz w:val="24"/>
                <w:szCs w:val="24"/>
                <w:color w:val="auto"/>
              </w:rPr>
            </w:pPr>
          </w:p>
        </w:tc>
        <w:tc>
          <w:tcPr>
            <w:tcW w:w="780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We also agreed to keep the Exchange Offer Registration Statement effective for not less</w:t>
            </w:r>
          </w:p>
        </w:tc>
      </w:tr>
      <w:tr>
        <w:trPr>
          <w:trHeight w:val="214"/>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than the minimum period required under applicable federal and state securities laws to</w:t>
            </w:r>
          </w:p>
        </w:tc>
      </w:tr>
      <w:tr>
        <w:trPr>
          <w:trHeight w:val="218"/>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 xml:space="preserve">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period be</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less than 20 business days after the commencement of the exchange offer. If we fail to meet</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certain conditions described in the applicable registration rights agreement (“Registration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Default”), then, with respect to the first 90-day period immediately following the</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occurrence of such Registration Default, the interest rate borne by the affected series of</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Restricted Notes will be increased by 0.25% per annum and will increase by an additional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0.25% per annum on the principal amount of Notes with respect to each subsequent 90-day</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period, up to a maximum of additional interest of 0.50% per annum (the “Additional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Interest”). Additional Interest due pursuant to Registration Defaults will be paid in cash on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relevant interest payment date to holders of record on the relevant regular record dates.</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Following the cure of all Registration Defaults relating to any particular Restricted Notes,</w:t>
            </w:r>
          </w:p>
        </w:tc>
      </w:tr>
      <w:tr>
        <w:trPr>
          <w:trHeight w:val="214"/>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interest rate borne by the Restricted Notes will be reduced to the original interest rate</w:t>
            </w:r>
          </w:p>
        </w:tc>
      </w:tr>
      <w:tr>
        <w:trPr>
          <w:trHeight w:val="218"/>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 xml:space="preserve">borne by Restricted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rate, a different Registration Default occurs, the interest rate borne by the relevant</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Restricted Notes will again be increased pursuant to the foregoing provisions.</w:t>
            </w:r>
          </w:p>
        </w:tc>
      </w:tr>
      <w:tr>
        <w:trPr>
          <w:trHeight w:val="441"/>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If the Company is not able to effect the exchange offer, the Company will be obligated to</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file a shelf registration statement covering the resale of the Notes and use its commercially</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reasonable efforts to cause such registration statement to be declared effective.</w:t>
            </w:r>
          </w:p>
        </w:tc>
      </w:tr>
      <w:tr>
        <w:trPr>
          <w:trHeight w:val="441"/>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 copy of each registration rights agreement is incorporated by reference as an exhibit to</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registration statement of which this prospectus forms a part. See “The Exchange Offer</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—Purpose and Effect of the Exchange Offer.”</w:t>
            </w:r>
          </w:p>
        </w:tc>
      </w:tr>
      <w:tr>
        <w:trPr>
          <w:trHeight w:val="441"/>
        </w:trPr>
        <w:tc>
          <w:tcPr>
            <w:tcW w:w="32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Resales of Exchange Notes</w:t>
            </w: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We believe that the Exchange Notes received in the exchange offer may be resold or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otherwise transferred by you without compliance with the registration and prospectus</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delivery requirements of the 1933 Act (subject to the limitations described below). This,</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however, is based on your representations to us that:</w:t>
            </w:r>
          </w:p>
        </w:tc>
      </w:tr>
      <w:tr>
        <w:trPr>
          <w:trHeight w:val="338"/>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  you are acquiring the Exchange Notes in the ordinary course of your business;</w:t>
            </w:r>
          </w:p>
        </w:tc>
      </w:tr>
      <w:tr>
        <w:trPr>
          <w:trHeight w:val="319"/>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(2)  you are not engaging in and do not intend to engage in a distribution of the</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319"/>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(3)  you do not have an arrangement or understanding with any person or entity to</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participate in the distribution of the Exchange Notes;</w:t>
            </w:r>
          </w:p>
        </w:tc>
      </w:tr>
      <w:tr>
        <w:trPr>
          <w:trHeight w:val="338"/>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(4)  you are not our “affiliate,” as that term is defined in Rule 405 under the 1933 Act;</w:t>
            </w:r>
          </w:p>
        </w:tc>
      </w:tr>
      <w:tr>
        <w:trPr>
          <w:trHeight w:val="172"/>
        </w:trPr>
        <w:tc>
          <w:tcPr>
            <w:tcW w:w="3220" w:type="dxa"/>
            <w:vAlign w:val="bottom"/>
            <w:tcBorders>
              <w:left w:val="single" w:sz="8" w:color="auto"/>
              <w:bottom w:val="single" w:sz="8" w:color="auto"/>
            </w:tcBorders>
          </w:tcPr>
          <w:p>
            <w:pPr>
              <w:spacing w:after="0"/>
              <w:rPr>
                <w:sz w:val="14"/>
                <w:szCs w:val="14"/>
                <w:color w:val="auto"/>
              </w:rPr>
            </w:pPr>
          </w:p>
        </w:tc>
        <w:tc>
          <w:tcPr>
            <w:tcW w:w="7800" w:type="dxa"/>
            <w:vAlign w:val="bottom"/>
            <w:tcBorders>
              <w:bottom w:val="single" w:sz="8" w:color="auto"/>
              <w:right w:val="single" w:sz="8" w:color="auto"/>
            </w:tcBorders>
          </w:tcPr>
          <w:p>
            <w:pPr>
              <w:spacing w:after="0"/>
              <w:rPr>
                <w:sz w:val="14"/>
                <w:szCs w:val="14"/>
                <w:color w:val="auto"/>
              </w:rPr>
            </w:pPr>
          </w:p>
        </w:tc>
      </w:tr>
      <w:tr>
        <w:trPr>
          <w:trHeight w:val="361"/>
        </w:trPr>
        <w:tc>
          <w:tcPr>
            <w:tcW w:w="3220" w:type="dxa"/>
            <w:vAlign w:val="bottom"/>
          </w:tcPr>
          <w:p>
            <w:pPr>
              <w:spacing w:after="0"/>
              <w:rPr>
                <w:sz w:val="24"/>
                <w:szCs w:val="24"/>
                <w:color w:val="auto"/>
              </w:rPr>
            </w:pPr>
          </w:p>
        </w:tc>
        <w:tc>
          <w:tcPr>
            <w:tcW w:w="7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996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Procedures for Tendering Restricted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525" w:right="20" w:hanging="417"/>
        <w:spacing w:after="0" w:line="282" w:lineRule="auto"/>
        <w:tabs>
          <w:tab w:leader="none" w:pos="5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broker-dealer tendering Restricted Notes acquired directly from us for your own account; and</w:t>
      </w:r>
    </w:p>
    <w:p>
      <w:pPr>
        <w:spacing w:after="0" w:line="67" w:lineRule="exact"/>
        <w:rPr>
          <w:rFonts w:ascii="Times New Roman" w:cs="Times New Roman" w:eastAsia="Times New Roman" w:hAnsi="Times New Roman"/>
          <w:sz w:val="18"/>
          <w:szCs w:val="18"/>
          <w:color w:val="auto"/>
        </w:rPr>
      </w:pPr>
    </w:p>
    <w:p>
      <w:pPr>
        <w:ind w:left="525" w:right="400" w:hanging="417"/>
        <w:spacing w:after="0" w:line="282" w:lineRule="auto"/>
        <w:tabs>
          <w:tab w:leader="none" w:pos="5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that could not truthfully make these representations.</w:t>
      </w:r>
    </w:p>
    <w:p>
      <w:pPr>
        <w:spacing w:after="0" w:line="189" w:lineRule="exact"/>
        <w:rPr>
          <w:sz w:val="20"/>
          <w:szCs w:val="20"/>
          <w:color w:val="auto"/>
        </w:rPr>
      </w:pPr>
    </w:p>
    <w:p>
      <w:pPr>
        <w:ind w:left="5"/>
        <w:spacing w:after="0" w:line="255" w:lineRule="auto"/>
        <w:rPr>
          <w:sz w:val="20"/>
          <w:szCs w:val="20"/>
          <w:color w:val="auto"/>
        </w:rPr>
      </w:pPr>
      <w:r>
        <w:rPr>
          <w:rFonts w:ascii="Times New Roman" w:cs="Times New Roman" w:eastAsia="Times New Roman" w:hAnsi="Times New Roman"/>
          <w:sz w:val="18"/>
          <w:szCs w:val="18"/>
          <w:color w:val="auto"/>
        </w:rPr>
        <w:t xml:space="preserve">Our belief is based on interpretations by the staff of the SEC, as set forth in no-action letters issued to third parties unrelated to us, including </w:t>
      </w:r>
      <w:r>
        <w:rPr>
          <w:rFonts w:ascii="Times New Roman" w:cs="Times New Roman" w:eastAsia="Times New Roman" w:hAnsi="Times New Roman"/>
          <w:sz w:val="18"/>
          <w:szCs w:val="18"/>
          <w:i w:val="1"/>
          <w:iCs w:val="1"/>
          <w:color w:val="auto"/>
        </w:rPr>
        <w:t>Exxon Capital Holdings Corp.</w:t>
      </w:r>
      <w:r>
        <w:rPr>
          <w:rFonts w:ascii="Times New Roman" w:cs="Times New Roman" w:eastAsia="Times New Roman" w:hAnsi="Times New Roman"/>
          <w:sz w:val="18"/>
          <w:szCs w:val="18"/>
          <w:color w:val="auto"/>
        </w:rPr>
        <w:t xml:space="preserve">, SEC no-action letter (April 13, 1988), </w:t>
      </w:r>
      <w:r>
        <w:rPr>
          <w:rFonts w:ascii="Times New Roman" w:cs="Times New Roman" w:eastAsia="Times New Roman" w:hAnsi="Times New Roman"/>
          <w:sz w:val="18"/>
          <w:szCs w:val="18"/>
          <w:i w:val="1"/>
          <w:iCs w:val="1"/>
          <w:color w:val="auto"/>
        </w:rPr>
        <w:t>Morgan, Stanley &amp; Co. Inc.</w:t>
      </w:r>
      <w:r>
        <w:rPr>
          <w:rFonts w:ascii="Times New Roman" w:cs="Times New Roman" w:eastAsia="Times New Roman" w:hAnsi="Times New Roman"/>
          <w:sz w:val="18"/>
          <w:szCs w:val="18"/>
          <w:color w:val="auto"/>
        </w:rPr>
        <w:t xml:space="preserve">, SEC no-action letter (June 5, 1991) and </w:t>
      </w:r>
      <w:r>
        <w:rPr>
          <w:rFonts w:ascii="Times New Roman" w:cs="Times New Roman" w:eastAsia="Times New Roman" w:hAnsi="Times New Roman"/>
          <w:sz w:val="18"/>
          <w:szCs w:val="18"/>
          <w:i w:val="1"/>
          <w:iCs w:val="1"/>
          <w:color w:val="auto"/>
        </w:rPr>
        <w:t>Shearman &amp; Sterling</w:t>
      </w:r>
      <w:r>
        <w:rPr>
          <w:rFonts w:ascii="Times New Roman" w:cs="Times New Roman" w:eastAsia="Times New Roman" w:hAnsi="Times New Roman"/>
          <w:sz w:val="18"/>
          <w:szCs w:val="18"/>
          <w:color w:val="auto"/>
        </w:rPr>
        <w:t>, SEC no-action letter (July 2, 1993). We have not asked the staff for a no-action letter in connection with the exchange offer, however, and we cannot assure you that the staff would make a similar determination with respect to the exchange offer.</w:t>
      </w:r>
    </w:p>
    <w:p>
      <w:pPr>
        <w:spacing w:after="0" w:line="2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If you cannot make the representations described above:</w:t>
      </w:r>
    </w:p>
    <w:p>
      <w:pPr>
        <w:spacing w:after="0" w:line="131" w:lineRule="exact"/>
        <w:rPr>
          <w:sz w:val="20"/>
          <w:szCs w:val="20"/>
          <w:color w:val="auto"/>
        </w:rPr>
      </w:pPr>
    </w:p>
    <w:p>
      <w:pPr>
        <w:ind w:left="185" w:hanging="185"/>
        <w:spacing w:after="0"/>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rely on the applicable interpretations of the staff of the SEC;</w:t>
      </w:r>
    </w:p>
    <w:p>
      <w:pPr>
        <w:spacing w:after="0" w:line="130" w:lineRule="exact"/>
        <w:rPr>
          <w:rFonts w:ascii="Times New Roman" w:cs="Times New Roman" w:eastAsia="Times New Roman" w:hAnsi="Times New Roman"/>
          <w:sz w:val="18"/>
          <w:szCs w:val="18"/>
          <w:color w:val="auto"/>
        </w:rPr>
      </w:pPr>
    </w:p>
    <w:p>
      <w:pPr>
        <w:ind w:left="185" w:hanging="185"/>
        <w:spacing w:after="0"/>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participate in the exchange offer; and</w:t>
      </w:r>
    </w:p>
    <w:p>
      <w:pPr>
        <w:spacing w:after="0" w:line="130" w:lineRule="exact"/>
        <w:rPr>
          <w:rFonts w:ascii="Times New Roman" w:cs="Times New Roman" w:eastAsia="Times New Roman" w:hAnsi="Times New Roman"/>
          <w:sz w:val="18"/>
          <w:szCs w:val="18"/>
          <w:color w:val="auto"/>
        </w:rPr>
      </w:pPr>
    </w:p>
    <w:p>
      <w:pPr>
        <w:ind w:left="185" w:right="60" w:hanging="185"/>
        <w:spacing w:after="0" w:line="266"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in the absence of an exemption therefrom, comply with the registration and prospectus delivery requirements of the 1933 Act in connection with any resale or other transfer of your Restricted Notes.</w:t>
      </w:r>
    </w:p>
    <w:p>
      <w:pPr>
        <w:spacing w:after="0" w:line="203" w:lineRule="exact"/>
        <w:rPr>
          <w:sz w:val="20"/>
          <w:szCs w:val="20"/>
          <w:color w:val="auto"/>
        </w:rPr>
      </w:pPr>
    </w:p>
    <w:p>
      <w:pPr>
        <w:ind w:left="5" w:right="40"/>
        <w:spacing w:after="0" w:line="258"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w:t>
      </w:r>
    </w:p>
    <w:p>
      <w:pPr>
        <w:spacing w:after="0" w:line="210" w:lineRule="exact"/>
        <w:rPr>
          <w:sz w:val="20"/>
          <w:szCs w:val="20"/>
          <w:color w:val="auto"/>
        </w:rPr>
      </w:pPr>
    </w:p>
    <w:p>
      <w:pPr>
        <w:jc w:val="both"/>
        <w:ind w:left="5" w:right="280"/>
        <w:spacing w:after="0" w:line="266" w:lineRule="auto"/>
        <w:rPr>
          <w:sz w:val="20"/>
          <w:szCs w:val="20"/>
          <w:color w:val="auto"/>
        </w:rPr>
      </w:pPr>
      <w:r>
        <w:rPr>
          <w:rFonts w:ascii="Times New Roman" w:cs="Times New Roman" w:eastAsia="Times New Roman" w:hAnsi="Times New Roman"/>
          <w:sz w:val="18"/>
          <w:szCs w:val="18"/>
          <w:color w:val="auto"/>
        </w:rPr>
        <w:t>The exchange offer will expire at 11:59 p.m., New York City time, on         , 2024, unless we decide to extend the exchange offer. We do not currently intend to extend the exchange offer, although we reserve the right to do so.</w:t>
      </w:r>
    </w:p>
    <w:p>
      <w:pPr>
        <w:spacing w:after="0" w:line="203" w:lineRule="exact"/>
        <w:rPr>
          <w:sz w:val="20"/>
          <w:szCs w:val="20"/>
          <w:color w:val="auto"/>
        </w:rPr>
      </w:pPr>
    </w:p>
    <w:p>
      <w:pPr>
        <w:ind w:left="5"/>
        <w:spacing w:after="0" w:line="261" w:lineRule="auto"/>
        <w:rPr>
          <w:sz w:val="20"/>
          <w:szCs w:val="20"/>
          <w:color w:val="auto"/>
        </w:rPr>
      </w:pPr>
      <w:r>
        <w:rPr>
          <w:rFonts w:ascii="Times New Roman" w:cs="Times New Roman" w:eastAsia="Times New Roman" w:hAnsi="Times New Roman"/>
          <w:sz w:val="18"/>
          <w:szCs w:val="18"/>
          <w:color w:val="auto"/>
        </w:rPr>
        <w:t>The exchange offer is subject to customary conditions, including that it not violate any applicable law or any applicable interpretation of the staff of the SEC. The exchange offer is not conditioned upon any minimum principal amount of Restricted Notes being tendered for exchange. See “The Exchange Offer—Conditions.”</w:t>
      </w:r>
    </w:p>
    <w:p>
      <w:pPr>
        <w:spacing w:after="0" w:line="207" w:lineRule="exact"/>
        <w:rPr>
          <w:sz w:val="20"/>
          <w:szCs w:val="20"/>
          <w:color w:val="auto"/>
        </w:rPr>
      </w:pPr>
    </w:p>
    <w:p>
      <w:pPr>
        <w:ind w:left="5" w:right="100"/>
        <w:spacing w:after="0" w:line="261" w:lineRule="auto"/>
        <w:rPr>
          <w:sz w:val="20"/>
          <w:szCs w:val="20"/>
          <w:color w:val="auto"/>
        </w:rPr>
      </w:pPr>
      <w:r>
        <w:rPr>
          <w:rFonts w:ascii="Times New Roman" w:cs="Times New Roman" w:eastAsia="Times New Roman" w:hAnsi="Times New Roman"/>
          <w:sz w:val="18"/>
          <w:szCs w:val="18"/>
          <w:color w:val="auto"/>
        </w:rPr>
        <w:t>The Restricted Notes are represented by global securities in fully registered form without coupons. Beneficial interests in the Restricted Notes are held by direct or indirect participants in The Depository Trust Company (“DTC”) through certificateless depositary interests</w:t>
      </w:r>
    </w:p>
    <w:p>
      <w:pPr>
        <w:spacing w:after="0" w:line="200" w:lineRule="exact"/>
        <w:rPr>
          <w:sz w:val="20"/>
          <w:szCs w:val="20"/>
          <w:color w:val="auto"/>
        </w:rPr>
      </w:pPr>
    </w:p>
    <w:p>
      <w:pPr>
        <w:sectPr>
          <w:pgSz w:w="11900" w:h="16838" w:orient="portrait"/>
          <w:cols w:equalWidth="0" w:num="2">
            <w:col w:w="3615" w:space="720"/>
            <w:col w:w="6565"/>
          </w:cols>
          <w:pgMar w:left="320" w:top="455" w:right="679" w:bottom="1440" w:gutter="0" w:footer="0" w:header="0"/>
          <w:type w:val="continuous"/>
        </w:sectPr>
      </w:pPr>
    </w:p>
    <w:p>
      <w:pPr>
        <w:spacing w:after="0" w:line="1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00"/>
          </w:cols>
          <w:pgMar w:left="320" w:top="455" w:right="6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400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are shown on, and transfers of the Restricted Notes can be made only through, records</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maintained in book-entry form by DTC with respect to its participants.</w:t>
            </w:r>
          </w:p>
        </w:tc>
      </w:tr>
      <w:tr>
        <w:trPr>
          <w:trHeight w:val="454"/>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Accordingly, if you wish to exchange your Restricted Notes for Exchange Notes pursuant</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 the exchange offer, you must transmit to U.S. Bank Trust Company, National</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Association, our exchange agent, prior to the expiration of the exchange offer, a computer-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generated message transmitted through DTC’s Automated Tender Offer Program, which</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 refer to as “ATOP,” system and received by the exchange agent and forming a part of a</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confirmation of book-entry transfer in which you acknowledge and agree to be bound by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terms of the letter of transmittal (“Letter of Transmittal”). See “The Exchange Offer—</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Procedures for Tendering Restricted Notes.”</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Procedures for Beneficial Owners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If you are the beneficial owner of Restricted Notes that are held in the name of a broker,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dealer, commercial bank, trust company or other nominee, and you wish to tender your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Restricted Notes in the exchange offer, you should promptly contact the person in whose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name your Restricted Notes are held and instruct that person to tender on your behalf. See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Exchange Offer—Procedures for Tendering Restricted Notes.”</w:t>
            </w:r>
          </w:p>
        </w:tc>
      </w:tr>
      <w:tr>
        <w:trPr>
          <w:trHeight w:val="437"/>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Acceptance of Restricted Notes and Delivery of</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Except under the circumstances summarized above under “Conditions to the Exchange</w:t>
            </w:r>
          </w:p>
        </w:tc>
      </w:tr>
      <w:tr>
        <w:trPr>
          <w:trHeight w:val="220"/>
        </w:trPr>
        <w:tc>
          <w:tcPr>
            <w:tcW w:w="40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 we will accept for exchange any and all Restricted Notes that are validly tendered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not withdrawn) in the exchange offer prior to 11:59 p.m., New York City time, on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expiration date of the exchange offer. The Exchange Notes to be issued to you in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exchange offer will be delivered by credit to the accounts at DTC of the applicable DTC</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participants promptly following completion of the exchange offer. See “The Exchange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Offer—Terms of the Exchange Offer.”</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Withdrawal Rights; Non-Acceptance</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You may withdraw any tender of your Restricted Notes at any time prior to 11:59 p.m.,</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New York City time, on the expiration date of the exchange offer by following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procedures described in this prospectus and the letter of transmittal. Any Restricted Notes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that have been tendered for exchange but are withdrawn or otherwise not exchanged for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any reason will be returned by credit to the accounts at DTC of the applicable DTC</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participants, without cost to you, promptly after withdrawal of such Restricted Notes or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expiration or termination of the exchange offer, as the case may be. See “The Exchange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Offer—Withdrawal Rights.”</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Holders of the Restricted Notes do not have any appraisal or dissenters’ rights in</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connection with the exchange offer.</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Exchange Agent</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U.S. Bank Trust Company, National Association, the trustee (the “Trustee”) under the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Indenture (defined below) governing the Notes,</w:t>
            </w:r>
          </w:p>
        </w:tc>
      </w:tr>
      <w:tr>
        <w:trPr>
          <w:trHeight w:val="172"/>
        </w:trPr>
        <w:tc>
          <w:tcPr>
            <w:tcW w:w="4000" w:type="dxa"/>
            <w:vAlign w:val="bottom"/>
            <w:tcBorders>
              <w:left w:val="single" w:sz="8" w:color="auto"/>
              <w:bottom w:val="single" w:sz="8" w:color="auto"/>
            </w:tcBorders>
          </w:tcPr>
          <w:p>
            <w:pPr>
              <w:spacing w:after="0"/>
              <w:rPr>
                <w:sz w:val="14"/>
                <w:szCs w:val="14"/>
                <w:color w:val="auto"/>
              </w:rPr>
            </w:pPr>
          </w:p>
        </w:tc>
        <w:tc>
          <w:tcPr>
            <w:tcW w:w="7020" w:type="dxa"/>
            <w:vAlign w:val="bottom"/>
            <w:tcBorders>
              <w:bottom w:val="single" w:sz="8" w:color="auto"/>
              <w:right w:val="single" w:sz="8" w:color="auto"/>
            </w:tcBorders>
          </w:tcPr>
          <w:p>
            <w:pPr>
              <w:spacing w:after="0"/>
              <w:rPr>
                <w:sz w:val="14"/>
                <w:szCs w:val="14"/>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820" w:type="dxa"/>
            <w:vAlign w:val="bottom"/>
            <w:tcBorders>
              <w:top w:val="single" w:sz="8" w:color="auto"/>
              <w:lef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tc>
        <w:tc>
          <w:tcPr>
            <w:tcW w:w="720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is serving as the exchange agent in connection with the exchange offer.</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vMerge w:val="continue"/>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If you do not participate or validly tender your Restricted Notes in the exchange offer:</w:t>
            </w:r>
          </w:p>
        </w:tc>
        <w:tc>
          <w:tcPr>
            <w:tcW w:w="0" w:type="dxa"/>
            <w:vAlign w:val="bottom"/>
          </w:tcPr>
          <w:p>
            <w:pPr>
              <w:spacing w:after="0"/>
              <w:rPr>
                <w:sz w:val="1"/>
                <w:szCs w:val="1"/>
                <w:color w:val="auto"/>
              </w:rPr>
            </w:pPr>
          </w:p>
        </w:tc>
      </w:tr>
      <w:tr>
        <w:trPr>
          <w:trHeight w:val="333"/>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you will retain Restricted Notes that are not registered under the 1933 Act and that will</w:t>
            </w: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continue to be subject to restrictions on transfer that are described in the legend on the</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Restricted Notes;</w:t>
            </w:r>
          </w:p>
        </w:tc>
        <w:tc>
          <w:tcPr>
            <w:tcW w:w="0" w:type="dxa"/>
            <w:vAlign w:val="bottom"/>
          </w:tcPr>
          <w:p>
            <w:pPr>
              <w:spacing w:after="0"/>
              <w:rPr>
                <w:sz w:val="1"/>
                <w:szCs w:val="1"/>
                <w:color w:val="auto"/>
              </w:rPr>
            </w:pP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you will not be able, except in very limited instances, to require us to register your</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Restricted Notes under the 1933 Act;</w:t>
            </w:r>
          </w:p>
        </w:tc>
        <w:tc>
          <w:tcPr>
            <w:tcW w:w="0" w:type="dxa"/>
            <w:vAlign w:val="bottom"/>
          </w:tcPr>
          <w:p>
            <w:pPr>
              <w:spacing w:after="0"/>
              <w:rPr>
                <w:sz w:val="1"/>
                <w:szCs w:val="1"/>
                <w:color w:val="auto"/>
              </w:rPr>
            </w:pP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you will not be able to resell or transfer your Restricted Notes unless they are registered</w:t>
            </w: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under the 1933 Act or unless you resell or transfer them pursuant to an exemption from</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registration under the 1933 Act; and</w:t>
            </w:r>
          </w:p>
        </w:tc>
        <w:tc>
          <w:tcPr>
            <w:tcW w:w="0" w:type="dxa"/>
            <w:vAlign w:val="bottom"/>
          </w:tcPr>
          <w:p>
            <w:pPr>
              <w:spacing w:after="0"/>
              <w:rPr>
                <w:sz w:val="1"/>
                <w:szCs w:val="1"/>
                <w:color w:val="auto"/>
              </w:rPr>
            </w:pP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the trading market for your Restricted Notes will become more limited to the extent that</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other holders of Restricted Notes participate in the exchange offer.</w:t>
            </w:r>
          </w:p>
        </w:tc>
        <w:tc>
          <w:tcPr>
            <w:tcW w:w="0" w:type="dxa"/>
            <w:vAlign w:val="bottom"/>
          </w:tcPr>
          <w:p>
            <w:pPr>
              <w:spacing w:after="0"/>
              <w:rPr>
                <w:sz w:val="1"/>
                <w:szCs w:val="1"/>
                <w:color w:val="auto"/>
              </w:rPr>
            </w:pPr>
          </w:p>
        </w:tc>
      </w:tr>
      <w:tr>
        <w:trPr>
          <w:trHeight w:val="437"/>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Your exchange of Restricted Notes for Exchange Notes in the exchange offer will not result</w:t>
            </w:r>
          </w:p>
        </w:tc>
        <w:tc>
          <w:tcPr>
            <w:tcW w:w="0" w:type="dxa"/>
            <w:vAlign w:val="bottom"/>
          </w:tcPr>
          <w:p>
            <w:pPr>
              <w:spacing w:after="0"/>
              <w:rPr>
                <w:sz w:val="1"/>
                <w:szCs w:val="1"/>
                <w:color w:val="auto"/>
              </w:rPr>
            </w:pPr>
          </w:p>
        </w:tc>
      </w:tr>
      <w:tr>
        <w:trPr>
          <w:trHeight w:val="220"/>
        </w:trPr>
        <w:tc>
          <w:tcPr>
            <w:tcW w:w="38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Considerations</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 any gain or loss to you for United States federal income tax purposes. See “Certain</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Material U.S. Federal Income Tax Considerations.”</w:t>
            </w:r>
          </w:p>
        </w:tc>
        <w:tc>
          <w:tcPr>
            <w:tcW w:w="0" w:type="dxa"/>
            <w:vAlign w:val="bottom"/>
          </w:tcPr>
          <w:p>
            <w:pPr>
              <w:spacing w:after="0"/>
              <w:rPr>
                <w:sz w:val="1"/>
                <w:szCs w:val="1"/>
                <w:color w:val="auto"/>
              </w:rPr>
            </w:pPr>
          </w:p>
        </w:tc>
      </w:tr>
      <w:tr>
        <w:trPr>
          <w:trHeight w:val="172"/>
        </w:trPr>
        <w:tc>
          <w:tcPr>
            <w:tcW w:w="3820" w:type="dxa"/>
            <w:vAlign w:val="bottom"/>
            <w:tcBorders>
              <w:left w:val="single" w:sz="8" w:color="auto"/>
              <w:bottom w:val="single" w:sz="8" w:color="auto"/>
            </w:tcBorders>
          </w:tcPr>
          <w:p>
            <w:pPr>
              <w:spacing w:after="0"/>
              <w:rPr>
                <w:sz w:val="14"/>
                <w:szCs w:val="14"/>
                <w:color w:val="auto"/>
              </w:rPr>
            </w:pPr>
          </w:p>
        </w:tc>
        <w:tc>
          <w:tcPr>
            <w:tcW w:w="7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3820" w:type="dxa"/>
            <w:vAlign w:val="bottom"/>
          </w:tcPr>
          <w:p>
            <w:pPr>
              <w:spacing w:after="0"/>
              <w:rPr>
                <w:sz w:val="24"/>
                <w:szCs w:val="24"/>
                <w:color w:val="auto"/>
              </w:rPr>
            </w:pP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Notes</w:t>
      </w:r>
    </w:p>
    <w:p>
      <w:pPr>
        <w:spacing w:after="0" w:line="227" w:lineRule="exact"/>
        <w:rPr>
          <w:sz w:val="20"/>
          <w:szCs w:val="20"/>
          <w:color w:val="auto"/>
        </w:rPr>
      </w:pPr>
    </w:p>
    <w:p>
      <w:pPr>
        <w:ind w:left="300" w:right="22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Exchange Notes. Certain of the terms described below are subject to important limitations and exceptions. The “Description of the Exchange Notes” section of this prospectus contains a more detailed description of the terms of the Exchange Notes.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Sixth Street Lending Partners</w:t>
            </w:r>
          </w:p>
        </w:tc>
      </w:tr>
      <w:tr>
        <w:trPr>
          <w:trHeight w:val="47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$750,000,000 aggregate principal amount of 6.500% Notes due 2029.</w:t>
            </w:r>
          </w:p>
        </w:tc>
      </w:tr>
      <w:tr>
        <w:trPr>
          <w:trHeight w:val="473"/>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$600,000,000 aggregate principal amount of 5.750% Notes due 2030.</w:t>
            </w:r>
          </w:p>
        </w:tc>
      </w:tr>
      <w:tr>
        <w:trPr>
          <w:trHeight w:val="459"/>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6.500% Exchange Notes will mature on March 11, 2029.</w:t>
            </w:r>
          </w:p>
        </w:tc>
      </w:tr>
      <w:tr>
        <w:trPr>
          <w:trHeight w:val="473"/>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5.750% Exchange Notes will mature on January 15, 2030.</w:t>
            </w:r>
          </w:p>
        </w:tc>
      </w:tr>
      <w:tr>
        <w:trPr>
          <w:trHeight w:val="441"/>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Exchange Notes will be our general unsecured obligations that rank senior in right of</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payment to all of our existing and future indebtedness that is expressly subordinated in</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right of payment to the Exchange Notes. The Exchange Notes will rank equally in right of</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payment with all of our existing and future senior liabilities that are not so subordinated, or</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junior, effectively subordinated, or junior, to any of our secured indebtedness (including</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unsecured indebtedness that we later secure) to the extent of the value of the assets</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securing such indebtedness, and structurally junior to all existing and future indebtedness</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and other obligations (including trade payables) incurred by our subsidiaries, financing</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vehicles or similar facilities.</w:t>
            </w:r>
          </w:p>
        </w:tc>
      </w:tr>
      <w:tr>
        <w:trPr>
          <w:trHeight w:val="441"/>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As of June 30, 2024, our total consolidated indebtedness, at par value, was approximately</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$2.631 billion, $1.881 billion of which was secured, and $750 million of which was</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unsecured or indebtedness of our subsidiaries.</w:t>
            </w:r>
          </w:p>
        </w:tc>
      </w:tr>
      <w:tr>
        <w:trPr>
          <w:trHeight w:val="441"/>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and Payment Dates</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6.500% Notes bear cash interest from March 11, 2024, at an annual rate of 6.500%</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payable on March 11 and September 11 of each year, which began on September 11, 2024.</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5.750% Notes bear cash interest from September 16, 2024, at an annual rate of 5.750%</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payable on January 15 and July 15 of each year, beginning on January 15, 2025. If an</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interest payment date falls on a non-business day, the applicable interest payment will be</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made on the next business day and no additional interest will accrue as a result of such</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delayed payment.</w:t>
            </w:r>
          </w:p>
        </w:tc>
      </w:tr>
      <w:tr>
        <w:trPr>
          <w:trHeight w:val="441"/>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We may redeem some or all of the Notes at our option, in whole or in part, at any time and</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from time to time, at a redemption price (expressed as a percentage of principal amount</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and rounded to three decimal places) equal to the greater of (1)(a) the sum of the present</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redemption date (assuming the Notes matured on, in the case of the 6.500% Notes,</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February 11, 2029 (the</w:t>
            </w:r>
          </w:p>
        </w:tc>
      </w:tr>
      <w:tr>
        <w:trPr>
          <w:trHeight w:val="172"/>
        </w:trPr>
        <w:tc>
          <w:tcPr>
            <w:tcW w:w="326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tcPr>
          <w:p>
            <w:pPr>
              <w:spacing w:after="0"/>
              <w:rPr>
                <w:sz w:val="14"/>
                <w:szCs w:val="14"/>
                <w:color w:val="auto"/>
              </w:rPr>
            </w:pPr>
          </w:p>
        </w:tc>
      </w:tr>
      <w:tr>
        <w:trPr>
          <w:trHeight w:val="361"/>
        </w:trPr>
        <w:tc>
          <w:tcPr>
            <w:tcW w:w="3260" w:type="dxa"/>
            <w:vAlign w:val="bottom"/>
          </w:tcPr>
          <w:p>
            <w:pPr>
              <w:spacing w:after="0"/>
              <w:rPr>
                <w:sz w:val="24"/>
                <w:szCs w:val="24"/>
                <w:color w:val="auto"/>
              </w:rPr>
            </w:pPr>
          </w:p>
        </w:tc>
        <w:tc>
          <w:tcPr>
            <w:tcW w:w="7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4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date falling one month prior to the maturity date of the 6.500% Notes) and in the case of</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5.750% Notes, December 15, 2029 (the date falling one month prior to the maturity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date of the 5.750% Notes) (each a “Par Call Date”)) on a semi-annual basis (assuming a</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360-day year consisting of twelve 30-day months) using the applicable Treasury Rate (as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defined below) plus 40 basis points in the case of the 6.500% Notes and plus 35 basis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points in the case of the 5.750% Notes, less (b) interest accrued to the date of redemption,</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or (2) 100% of the principal amount of the Notes to be redeemed; provided, however, that</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if we redeem any Notes on or after the Par Call Date, the redemption price for the Notes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will be equal to 100% of the principal amount of the Notes to be redeemed, plus accrued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and unpaid interest thereon to the date redemption. “Treasury Rate” means, with respect to</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any redemption date of the Notes, the yield determined by us in accordance with the below.</w:t>
            </w:r>
          </w:p>
        </w:tc>
      </w:tr>
      <w:tr>
        <w:trPr>
          <w:trHeight w:val="454"/>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 of Control; Offer to Repurchase</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If a Change of Control Repurchase Event described under “Description of the Exchange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Notes—Offer to Repurchase Upon a Change of Control Repurchase Event” occurs, holders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 the Exchange Notes will have the right, at their option, to require us to repurchase for</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cash some or all of the Notes at a repurchase price equal to 100% of the principal amount</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 the Notes being repurchased, plus accrued and unpaid interest to, but not including,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repurchase date. See “Description of the Exchange Notes—Offer to Repurchase Upon a</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Change of Control Repurchase Event.”</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pursuant to</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exchange offer. In consideration for issuing the Exchange Notes as contemplated in this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prospectus, we will receive in exchange a like principal amount of Restricted Notes,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terms of which are substantially identical to the Exchange Notes. The Restricted Notes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surrendered in exchange for the Exchange Notes will be retired and cancelled and cannot</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be reissued. Accordingly, the issuance of the Exchange Notes will not result in any 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 our capitalization. We have agreed to bear the expenses of the exchange offer. No</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underwriter is being used in connection with the exchange offer.</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Book-Entry Form</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Exchange Notes will be issued in book-entry form and will be represented by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permanent global certificates deposited with, or on behalf of, DTC, and registered in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name of Cede &amp; Co., as nominee of DTC. Beneficial interests in any of the Exchange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Notes will be shown on, and transfers will be effected only through, records maintained by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DTC or its nominee, and any such interest may not be exchanged for certificated securities,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except in limited circumstances described below. See “Description of the Exchange Notes</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—Book-Entry System.”</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Trustee for the Exchange Notes will be U.S. Bank Trust Company, National</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Association.</w:t>
            </w:r>
          </w:p>
        </w:tc>
      </w:tr>
      <w:tr>
        <w:trPr>
          <w:trHeight w:val="172"/>
        </w:trPr>
        <w:tc>
          <w:tcPr>
            <w:tcW w:w="3740" w:type="dxa"/>
            <w:vAlign w:val="bottom"/>
            <w:tcBorders>
              <w:left w:val="single" w:sz="8" w:color="auto"/>
              <w:bottom w:val="single" w:sz="8" w:color="auto"/>
            </w:tcBorders>
          </w:tcPr>
          <w:p>
            <w:pPr>
              <w:spacing w:after="0"/>
              <w:rPr>
                <w:sz w:val="14"/>
                <w:szCs w:val="14"/>
                <w:color w:val="auto"/>
              </w:rPr>
            </w:pPr>
          </w:p>
        </w:tc>
        <w:tc>
          <w:tcPr>
            <w:tcW w:w="7280" w:type="dxa"/>
            <w:vAlign w:val="bottom"/>
            <w:tcBorders>
              <w:bottom w:val="single" w:sz="8" w:color="auto"/>
              <w:right w:val="single" w:sz="8" w:color="auto"/>
            </w:tcBorders>
          </w:tcPr>
          <w:p>
            <w:pPr>
              <w:spacing w:after="0"/>
              <w:rPr>
                <w:sz w:val="14"/>
                <w:szCs w:val="14"/>
                <w:color w:val="auto"/>
              </w:rPr>
            </w:pPr>
          </w:p>
        </w:tc>
      </w:tr>
      <w:tr>
        <w:trPr>
          <w:trHeight w:val="361"/>
        </w:trPr>
        <w:tc>
          <w:tcPr>
            <w:tcW w:w="3740" w:type="dxa"/>
            <w:vAlign w:val="bottom"/>
          </w:tcPr>
          <w:p>
            <w:pPr>
              <w:spacing w:after="0"/>
              <w:rPr>
                <w:sz w:val="24"/>
                <w:szCs w:val="24"/>
                <w:color w:val="auto"/>
              </w:rPr>
            </w:pPr>
          </w:p>
        </w:tc>
        <w:tc>
          <w:tcPr>
            <w:tcW w:w="72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8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2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Indenture and the Restricted Notes are, and the Exchange Notes will be, governed by</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laws of the State of New York without regard to conflict of laws principles thereof.</w:t>
            </w:r>
          </w:p>
        </w:tc>
      </w:tr>
      <w:tr>
        <w:trPr>
          <w:trHeight w:val="441"/>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You should refer to the section entitled “Risk Factors” and other information included or</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incorporated by reference in this prospectus for an explanation of certain risks of investing</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in the Exchange Notes. See “Risk Factors.”</w:t>
            </w:r>
          </w:p>
        </w:tc>
      </w:tr>
      <w:tr>
        <w:trPr>
          <w:trHeight w:val="172"/>
        </w:trPr>
        <w:tc>
          <w:tcPr>
            <w:tcW w:w="2800" w:type="dxa"/>
            <w:vAlign w:val="bottom"/>
            <w:tcBorders>
              <w:left w:val="single" w:sz="8" w:color="auto"/>
              <w:bottom w:val="single" w:sz="8" w:color="auto"/>
            </w:tcBorders>
          </w:tcPr>
          <w:p>
            <w:pPr>
              <w:spacing w:after="0"/>
              <w:rPr>
                <w:sz w:val="14"/>
                <w:szCs w:val="14"/>
                <w:color w:val="auto"/>
              </w:rPr>
            </w:pPr>
          </w:p>
        </w:tc>
        <w:tc>
          <w:tcPr>
            <w:tcW w:w="8220" w:type="dxa"/>
            <w:vAlign w:val="bottom"/>
            <w:tcBorders>
              <w:bottom w:val="single" w:sz="8" w:color="auto"/>
              <w:right w:val="single" w:sz="8" w:color="auto"/>
            </w:tcBorders>
          </w:tcPr>
          <w:p>
            <w:pPr>
              <w:spacing w:after="0"/>
              <w:rPr>
                <w:sz w:val="14"/>
                <w:szCs w:val="14"/>
                <w:color w:val="auto"/>
              </w:rPr>
            </w:pPr>
          </w:p>
        </w:tc>
      </w:tr>
      <w:tr>
        <w:trPr>
          <w:trHeight w:val="361"/>
        </w:trPr>
        <w:tc>
          <w:tcPr>
            <w:tcW w:w="2800" w:type="dxa"/>
            <w:vAlign w:val="bottom"/>
          </w:tcPr>
          <w:p>
            <w:pPr>
              <w:spacing w:after="0"/>
              <w:rPr>
                <w:sz w:val="24"/>
                <w:szCs w:val="24"/>
                <w:color w:val="auto"/>
              </w:rPr>
            </w:pPr>
          </w:p>
        </w:tc>
        <w:tc>
          <w:tcPr>
            <w:tcW w:w="82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the other information included in this prospectus, you should carefully consider the risks described under “Cautionary Statement Regarding Forward-Looking Statements” and under “Risk Factors” set forth in the Company’s Annual Report on Form 10-K for the fiscal year ended December 31, 2023, and any updates to those risks contained in the Company’s subsequent Quarterly Reports on Form 10-Q and Current Reports on Form 8-K filed with the SEC, all of which are incorporated by reference in this prospectus, other than as specified, and the following risks before investing in the Exchange Notes.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are unsecured and therefore are effectively subordinated to any secured indebtedness we may incur.</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not secured by any of our assets or any of the assets of our subsidiaries. As a result, the Exchange Notes are effectively subordinated to any secured indebtedness we or our subsidiaries have outstanding as of the date of this prospectus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Exchange Notes. As of June 30, 2024, our total consolidated indebtedness, at par value, was approximately $2.631 billion, $1.881 billion of which was secured and</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$750 million of which was unsecured indebtedness or indebtedness of our subsidiaries.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are subordinated structurally to the indebtedness and other liabilities of our subsidiaries.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obligations exclusively of the Company and not of any of our subsidiaries. None of our subsidiaries is a guarantor of the Exchange Notes and the Exchange Notes are not required to be guaranteed by any subsidiaries we may acquire or create in the future. As of June 30, 2024, none of the indebtedness, at par value, required to be consolidated on our balance sheet was held through subsidiary financing vehicles and secured by certain assets of such subsidiaries. Except to the extent we are a creditor with recognized claims against our subsidiaries, all claims of creditors, including trade creditors, and holders of preferred stock, if any, of our subsidiaries will have priority over our claims (and therefore the claims of our creditors, including holders of the Exchange Notes)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Exchange Notes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Exchange Notes. In addition, our subsidiaries may incur substantial additional indebtedness in the future, all of which would be structurally senior to the Exchange Notes.</w:t>
      </w:r>
    </w:p>
    <w:p>
      <w:pPr>
        <w:spacing w:after="0" w:line="296"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the Exchange Notes, if any, could cause the liquidity or market value of the Exchange Notes to decline significantly.</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credit ratings are an assessment by rating agencies of our ability to pay our debts when due. Consequently, real or anticipated changes in our credit ratings will generally affect the market value of the Exchange Notes. These credit ratings may not reflect the potential impact of risks relating to the structure or marketing of the Exchange Notes. Credit ratings are not a recommendation to buy, sell or hold any security, and may be revised or withdrawn at any time by the issuing organization in its sole discretion. Neither we nor any initial purchaser undertakes any obligation to maintain our credit ratings or to advise holders of the Exchange Notes of any changes in our credit ratings.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are subject to periodic review by Moody’s Investors Service (“Moody’s”) and Fitch Ratings, Inc. (“Fitch”). There can be no assurance that their respective credit ratings will remain for any given period of time or that such credit ratings will not be lowered or withdrawn entirely by the applicable ratings agency if in its judgment future circumstances relating to the basis of the credit rating, such as adverse changes in our business, financial condition and results of operations, so warrant.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market value of the Exchange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which could have an adverse effect on the market prices of the Exchange Notes. In general, as market interest rates rise, debt securities bearing interest at fixed rates of interest decline in value. Consequently, if you purchase Exchange Notes bearing interest at fixed rates and market interest rates increase, the market values of those Exchange Notes may decline. We cannot predict the future level of market interest rates.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Exchange Notes contains limited protection for holders of the Exchange Notes.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Exchange Notes offers limited protection to holders of the Exchange Notes. The terms of the Indenture and the Exchange Notes do not restrict our or any of our subsidiaries’ ability to engage in, or otherwise be a party to, a variety of corporate transactions, circumstances or events that could have an adverse impact on your investment in the Exchange Notes. In particular, the terms of the Indenture and the Exchange Notes do not place any restrictions on our or our subsidiaries’ ability to:</w:t>
      </w:r>
    </w:p>
    <w:p>
      <w:pPr>
        <w:spacing w:after="0" w:line="85" w:lineRule="exact"/>
        <w:rPr>
          <w:sz w:val="20"/>
          <w:szCs w:val="20"/>
          <w:color w:val="auto"/>
        </w:rPr>
      </w:pPr>
    </w:p>
    <w:p>
      <w:pPr>
        <w:ind w:left="1080" w:right="180" w:hanging="424"/>
        <w:spacing w:after="0" w:line="25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equal in right of payment to the Exchange Notes, (2) any indebtedness or other obligations that would be secured and therefore rank effectively senior in right of payment to the Exchange Notes to the extent of the values of the assets securing such debt,</w:t>
      </w:r>
    </w:p>
    <w:p>
      <w:pPr>
        <w:spacing w:after="0" w:line="1" w:lineRule="exact"/>
        <w:rPr>
          <w:rFonts w:ascii="Times New Roman" w:cs="Times New Roman" w:eastAsia="Times New Roman" w:hAnsi="Times New Roman"/>
          <w:sz w:val="18"/>
          <w:szCs w:val="18"/>
          <w:color w:val="auto"/>
        </w:rPr>
      </w:pPr>
    </w:p>
    <w:p>
      <w:pPr>
        <w:ind w:left="1080" w:right="2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indebtedness of ours that is guaranteed by one or more of our subsidiaries and which therefore is structurally senior to the Exchange Notes and (4) securities, indebtedness or obligations issued or incurred by our subsidiaries that would be senior to our equity interests in our subsidiaries and therefore rank structurally senior to the Exchange Notes with respect to the assets of our subsidiaries, in each case other than an incurrence of indebtedness or other obligation that would cause a violation of Section 18(a)(1)(A) of the 1940 Act as modified generally by Section 61(a) of the 1940 Act or any successor provisions, as such obligations may be amended or superseded, giving effect to any exemptive relief granted to us by the SEC;</w:t>
      </w:r>
    </w:p>
    <w:p>
      <w:pPr>
        <w:spacing w:after="0" w:line="95"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Exchange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the terms of the Indenture and the Exchange Notes do not protect holders of the Exchange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other than as described under “Description of the Exchange Notes—Events of Default” in this prospectus.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are not limited by the terms of the Exchange Notes and may have important consequences for you as a holder of the Exchange Notes, including making it more difficult for us to satisfy our obligations with respect to the Exchange Notes or negatively affecting the trading value of the Exchange Notes. Other debt we issue or incur in the future could contain more protections for its holders than the Indenture and the Exchange Notes, including additional covenants and events of default. See “Risk Factors—Risks Related to Debt Financing—We borrow money, which magnifies the potential for gain or loss and increases the risk of investing in us.” in the Company’s Annual Report on Form 10-K for the fiscal year ended December 31, 2023, which is incorporated by reference herein. The issuance or incurrence of any such debt with incremental protections could affect the market for and trading levels and prices of the Exchange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Exchange Notes.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are redeemable in whole or in part upon certain conditions at any time and from time to time at our option. We may choose to redeem the Exchange Notes at times when prevailing interest rates are lower than the interest rate paid on the Exchange Notes. In this circumstance, you may not be able to reinvest the redemption proceeds in a comparable security at an effective interest rate as high as the Exchange Notes being redeemed.</w:t>
      </w:r>
    </w:p>
    <w:p>
      <w:pPr>
        <w:spacing w:after="0" w:line="284"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currently no public market for the Exchange Notes. If an active trading market for the Exchange Notes does not develop or is not maintained, you may not be able to sell them.</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a new issue of debt securities for which there currently is no trading market. We do not currently intend to apply for listing of the Exchange Notes on any securities exchange or for quotation of the Exchange Notes on any automated dealer quotation system. If no active trading market develops, you may not be able to resell your Exchange Notes at their fair market value or at all. If the Exchange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initial purchasers in the private offerings of the outstanding Restricted Notes have advised us that they intend to make a market in the Exchange Notes as permitted by applicable laws and regulations; however, the initial purchasers are not obligated to make a market in any of the Exchange Notes, and they may discontinue their market-making activities at any time without notice. Accordingly, we cannot assure you that an active and liquid trading market will develop or continue for the Exchange Notes, that you will be able to sell your Exchange Notes at a particular time or that the price you receive when you sell will be favorable. To the extent an active trading market does not develop, the liquidity and trading price for the Exchange Notes may be harmed. Accordingly, you may be required to bear the financial risk of an investment in the Exchange Notes for an indefinite period of time.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Exchange Notes.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revolving Credit Facility or Subscription Facility, or under other indebtedness to which we may be a party, that is not waived by the required lenders or holders and the remedies sought by the holders of such indebtedness could make us unable to pay principal, premium, if any, and interest on the Exchange Notes and substantially decrease the market value of the Exchange Notes.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due and payable, together with accrued and unpaid interest, the lenders under our Revolving Credit Facility, Subscription Facility or other debt we may incur in the future could elect to terminate their commitments, cease making further loans and institute foreclosure proceedings against our assets, and we could be forced into bankruptcy or liquidation.</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repay debt, lenders having secured obligations, including the lenders under our Revolving Credit Facility or Subscription Facility, could proceed against the collateral securing the debt. Because our Revolving Credit Facility and Subscription Facility have, the Indenture will have, and any future debt will likely have, customary cross-default provisions, if the indebtedness thereunder, hereunder or under any future credit facility is accelerated, we may be unable to repay or finance the amounts due. See “Description of the Exchange Notes”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Exchange Notes upon a Change of Control Repurchase Event.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not be able to repurchase the Exchange Notes upon a Change of Control Repurchase Event because we may not have sufficient funds. Upon a Change of Control Repurchase Event, holders of the Exchange Notes may require us to repurchase for cash some or all of the Exchange Notes at a repurchase price equal to 100% of the aggregate principal amount of the Exchange Notes being repurchased, plus accrued and unpaid interest to, but not including, the repurchase date. The source of funds for that purchase of Exchange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Exchange Notes tendered.</w:t>
      </w:r>
    </w:p>
    <w:p>
      <w:pPr>
        <w:spacing w:after="0" w:line="189"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Our failure to purchase such tendered Exchange Notes upon the occurrence of such Change of Control Repurchase Event would cause an event of default under the Indenture governing the Exchange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Exchange Notes.</w:t>
      </w:r>
    </w:p>
    <w:p>
      <w:pPr>
        <w:spacing w:after="0" w:line="3" w:lineRule="exact"/>
        <w:rPr>
          <w:sz w:val="20"/>
          <w:szCs w:val="20"/>
          <w:color w:val="auto"/>
        </w:rPr>
      </w:pPr>
    </w:p>
    <w:p>
      <w:pPr>
        <w:ind w:left="120" w:right="760"/>
        <w:spacing w:after="0" w:line="260" w:lineRule="auto"/>
        <w:rPr>
          <w:sz w:val="20"/>
          <w:szCs w:val="20"/>
          <w:color w:val="auto"/>
        </w:rPr>
      </w:pPr>
      <w:r>
        <w:rPr>
          <w:rFonts w:ascii="Times New Roman" w:cs="Times New Roman" w:eastAsia="Times New Roman" w:hAnsi="Times New Roman"/>
          <w:sz w:val="18"/>
          <w:szCs w:val="18"/>
          <w:color w:val="auto"/>
        </w:rPr>
        <w:t>See “Description of the Exchange Notes—Offer to Repurchase Upon a Change of Control Repurchase Event” in this prospectus for additional information.</w:t>
      </w:r>
    </w:p>
    <w:p>
      <w:pPr>
        <w:spacing w:after="0" w:line="28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corporate-level taxes which could adversely affect our cash flow and consequently adversely affect our ability to make payments on the Notes.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be subject to certain corporate-level taxes regardless of whether we continue to qualify as a regulated investment company (“RIC”) under Subchapter M of the Internal Revenue Code of 1986, as amended. Additionally, should we fail to qualify as a RIC, we would be subject to corporate-level taxes on all of our taxable income. The imposition of corporate-level taxes could adversely affect our cash flow and consequently adversely affect our ability to make payments on the Exchange Notes.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Restricted Notes, they will continue to be restricted securities and may become less liquid.</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Restricted Notes that you do not validly tender or that we do not accept will, following the exchange offer, continue to be restricted securities, and you may not offer to sell them except under an exemption from, or in a transaction not subject to, the 1933 Act and applicable state securities laws. We will issue the Exchange Notes in exchange for the Restricted Notes in the exchange offer only following the satisfaction of the procedures and conditions set forth in “The Exchange Offer—Procedures for Tendering Restricted Notes.” Because we anticipate that most holders of the Restricted Notes will elect to exchange their outstanding Restricted Notes, we expect that the liquidity of the market for the Restricted Notes remaining after the completion of the exchange offer will be substantially limited, which may have an adverse effect upon and increase the volatility of the market price of the outstanding Restricted Notes. Any Restricted Notes tendered and exchanged in the exchange offer will reduce the aggregate principal amount of the outstanding Restricted Notes at maturity. Further, following the exchange offer, if you did not exchange your Restricted Notes, you generally will not have any further registration rights, and Restricted Notes will continue to be subject to certain transfer restrictions.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Broker-dealers may need to comply with the registration and prospectus delivery requirements of the 1933 Act.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broker-dealer that (1) exchanges its Restricted Notes in the exchange offer for the purpose of participating in a distribution of the Exchange Notes or (2) resells Exchange Notes that were received by it for its own account in the exchange offer may be deemed to have received restricted securities and will be required to comply with the registration and prospectus delivery requirements of the 1933 Act in connection with any resale transaction by that broker-dealer. Any profit on the resale of the Exchange Notes and any commission or concessions received by a broker-dealer may be deemed to be underwriting compensation under the 1933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the Exchange Notes in the exchange offer if the exchange offer procedures are not validly followed.</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Exchange Notes in exchange for your Restricted Notes only if you validly tender such Restricted Notes before expiration of the exchange offer. Neither we nor the exchange agent is under any duty to give notification of defects or irregularities with respect to the tenders of the Restricted Notes for exchange. If you are the beneficial holder of Restricted Notes that are held through your broker, dealer, commercial bank, trust company or other nominee, and you wish to tender such Restricted Notes in the exchange offer, you should promptly contact the person through whom your Restricted Notes are held and instruct that person to tender the Restricted Notes on your behalf.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w:t>
      </w:r>
    </w:p>
    <w:p>
      <w:pPr>
        <w:spacing w:after="0" w:line="1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320" w:top="455"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we have filed with the SEC, the following factors, among others, could cause actual results to differ materially from forward-looking statements or historical performance:</w:t>
      </w:r>
    </w:p>
    <w:p>
      <w:pPr>
        <w:spacing w:after="0" w:line="67" w:lineRule="exact"/>
        <w:rPr>
          <w:sz w:val="20"/>
          <w:szCs w:val="20"/>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portfolio companies’ abilities to continue to operate and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w:t>
      </w:r>
    </w:p>
    <w:p>
      <w:pPr>
        <w:spacing w:after="0" w:line="5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You should not place undue reliance on these forward-looking statements, which apply only as of the date of this report. These risks and uncertainties include those described or identified in the section entitled “Item 1A. Risk Factors” and elsewhere in this prospectus. We do not undertake any obligation to update or revise any forward-looking statements or any other information contained herein, except as required by applicable law. Because we are an investment company, the forward-looking statements and projections contained in this prospectus are excluded from the safe harbor protection provided by Section 21E of the U.S. Securities Exchange Act of 1934 Act, as amended (the “1934 Act”).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Discussions containing these forward-looking statements may be found in the sections titled “Management’s Discussion and Analysis of Financial Condition and Results of Operations” incorporated by reference from the Company’s Annual Report on Form 10-K for the fiscal year ended December 31, 2023 and Quarterly Reports on Form 10-Q of the Company, as well as any amendments filed with the SEC. We discuss in greater detail, and incorporate by reference into this prospectus in their entirety, many of these risks and uncertainties in the sections titled “Risk Factors” in this prospectus, and the Company’s Annual Report on Form 10-K for the fiscal year ended December 31, 2023 and the Company’s subsequent Quarterly Reports on Form 10-Q. These projections and forward-looking statements apply only as of the date of this prospectus. Moreover, we assume no duty and do not undertake to update the forward-looking statements, except as required by applicable law. These forward-looking statements apply only as of the date of this prospectus. Moreover, we assume no duty and do not undertake to update the forward-looking statements, except as required by applicable law.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and Effect of the Exchange Offer</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issued $750,000,000 aggregate principal amount of the 6.500% Restricted Notes and $600,000,000 aggregate principal amount of the 5.750% Restricted Notes in transactions not requiring registration under the 1933 Act on March 11, 2024 and June 17, 2024, with respect to the 6.500% Restricted Notes, and September 16, 2024, with respect to the 5.750% Restricted Notes.</w:t>
      </w:r>
    </w:p>
    <w:p>
      <w:pPr>
        <w:spacing w:after="0" w:line="176" w:lineRule="exact"/>
        <w:rPr>
          <w:sz w:val="20"/>
          <w:szCs w:val="20"/>
          <w:color w:val="auto"/>
        </w:rPr>
      </w:pPr>
    </w:p>
    <w:p>
      <w:pPr>
        <w:ind w:left="120" w:right="260" w:firstLine="440"/>
        <w:spacing w:after="0" w:line="274" w:lineRule="auto"/>
        <w:rPr>
          <w:sz w:val="20"/>
          <w:szCs w:val="20"/>
          <w:color w:val="auto"/>
        </w:rPr>
      </w:pPr>
      <w:r>
        <w:rPr>
          <w:rFonts w:ascii="Times New Roman" w:cs="Times New Roman" w:eastAsia="Times New Roman" w:hAnsi="Times New Roman"/>
          <w:sz w:val="17"/>
          <w:szCs w:val="17"/>
          <w:color w:val="auto"/>
        </w:rPr>
        <w:t>The 6.500% Restricted Notes were issued, and the 6.500% Exchange Notes will be issued, pursuant to a base indenture dated as of March 11, 2024 (the “Base Indenture”), the first supplemental indenture to the Base Indenture, dated as of March 11, 2024 (the “First Supplemental Indenture”) and the second supplemental indenture to the Base Indenture, dated as of June 17, 2024 (the “Second Supplemental Indenture”), between us and the Trustee. The 5.750% Restricted Notes were issued, and the 5.750% Exchange Notes will be issued, pursuant to the Base Indenture and the third supplemental indenture, dated as of September 16, 2024, to the Base Indenture (the “Third Supplemental Indenture” and, together with the Base Indenture, the First Supplemental Indenture and the Second Supplemental Indenture, the “Indenture”) between us and the Trustee.</w:t>
      </w:r>
    </w:p>
    <w:p>
      <w:pPr>
        <w:spacing w:after="0" w:line="17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such Restricted Notes issuances, we entered into registration rights agreements, which require that we file this registration statement under the 1933 Act with respect to the Exchange Notes to be issued in the exchange offer and, upon the effectiveness of this registration statement, offer to you the opportunity to exchange your Restricted Notes for a like principal amount of Exchange Notes.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each registration rights agreement, we agreed, for the benefit of the holders of the Restricted Notes, to use commercially reasonable efforts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w:t>
      </w:r>
    </w:p>
    <w:p>
      <w:pPr>
        <w:spacing w:after="0" w:line="112" w:lineRule="exact"/>
        <w:rPr>
          <w:sz w:val="20"/>
          <w:szCs w:val="20"/>
          <w:color w:val="auto"/>
        </w:rPr>
      </w:pPr>
    </w:p>
    <w:p>
      <w:pPr>
        <w:ind w:left="1080" w:right="10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w:t>
      </w:r>
    </w:p>
    <w:p>
      <w:pPr>
        <w:spacing w:after="0" w:line="8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also agreed to keep the Exchange Offer Registration Statement effective for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such period be less than 20 business days after the commencement of the exchange offer. If there is a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reduction in interest rate, a different Registration Default occurs, the interest rate borne by the relevant Restricted Notes will again be increased pursuant to the foregoing provisions.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not able to effect the exchange offer, the Company will be obligated to file a shelf registration statement covering the resale of the Notes and use its commercially reasonable efforts to cause such registration statement to be declared effective.</w:t>
      </w:r>
    </w:p>
    <w:p>
      <w:pPr>
        <w:spacing w:after="0" w:line="162"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Exchange Notes will be issued without a restrictive legend, and except as set forth below, you may resell or otherwise transfer them without registration under the 1933 Act. After we complete the exchange offer, our obligation to register the exchange of Exchange Notes for Restricted Notes will terminate. A copy of each registration rights agreement has been filed as an exhibit to the registration statement of which this prospectus is a part.</w:t>
      </w:r>
    </w:p>
    <w:p>
      <w:pPr>
        <w:spacing w:after="0" w:line="15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Based on interpretations by the staff of the SEC set forth in no-action letters issued to third parties unrelated to us, including </w:t>
      </w:r>
      <w:r>
        <w:rPr>
          <w:rFonts w:ascii="Times New Roman" w:cs="Times New Roman" w:eastAsia="Times New Roman" w:hAnsi="Times New Roman"/>
          <w:sz w:val="18"/>
          <w:szCs w:val="18"/>
          <w:i w:val="1"/>
          <w:iCs w:val="1"/>
          <w:color w:val="auto"/>
        </w:rPr>
        <w:t>Exxon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w:t>
      </w:r>
      <w:r>
        <w:rPr>
          <w:rFonts w:ascii="Times New Roman" w:cs="Times New Roman" w:eastAsia="Times New Roman" w:hAnsi="Times New Roman"/>
          <w:sz w:val="18"/>
          <w:szCs w:val="18"/>
          <w:color w:val="auto"/>
        </w:rPr>
        <w:t>, SEC no-action letter (April 13, 1988),</w:t>
      </w:r>
      <w:r>
        <w:rPr>
          <w:rFonts w:ascii="Times New Roman" w:cs="Times New Roman" w:eastAsia="Times New Roman" w:hAnsi="Times New Roman"/>
          <w:sz w:val="18"/>
          <w:szCs w:val="18"/>
          <w:i w:val="1"/>
          <w:iCs w:val="1"/>
          <w:color w:val="auto"/>
        </w:rPr>
        <w:t xml:space="preserve"> Morgan, Stanley &amp; Co. Inc.</w:t>
      </w:r>
      <w:r>
        <w:rPr>
          <w:rFonts w:ascii="Times New Roman" w:cs="Times New Roman" w:eastAsia="Times New Roman" w:hAnsi="Times New Roman"/>
          <w:sz w:val="18"/>
          <w:szCs w:val="18"/>
          <w:color w:val="auto"/>
        </w:rPr>
        <w:t>, SEC no-action letter (June 5, 1991) and</w:t>
      </w:r>
      <w:r>
        <w:rPr>
          <w:rFonts w:ascii="Times New Roman" w:cs="Times New Roman" w:eastAsia="Times New Roman" w:hAnsi="Times New Roman"/>
          <w:sz w:val="18"/>
          <w:szCs w:val="18"/>
          <w:i w:val="1"/>
          <w:iCs w:val="1"/>
          <w:color w:val="auto"/>
        </w:rPr>
        <w:t xml:space="preserve"> Shearman &amp; Sterling</w:t>
      </w:r>
      <w:r>
        <w:rPr>
          <w:rFonts w:ascii="Times New Roman" w:cs="Times New Roman" w:eastAsia="Times New Roman" w:hAnsi="Times New Roman"/>
          <w:sz w:val="18"/>
          <w:szCs w:val="18"/>
          <w:color w:val="auto"/>
        </w:rPr>
        <w:t>,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no-action letter (July 2, 1993), subject to the limitations described in the succeeding three paragraphs, we believe that you may resell or otherwise transfer the Exchange Notes issued to you in the exchange offer without compliance with the registration and prospectus delivery requirements of the 1933 Act. Our belief, however, is based on your representations to us that:</w:t>
      </w:r>
    </w:p>
    <w:p>
      <w:pPr>
        <w:spacing w:after="0" w:line="9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engaging in and do not intend to engage in a distribution of the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have an arrangement or understanding with any person or entity to participate in the distribution of the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our “affiliate” as that term is defined in Rule 405 under the 1933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broker-dealer tendering Restricted Notes acquired directly from us for your own account;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that could not truthfully make these representations.</w:t>
      </w:r>
    </w:p>
    <w:p>
      <w:pPr>
        <w:spacing w:after="0" w:line="225" w:lineRule="exact"/>
        <w:rPr>
          <w:sz w:val="20"/>
          <w:szCs w:val="20"/>
          <w:color w:val="auto"/>
        </w:rPr>
      </w:pPr>
    </w:p>
    <w:p>
      <w:pPr>
        <w:ind w:left="120" w:right="740" w:firstLine="440"/>
        <w:spacing w:after="0" w:line="266" w:lineRule="auto"/>
        <w:rPr>
          <w:sz w:val="20"/>
          <w:szCs w:val="20"/>
          <w:color w:val="auto"/>
        </w:rPr>
      </w:pPr>
      <w:r>
        <w:rPr>
          <w:rFonts w:ascii="Times New Roman" w:cs="Times New Roman" w:eastAsia="Times New Roman" w:hAnsi="Times New Roman"/>
          <w:sz w:val="18"/>
          <w:szCs w:val="18"/>
          <w:color w:val="auto"/>
        </w:rPr>
        <w:t>If you cannot make the representations described above, you may not participate in the exchange offer, you may not rely on the staff’s interpretations discussed above, and you must, in the absence of an exemption therefrom, comply with registration and the prospectus delivery requirements of the 1933 Act in order to resell your Restricted Notes.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not asked the staff for a no-action letter in connection with the exchange offer, however, and we cannot assure you that the staff would make a similar determination with respect to the exchange offer.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are not eligible to participate in the exchange offer, you can elect to have your Restricted Notes registered for resale on a “shelf” registration statement pursuant to Rule 415 under the 1933 Act. In the event that we are obligated to file a shelf registration statement, we will be required to use commercially reasonable efforts to keep the shelf registration statement effective for so long as such Restricted Notes remain registrable securities under the applicable registration rights agreement. Other than as set forth in this paragraph, you will not have the right to require us to register your Restricted Notes under the 1933 Act. See “—Procedures for Tendering Restricted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do not participate or validly tender your Restricted Notes in the exchange offer:</w:t>
      </w:r>
    </w:p>
    <w:p>
      <w:pPr>
        <w:spacing w:after="0" w:line="131" w:lineRule="exact"/>
        <w:rPr>
          <w:sz w:val="20"/>
          <w:szCs w:val="20"/>
          <w:color w:val="auto"/>
        </w:rPr>
      </w:pPr>
    </w:p>
    <w:p>
      <w:pPr>
        <w:ind w:left="1080" w:right="4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retain your Restricted Notes that are not registered under the 1933 Act and they will continue to be subject to restrictions on transfer that are described in the legend on the Restricted Notes;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able to require us to register your Restricted Notes under the 1933 Act unless, as set forth above, you do not receive freely tradable Exchange Notes in the exchange offer or are not eligible to participate in the exchange offer, and we are obligated to file a shelf registration statement;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able to resell or otherwise transfer your Restricted Notes unless they are registered under the 1933 Act or unless you offer to resell or transfer them pursuant to an exemption under the 1933 Act;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your Restricted Notes will become more limited to the extent that other holders of Restricted Notes participate in the exchange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this prospectus and in the accompanying letter of transmittal, we will accept any and all Restricted Notes validly tendered and not withdrawn prior to 11:59 p.m., New York City time, on         , the expiration date of the exchange offer. We will issue $1,000 principal amount of the Exchange Notes in exchange for each $1,000 principal amount of the Restricted Notes accepted in the exchange offer. You may tender some or all of your Restricted Notes pursuant to the exchange offer; however, Restricted Notes may be tendered only in denominations of $2,000 and integral multiples of $1,000 in excess thereof. The Exchange Notes issued to you in the exchange offer will be delivered by credit to the accounts at DTC of the applicable DTC participants.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form and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(except for Restricted Notes sold pursuant to the shelf registration statement described above). The Exchange Notes will be issued under and entitled to the benefits of the same indenture that authorized the issuance of the Restricted Notes.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$750,000,000 aggregate principal amount of the 6.500% Restricted Notes and $600,000,000 aggregate principal amount of the 5.750% Restricted Notes are outstanding and registered in the name of Cede &amp; Co., as nominee for DTC. This prospectus, together with the letter of transmittal, is being sent to the registered holder and to others believed to have beneficial interests in the Restricted Notes. We intend to conduct the exchange offer in accordance with the applicable requirements of the Exchange Act and the rules and regulations of the SEC promulgated under the Exchange Act.</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be deemed to have accepted validly tendered Restricted Notes if and when we have given oral (any such oral notice to be promptly confirmed in writing) or written notice of our acceptance to U.S. Bank Trust Company, National Association, the exchange agent for the exchange offer. The exchange agent will act as our agent for the purpose of receiving from us the Exchange Notes for the tendering noteholders. If we do not accept any tendered Restricted Notes because of an invalid tender, the occurrence of certain other events set forth in this prospectus or otherwise, we will return such Restricted Notes by credit to the accounts at DTC of the applicable DTC participants, without expense, to the tendering noteholder as promptly as practicable after the expiration date of the exchange offer.</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You will not be required to pay brokerage commissions or fees or transfer taxes, except as set forth under “—Transfer Taxes,” with respect to the exchange of your Restricted Notes in the exchange offer. We will pay all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charges and expenses, other than certain applicable taxes, in connection with the exchange offer. See “—Fees and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Date; Extension; Amendment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expiration date for the exchange offer will be 11:59 p.m., New York City time, on         , 2024, unless we determine, in our sole discretion, to extend the exchange offer, in which case it will expire at the later date and time to which it is extended. We do not currently intend to extend the exchange offer, however, although we reserve the right to do so. If we extend the exchange offer, we may delay acceptance of any Restricted Notes by giving oral (any such oral notice to be promptly confirmed in writing) or written notice of the extension to the exchange agent and give each registered holder of Restricted Notes notice by means of a press release or other public announcement of any extension prior to 9:00 a.m., New York City time, on the next business day after the scheduled expiration date.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reserve the right, in our sole discretion:</w:t>
      </w:r>
    </w:p>
    <w:p>
      <w:pPr>
        <w:spacing w:after="0" w:line="131" w:lineRule="exact"/>
        <w:rPr>
          <w:sz w:val="20"/>
          <w:szCs w:val="20"/>
          <w:color w:val="auto"/>
        </w:rPr>
      </w:pPr>
    </w:p>
    <w:p>
      <w:pPr>
        <w:ind w:left="1080" w:right="2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tendered Restricted Notes upon the expiration of the exchange offer, and extend the exchange offer with respect to untendered Restricted Notes;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to delay accepting any Restricted Notes, to extend the exchange offer or to terminate the exchange offer if, in our reasonable judgment, any of the conditions set forth under “—Conditions” have not been satisfied or waived, to terminate the exchange offer by giving oral (any such oral notice to be promptly confirmed in writing) or written notice of such delay or termination to the exchange agent; or</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waive the terms and conditions of the exchange offer in any manner by complying with Rule 14e-l(d) under the Exchange Act, to the extent that rule applies.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notify you as promptly as we can of any extension, termination or amendment. In addition, we acknowledge and undertake to comply with the provisions of Rule 14e-l(c) under the Exchange Act, which requires us to issue the Exchange Notes, or return the Restricted Notes tendered for exchange, promptly after the termination or withdrawal of the exchange offer.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Restricted Notes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Restricted Notes are represented by global securities without interest coupons in fully registered form, registered in the name of Cede &amp; Co., as nominee for DTC. Beneficial interests in the global securities are held by direct or indirect participants in DTC through certificateless depositary interests and are shown on, and transfers of these interests are effected only through, records maintained in book-entry form by DTC with respect to its participants. You are not entitled to receive certificated Restricted Notes in exchange for your beneficial interest in these global securities except in limited circumstances described in “Description of the Exchange Notes—Book-Entry System.”</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Accordingly, you must tender your Restricted Notes pursuant to DTC’s ATOP procedures. As the DTC’s ATOP system is the only method of processing exchange offers through DTC, you must instruct a participant in DTC to transmit to the exchange agent on or prior to the expiration date for the exchange offer a computer-generated message transmitted by means of the ATOP system and received by the exchange agent and forming a part of a confirmation of book-entry transfer, in which you acknowledge and agree to be bound by the terms of the letter of transmittal, instead of sending a signed, hard copy letter of transmittal. DTC is obligated to communicate those electronic instructions to the exchange agent. To tender Restricted Notes through the ATOP system, the electronic instructions sent to DTC and transmitted by DTC to the exchange agent must contain the character by which the participant acknowledges its receipt of, and agrees to be bound by, the letter of transmittal, including the representations to us described above under “—Purpose and Effect of the Exchange Offer,” and be received by the exchange agent prior to 11:59 p.m., New York City time, on the expiration date.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you hold Restricted Notes through a broker, dealer, commercial bank, trust company, other financial institution or other nominee, each referred to herein as an “intermediary,” and you wish to tender your Restricted Notes, you should contact such intermediary promptly and instruct such intermediary to tender on your behalf. So long as the Restricted Notes are in book-entry form represented by global securities, Restricted Notes may only be tendered by your intermediary pursuant to DTC’s ATOP procedures.</w:t>
      </w:r>
    </w:p>
    <w:p>
      <w:pPr>
        <w:spacing w:after="0" w:line="180"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If you tender a Restricted Note and you do not properly withdraw the tender prior to the expiration date, you will have made an agreement with us to participate in the exchange offer in accordance with the terms and subject to the conditions set forth in this prospectus and in the letter of transmittal.</w:t>
      </w:r>
    </w:p>
    <w:p>
      <w:pPr>
        <w:spacing w:after="0" w:line="14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will determine, in our sole discretion, all questions regarding the validity, form, eligibility, including time of receipt, acceptance and withdrawal of tendered Restricted Notes. Our determination will be final and binding. We reserve the absolute right to reject any and all Restricted Notes not validly tendered or any Restricted Notes our acceptance of which would, in the opinion of our counsel, be unlawful. We also reserve the right to waive any defects, irregularities or conditions of tender as to certain Restricted Notes. Our interpretation of the terms and conditions of the exchange offer, including the instructions in the letter of transmittal, will be final and binding on all parties.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must cure any defects or irregularities in connection with tenders of your Restricted Notes within the time period that we determine unless we waive that defect or irregularity. Although we intend to notify you of defects or irregularities with respect to your tender of Restricted Notes, neither we, the exchange agent nor any other person will incur any liability for failure to give this notification. Your tender will not be deemed to have been made and your Restricted Notes will be returned to you unless otherwise provided in the letter of transmittal, as soon as practicable following the expiration of the exchange offer, if:</w:t>
      </w:r>
    </w:p>
    <w:p>
      <w:pPr>
        <w:spacing w:after="0" w:line="8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invalidly tender your Restricted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not cured any defects or irregularities in your tender;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waived those defects, irregularities or invalid tender.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reserve the right in our sole discretion to:</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make offers for, or offer Exchange Notes for, any Restricted Notes that remain outstanding subsequent to the expiration of the exchange offer;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exchange offer;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purchase Restricted Notes in the open market, in privately negotiated transactions or otherwise.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of any of these purchases of or offers for Restricted Notes could differ from the terms of the exchange offer.</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all cases, the issuance of Exchange Notes for Restricted Notes that are accepted for exchange in the exchange offer will be made only after timely receipt by the exchange agent of a timely book-entry confirmation of your Restricted Notes into the exchange agent’s account at DTC, a computer-generated message instead of the Letter of Transmittal, and all other required documents. If any tendered Restricted Notes are not accepted for any reason set forth in the terms and conditions of the exchange offer or if Restricted Notes are submitted for a greater principal amount than you indicate your desire to exchange, the unaccepted or non-exchanged Restricted Notes, or Restricted Notes in substitution therefor, will be returned without expense to you by credit to the accounts at DTC of the applicable DTC participant, as promptly as practicable after rejection of tender or the expiration or termination of the exchange offer.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Transfer</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exchange agent will make a request to establish an account with respect to the Restricted Notes at DTC for purposes of the exchange offer after the date of this prospectus, and any financial institution that is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participant in DTC’s systems may make book-entry delivery of Restricted Notes being tendered by causing DTC to transfer such Restricted Notes into the exchange agent’s account at DTC in accordance with DTC’s procedures for transfer.</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Any DTC participant wishing to tender Restricted Notes in the exchange offer (whether on its own behalf or on behalf of the beneficial owner of Restricted Notes) should transmit its acceptance to DTC sufficiently far in advance of the expiration of the exchange offer so as to permit DTC to take the following actions prior to 11:59 p.m., New York City time, on the expiration date. DTC will verify such acceptance, execute a book-entry transfer of the tendered Restricted Notes into the exchange agent’s account at DTC and then send to the exchange agent a confirmation of such book-entry transfer. The confirmation of such book-entry transfer will include a confirmation that such DTC participant acknowledges and agrees (on behalf of itself and on behalf of any beneficial owner of the applicable Restricted Notes) to be bound by the letter of transmittal. All of the foregoing, together with any other required documents, must be delivered to and received by the exchange agent prior to 11:59 p.m., New York City time, on the expiration date.</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Guaranteed Delivery Procedures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Guaranteed delivery procedures are not available in connection with the exchange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withdraw tenders of your Restricted Notes at any time prior to 11:59 p.m., New York City time, on the expiration date of the exchange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your withdrawal to be effective, the exchange agent must receive an electronic ATOP transmission of the notice of withdrawal at its address set forth below under “—Exchange Agent,” prior to 11:59 p.m., New York City time, on the expiration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notice of withdrawal must:</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DTC account number of the DTC participant that tendered such Restricted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principal amount of Restricted Notes to be withdrawn;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account number of the DTC participant to which the withdrawn Restricted Notes should be credited;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statement that the holder is withdrawing its election to have the Restricted Notes exchanged.</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will determine all questions regarding the validity, form and eligibility, including time of receipt, of withdrawal notices. Our determination will be final and binding on all parties. Any Restricted Notes that have been withdrawn will be deemed not to have been validly tendered for exchange for purposes of the exchange offer. Any Restricted Notes that have been tendered for exchange but that are withdrawn and not exchanged will be returned by credit to the account at DTC of the applicable DTC participant without cost as soon as practicable after withdrawal. Properly withdrawn Restricted Notes may be retendered by following one of the procedures described under “—Procedures for Tendering Restricted Notes” above at any time on or prior to 11:59 p.m., New York City time, on the expiration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do not have any appraisal or dissenters’ rights in connection with the exchange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exchange offer, and subject to our obligations under the related registration rights agreement, we will not be required to accept for exchange, or to issue Exchange Notes in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exchange for, any Restricted Notes and may terminate or amend the exchange offer, if at any time before the acceptance of any Restricted Notes for exchange any one of the following events occurs:</w:t>
      </w:r>
    </w:p>
    <w:p>
      <w:pPr>
        <w:spacing w:after="0" w:line="67" w:lineRule="exact"/>
        <w:rPr>
          <w:sz w:val="20"/>
          <w:szCs w:val="20"/>
          <w:color w:val="auto"/>
        </w:rPr>
      </w:pPr>
    </w:p>
    <w:p>
      <w:pPr>
        <w:ind w:left="1080" w:right="6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injunction, order or decree has been issued by any court or any governmental agency that would prohibit, prevent or otherwise materially impair our ability to complete the exchange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violates any applicable law or any applicable interpretation of the staff of the SEC.</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conditions are for our sole benefit, and we may assert them regardless of the circumstances giving rise to them, subject to applicable law. We also may waive in whole or in part at any time and from time to time any particular condition in our sole discretion. If we waive a condition, we may be required, in order to comply with applicable securities laws, to extend the expiration date of the exchange offer. Our failure at any time to exercise any of the foregoing rights will not be deemed a waiver of these rights, and these rights will be deemed ongoing rights which may be asserted at any time and from time to time.</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not accept for exchange any Restricted Notes validly tendered, and no Exchange Notes will be issued in exchange for any tendered Restricted Notes, if, at the time the Restricted Notes are tendered, any stop order is threatened by the SEC or in effect with respect to the registration statement of which this prospectus is a part or the qualification of the Indenture under the Trust Indenture Act of 1939, as amended.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offer is not conditioned on any minimum principal amount of Restricted Notes being tendered for exchange.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have appointed U.S. Bank Trust Company, National Association as exchange agent for the exchange offer. Questions, requests for assistance and requests for additional copies of this prospectus, the Letter of Transmittal and other related documents should be directed to the exchange agent addressed as follows: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 Bank Trust Company, National Association, as Exchange Agent</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By Registered or Certified Mail, Overnight Delivery on or before</w:t>
      </w:r>
    </w:p>
    <w:p>
      <w:pPr>
        <w:spacing w:after="0" w:line="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11:59 p.m. New York City Time on the Expiration Date:</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Corporate Actions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 Fillmore Avenue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 Paul, MN 55107-1402</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For Information or Confirmation by Telephone Call:</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(800) 934-6802</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By Email or Facsimile Transmission (for Eligible Institutions only):</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Email: cts.specfinance@usbank.com</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Facsimile: (651) 466-7367</w:t>
      </w:r>
    </w:p>
    <w:p>
      <w:pPr>
        <w:spacing w:after="0" w:line="311"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color w:val="auto"/>
        </w:rPr>
        <w:t>DELIVERY OF A LETTER OF TRANSMITTAL TO AN ADDRESS OTHER THAN AS SET FORTH ABOVE, OR TRANSMISSION OF SUCH LETTER OF TRANSMITTAL VIA FACSIMILE OTHER THAN AS SET FORTH ABOVE, WILL NOT CONSTITUTE A VALID DELIVERY.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agent also acts as the Trustee under the Indenture.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not pay brokers, dealers or others soliciting acceptances of the exchange offer. The principal solicitation is being made by mail. Additional solicitations, however, may be made in person, by email or by telephone by our officers and employees.</w:t>
      </w:r>
    </w:p>
    <w:p>
      <w:pPr>
        <w:spacing w:after="0" w:line="162" w:lineRule="exact"/>
        <w:rPr>
          <w:sz w:val="20"/>
          <w:szCs w:val="20"/>
          <w:color w:val="auto"/>
        </w:rPr>
      </w:pPr>
    </w:p>
    <w:p>
      <w:pPr>
        <w:ind w:left="120" w:right="660" w:firstLine="440"/>
        <w:spacing w:after="0" w:line="312" w:lineRule="auto"/>
        <w:rPr>
          <w:sz w:val="20"/>
          <w:szCs w:val="20"/>
          <w:color w:val="auto"/>
        </w:rPr>
      </w:pPr>
      <w:r>
        <w:rPr>
          <w:rFonts w:ascii="Times New Roman" w:cs="Times New Roman" w:eastAsia="Times New Roman" w:hAnsi="Times New Roman"/>
          <w:sz w:val="17"/>
          <w:szCs w:val="17"/>
          <w:color w:val="auto"/>
        </w:rPr>
        <w:t>We will pay the estimated cash expenses to be incurred in connection with the exchange offer. These are estimated in the aggregate to be approximately $200,000, which includes fees and expenses of the exchange agent and accounting, legal, printing and related fees and expenses.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will not be obligated to pay any transfer taxes in connection with a tender of your Restricted Notes unless Exchange Notes are to be registered in the name of, or Restricted Notes (or any portion thereof) not tendered or not accepted in the exchange offer are to be returned to, a person other than the registered tendering holder of the Restricted Notes, in which event the registered tendering holder will be responsible for the payment of any applicable transfer tax. In addition, tendering holders will be responsible for any transfer tax imposed for any reason other than the transfer of Restricted Notes to, or upon the order of, the Company pursuant to the exchange offer.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not recognize any gain or loss for accounting purposes upon the consummation of the exchange offer. We will amortize the expense of the exchange offer over the term of the Exchange Notes under generally accepted accounting principles in the United States of America (“GAAP”).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EXCHANGE NOTES</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issued the 6.500% Restricted Notes, and will issue the 6.500% Exchange Notes, under the Base Indenture, the First Supplemental Indenture and the Second Supplemental Indenture. We issued the 5.750% Restricted Notes, and will issue the 5.750% Exchange Notes, under the Base Indenture and the Third Supplemental Indenture. The following description is a summary of the material provisions of the Indenture. It does not restate the Indenture in its entirety. We urge you to read the Indenture, a copy of which is filed as an exhibit to the registration statement of which this prospectus forms a part, because it, and not this description, defines your rights as holders of the Notes.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will have the meanings given to them in the Notes or the Indenture, as applicable.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 Only registered holders will have rights under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Restricted Notes are, and the Exchange Notes will be, our general senior unsecured obligations ranking equally in right of payment with all of our other senior unsecured indebtedness from time to time outstanding. The 6.500% Notes and the 5.750% Notes will mature on March 11, 2029 and January 15, 2030, respectively, unless previously redeemed or repurchased in full by us as provided below under “—Optional Redemption” or “—Offer to Repurchase Upon a Change of Control Repurchase Event.” The Exchange Notes and the Restricted Notes that remain outstanding after the exchange offer will be a single series under the Indenture.</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6.500% Restricted Notes bear, and the 6.500% Exchange Notes will bear, cash interest at the rate of 6.500% per annum from March 11, 2024, to the stated maturity or date of earlier redemption. Interest on the 6.500% Notes will be payable semi-annually in arrears on each of March 11 and September 11, commencing September 11, 2024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March 11 and September 11 (whether or not a business day), respectively.</w:t>
      </w:r>
    </w:p>
    <w:p>
      <w:pPr>
        <w:spacing w:after="0" w:line="18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5.750% Restricted Notes bear, and the 5.750% Exchange Notes will bear, cash interest at the rate of 5.750% per annum from September 16, 2024, to the stated maturity or date of earlier redemption. Interest on the 5.750% Notes will be payable semi-annually in arrears on each of January 15 and July 15, commencing January 15, 2025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January 15 and July 15 (whether or not a business day), respectively.</w:t>
      </w:r>
    </w:p>
    <w:p>
      <w:pPr>
        <w:spacing w:after="0" w:line="16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360-day year comprised of twelve 30-day months.</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interest payment date or the stated maturity date or date of early redemption of the Notes falls on a Saturday, Sunday or other day on which banking institutions in The City of New York are authorized or obligated by law or executive order to close, the required payment due on such date will instead be made on the next business day. No further interest will accrue as a result of such delayed payment.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issued the 6.500% Restricted Notes in an aggregate principal amount of $750 million and the 5.750% Restricted Notes in an aggregate principal amount of $600 million on March 11, 2024 and June 17, 2024, with respect to the 6.500% Restricted Notes, and September 16, 2024, with respect to the 5.750% Restricted Notes, in transactions not requiring registration under the 1933 Act.</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Indenture does not limit the aggregate principal amount of the debt securities which we may issue thereunder and provides that we may issue debt securities thereunder from time to time in one or more series. We may, without the consent of the holders of the Notes, issue additional Notes in a “qualified reopening” for U.S. federal income tax purposes,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(in any such case, other than any Exchange Notes, “Additional Notes”) under the Indenture with the same ranking and the same interest rate, maturity and other terms as the Notes of a series; provided that, if such Additional Notes are not fungible with the Notes of the applicable series (or any other tranche of Additional Notes) for U.S. federal income tax purposes, then such Additional Notes will have different CUSIP numbers from the Notes of such series (and any such other tranche of Additional Notes). Any Additional Notes and the existing Notes of a series will constitute a single series under the Indenture and all references to the relevant Notes herein will include the Additional Notes unless the context otherwise requires.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coupons in minimum denominations of $2,000 and integral multiples of $1,000 in excess thereof. The Notes may be presented for transfer (duly endorsed or accompanied by a written instrument of transfer, if so required by us or the security registrar) or exchanged for other notes (containing identical terms and provisions, in any authorized denominations, and of a like aggregate principal amount) at the office or agency maintained by us for such purposes (initially the corporate trust office of the Trustee). Such transfer or exchange will be made without service charge, but we may require payment of a sum sufficient to cover any tax or other governmental charge and any other expenses then payable. Prior to the due presentment of a Note for registration of transfer, we, the Trustee and any other agent of ours or the Trustee may treat the registered holder of each Note as the owner of such Note for the purpose of receiving payments of principal of and interest on such Note and for all other purposes whatsoever.</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Indenture does not contain any provisions that would limit our ability to incur unsecured indebtedness or that would afford holders of the Notes protection in the event of a sudden and significant decline in our credit quality or a takeover, recapitalization or highly leveraged or similar transaction involving us. Accordingly, we could in the future enter into transactions that could increase the amount of indebtedness outstanding at that time or otherwise affect our capital structure or the credit rating of the Notes.</w:t>
      </w:r>
    </w:p>
    <w:p>
      <w:pPr>
        <w:spacing w:after="0" w:line="178"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The Notes will not be subject to any sinking fund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amounts will be set aside by us to ensure repayment of the Notes at maturity). As a result, our ability to repay the Notes at maturity will depend on our financial condition on the date that we are required to repay the Notes.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our option, in whole or in part, at any time and from time to time, at a redemption price (expressed as a percentage of principal amount and rounded to three decimal places) equal to the greater of:</w:t>
      </w:r>
    </w:p>
    <w:p>
      <w:pPr>
        <w:spacing w:after="0" w:line="67" w:lineRule="exact"/>
        <w:rPr>
          <w:sz w:val="20"/>
          <w:szCs w:val="20"/>
          <w:color w:val="auto"/>
        </w:rPr>
      </w:pPr>
    </w:p>
    <w:p>
      <w:pPr>
        <w:jc w:val="both"/>
        <w:ind w:left="1080" w:right="1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40 basis points and 35 basis points for the 6.500% Notes and the 5.750% Notes, respectively, less (b) interest accrued to the date of redemption,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of the Notes.</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at any time on or after the Par Call Date, the Company may redeem some of or all of the Notes, at any time and from time to time, at a redemption price equal to 100% of the principal amount of the Notes to be redeemed plus, in each case, accrued and unpaid interest, if any, to, but excluding, the redemption date.</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If we choose to redeem any Notes, we will deliver a notice of redemption to holders of the Notes to be redeemed not less than 10 nor more than 60 days before the redemption date. If we are redeeming less than all of the Notes, the particular Notes to be redeemed will be selected in accordance with the applicable procedures of the Trustee and, so long as the Notes are registered to DTC or its nominee, the DTC;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 such partial redemption will reduce the portion of the principal amount of a Note not redeemed to less than $2,000. If any Note is to be redeemed in part only, the notice of redemption that relates to the Note will state the portion of the principal amount of the Note to be redeemed. Unless we default in payment of the redemption price, on and after the redemption date, interest will cease to accrue on the Notes or portions of the Notes called for redemption.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 determined by us in accordance with the below.</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—one yield corresponding to the Treasury constant maturity on H.15 immediately shorter than and one yield corresponding to the Treasury constant maturity on H.15 immediately longer than the Remaining Life—and shall interpolate to the applicable Par Call Date of the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of the Notes, as applicable. If there is no United States Treasury security maturing on the applicable Par Call Date of the Notes but there are two or more United States Treasury securities with a maturity date equally distant from the applicable Par Call Date of the Notes, one with a maturity date preceding the applicable Par Call Date of the Notes and one with a maturity date following the applicable Par Call Date of the Notes, we shall select the United States Treasury security with a maturity date preceding the applicable Par Call Date of the Notes. If there are two or more United States Treasury securities maturing on the applicable Par Call Date of the Notes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6" w:lineRule="exact"/>
        <w:rPr>
          <w:sz w:val="20"/>
          <w:szCs w:val="20"/>
          <w:color w:val="auto"/>
        </w:rPr>
      </w:pPr>
    </w:p>
    <w:p>
      <w:pPr>
        <w:jc w:val="both"/>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Our actions and determinations in determining the redemption price of any of the Notes shall be conclusive and binding for all purposes, absent manifest error. For the avoidance of doubt, the Trustee will not be responsible or liable for determining, confirming, or verifying the redemption price.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1940 Act, we will, to the extent lawful:</w:t>
      </w:r>
    </w:p>
    <w:p>
      <w:pPr>
        <w:spacing w:after="0" w:line="162" w:lineRule="exact"/>
        <w:rPr>
          <w:sz w:val="20"/>
          <w:szCs w:val="20"/>
          <w:color w:val="auto"/>
        </w:rPr>
      </w:pPr>
    </w:p>
    <w:p>
      <w:pPr>
        <w:ind w:left="820" w:hanging="264"/>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20" w:right="80" w:firstLine="436"/>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paying agent will promptly remit to each holder of Notes properly tendered the purchase price for the Notes, and the Trustee will promptly authenticate and mail (or cause to be transferred by book-entry) to each holder an Exchange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Exchange Note will be in a minimum principal amount of $2,000 or an integral multiple of $1,000 in excess thereof.</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and credit facility provide that certain change of control events will constitute an event of default thereunder entitling the lenders to accelerate any indebtedness outstanding under the credit facility at that time and to terminate the financing arrangements. See “Management’s Discussion and Analysis of Financial Condition and Results of Operations—Financial Condition, Liquidity and Capital Resources” in the Company’s Annual Report on Form 10-K for the fiscal year ended December 31, 2023, and/or our most recently Quarterly Report on Form 10-Q, each of which is incorporated by reference herein, for a general discussion of our and our subsidiaries’ indebtedness.</w:t>
      </w:r>
    </w:p>
    <w:p>
      <w:pPr>
        <w:spacing w:after="0" w:line="188"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Related to the Exchange Notes—We may not be able to repurchase the Notes upon a Change of Control Repurchase Event” in this prospectus for more information.</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Exchange Notes:</w:t>
      </w:r>
    </w:p>
    <w:p>
      <w:pPr>
        <w:spacing w:after="0" w:line="22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Below Investment Grade Rating Event</w:t>
      </w:r>
      <w:r>
        <w:rPr>
          <w:rFonts w:ascii="Times New Roman" w:cs="Times New Roman" w:eastAsia="Times New Roman" w:hAnsi="Times New Roman"/>
          <w:sz w:val="18"/>
          <w:szCs w:val="18"/>
          <w:color w:val="auto"/>
        </w:rPr>
        <w:t xml:space="preserve">”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7" w:lineRule="exact"/>
        <w:rPr>
          <w:sz w:val="20"/>
          <w:szCs w:val="20"/>
          <w:color w:val="auto"/>
        </w:rPr>
      </w:pPr>
    </w:p>
    <w:p>
      <w:pPr>
        <w:ind w:left="120" w:right="180" w:firstLine="436"/>
        <w:spacing w:after="0" w:line="258"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Sixth Street Lending Partners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Sixth Street Lending Partners or its Controlled Subsidiaries shall not be deemed to be any such sale, lease, transfer, conveyance or disposition;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36"/>
        <w:spacing w:after="0" w:line="26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Sixth Street Lending Partners, measured by voting power rather than number of shares; or</w:t>
      </w:r>
    </w:p>
    <w:p>
      <w:pPr>
        <w:spacing w:after="0" w:line="179"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Sixth Street Lending Partners’ stockholders of any plan or proposal relating to the liquidation or dissolution of Sixth Street Lending Partners.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Subsidiary</w:t>
      </w:r>
      <w:r>
        <w:rPr>
          <w:rFonts w:ascii="Times New Roman" w:cs="Times New Roman" w:eastAsia="Times New Roman" w:hAnsi="Times New Roman"/>
          <w:sz w:val="18"/>
          <w:szCs w:val="18"/>
          <w:color w:val="auto"/>
        </w:rPr>
        <w:t>” means any subsidiary of Sixth Street Lending Partners, 50% or more of the outstanding equity interests of which are owned by Sixth Street Lending Partners and its direct or indirect subsidiaries and of which Sixth Street Lending Partners possesses, directly or indirectly, the power to direct or cause the direction of the management or policies, whether through the ownership of voting equity interests, by agreement or otherwise.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pacing w:after="0" w:line="225"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Investment Grade</w:t>
      </w:r>
      <w:r>
        <w:rPr>
          <w:rFonts w:ascii="Times New Roman" w:cs="Times New Roman" w:eastAsia="Times New Roman" w:hAnsi="Times New Roman"/>
          <w:sz w:val="17"/>
          <w:szCs w:val="17"/>
          <w:color w:val="auto"/>
        </w:rPr>
        <w:t>” means a rating of BBB- or better by Fitch (or its equivalent under any successor rating categories of Fitch)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or any successor thereto.</w:t>
      </w:r>
    </w:p>
    <w:p>
      <w:pPr>
        <w:spacing w:after="0" w:line="22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means (i) us, (ii) one or more of our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360" w:hanging="253"/>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and Moody’s; and</w:t>
      </w:r>
    </w:p>
    <w:p>
      <w:pPr>
        <w:spacing w:after="0" w:line="117" w:lineRule="exact"/>
        <w:rPr>
          <w:rFonts w:ascii="Times New Roman" w:cs="Times New Roman" w:eastAsia="Times New Roman" w:hAnsi="Times New Roman"/>
          <w:sz w:val="18"/>
          <w:szCs w:val="18"/>
          <w:color w:val="auto"/>
        </w:rPr>
      </w:pPr>
    </w:p>
    <w:p>
      <w:pPr>
        <w:ind w:left="1100" w:right="40" w:firstLine="7"/>
        <w:spacing w:after="0" w:line="266" w:lineRule="auto"/>
        <w:tabs>
          <w:tab w:leader="none" w:pos="13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of Fitch or Moody’s ceases to rate the Notes or fails to make a rating of the Notes publicly available for reasons outside of our control, a “nationally recognized statistical rating organization” as defined in Section (3)(a)(62) of the Exchange Act selected by us as a replacement agency for Fitch or Moody’s, or both, as the case may be.</w:t>
      </w:r>
    </w:p>
    <w:p>
      <w:pPr>
        <w:spacing w:after="0" w:line="174" w:lineRule="exact"/>
        <w:rPr>
          <w:sz w:val="20"/>
          <w:szCs w:val="20"/>
          <w:color w:val="auto"/>
        </w:rPr>
      </w:pPr>
    </w:p>
    <w:p>
      <w:pPr>
        <w:ind w:left="120" w:right="3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Merger, Consolidation or Sale of Assets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Sixth Street Lending Partners or its Controlled Subsidiaries shall not be deemed to be any such sale, transfer, lease, conveyance or disposition) in any one transaction or series of related transactions unless:</w:t>
      </w:r>
    </w:p>
    <w:p>
      <w:pPr>
        <w:spacing w:after="0" w:line="85" w:lineRule="exact"/>
        <w:rPr>
          <w:sz w:val="20"/>
          <w:szCs w:val="20"/>
          <w:color w:val="auto"/>
        </w:rPr>
      </w:pPr>
    </w:p>
    <w:p>
      <w:pPr>
        <w:ind w:left="1080" w:right="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and the applicable registration rights agreement to be performed by us;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Covenants</w:t>
      </w:r>
    </w:p>
    <w:p>
      <w:pPr>
        <w:spacing w:after="0" w:line="133" w:lineRule="exact"/>
        <w:rPr>
          <w:sz w:val="20"/>
          <w:szCs w:val="20"/>
          <w:color w:val="auto"/>
        </w:rPr>
      </w:pPr>
    </w:p>
    <w:p>
      <w:pPr>
        <w:ind w:left="1080" w:right="3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58"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225" w:lineRule="exact"/>
        <w:rPr>
          <w:sz w:val="20"/>
          <w:szCs w:val="20"/>
          <w:color w:val="auto"/>
        </w:rPr>
      </w:pPr>
    </w:p>
    <w:p>
      <w:pPr>
        <w:ind w:left="820" w:hanging="26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due and payable and the default continues for a period of 30 days;</w:t>
      </w:r>
    </w:p>
    <w:p>
      <w:pPr>
        <w:spacing w:after="0" w:line="225"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161" w:lineRule="exact"/>
        <w:rPr>
          <w:rFonts w:ascii="Times New Roman" w:cs="Times New Roman" w:eastAsia="Times New Roman" w:hAnsi="Times New Roman"/>
          <w:sz w:val="18"/>
          <w:szCs w:val="18"/>
          <w:color w:val="auto"/>
        </w:rPr>
      </w:pPr>
    </w:p>
    <w:p>
      <w:pPr>
        <w:ind w:left="120" w:right="260" w:firstLine="436"/>
        <w:spacing w:after="0" w:line="312" w:lineRule="auto"/>
        <w:tabs>
          <w:tab w:leader="none" w:pos="8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139" w:lineRule="exact"/>
        <w:rPr>
          <w:rFonts w:ascii="Times New Roman" w:cs="Times New Roman" w:eastAsia="Times New Roman" w:hAnsi="Times New Roman"/>
          <w:sz w:val="17"/>
          <w:szCs w:val="17"/>
          <w:color w:val="auto"/>
        </w:rPr>
      </w:pPr>
    </w:p>
    <w:p>
      <w:pPr>
        <w:ind w:left="120" w:firstLine="436"/>
        <w:spacing w:after="0" w:line="254"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 (c) is not consolidated with Sixth Street Lending Partners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188"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occur and remain undischarged or unstayed for a period of 90 days.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54" w:lineRule="exact"/>
        <w:rPr>
          <w:sz w:val="20"/>
          <w:szCs w:val="20"/>
          <w:color w:val="auto"/>
        </w:rPr>
      </w:pPr>
    </w:p>
    <w:p>
      <w:pPr>
        <w:ind w:left="1200" w:hanging="221"/>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17" w:lineRule="exact"/>
        <w:rPr>
          <w:rFonts w:ascii="Times New Roman" w:cs="Times New Roman" w:eastAsia="Times New Roman" w:hAnsi="Times New Roman"/>
          <w:sz w:val="18"/>
          <w:szCs w:val="18"/>
          <w:color w:val="auto"/>
        </w:rPr>
      </w:pPr>
    </w:p>
    <w:p>
      <w:pPr>
        <w:ind w:left="560" w:right="540" w:firstLine="419"/>
        <w:spacing w:after="0" w:line="282" w:lineRule="auto"/>
        <w:tabs>
          <w:tab w:leader="none" w:pos="12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have made written request to the Trustee to institute proceedings in respect of such event of default;</w:t>
      </w:r>
    </w:p>
    <w:p>
      <w:pPr>
        <w:spacing w:after="0" w:line="53" w:lineRule="exact"/>
        <w:rPr>
          <w:rFonts w:ascii="Times New Roman" w:cs="Times New Roman" w:eastAsia="Times New Roman" w:hAnsi="Times New Roman"/>
          <w:sz w:val="18"/>
          <w:szCs w:val="18"/>
          <w:color w:val="auto"/>
        </w:rPr>
      </w:pPr>
    </w:p>
    <w:p>
      <w:pPr>
        <w:ind w:left="560" w:right="460" w:firstLine="419"/>
        <w:spacing w:after="0" w:line="282" w:lineRule="auto"/>
        <w:tabs>
          <w:tab w:leader="none" w:pos="1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560" w:right="720" w:firstLine="419"/>
        <w:spacing w:after="0" w:line="282" w:lineRule="auto"/>
        <w:tabs>
          <w:tab w:leader="none" w:pos="12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the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securities registrar for cancellation all outstanding Notes or by depositing with the Trustee or delivering to the holders, as applicable,</w:t>
      </w: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after the Notes have become due and payable, or otherwise, moneys sufficient to pay all of the outstanding Notes and paying all other sums payable under the Indenture by us. Such discharge is subject to terms contained in the Indenture.</w:t>
      </w:r>
    </w:p>
    <w:p>
      <w:pPr>
        <w:spacing w:after="0" w:line="18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memorandum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at any particular time its corporate trust business with respect to the Indenture shall be administered, which office is currently located at U.S. Bank Trust Company, National Association, 100 Wall Street, New York, New York 10005.</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Global Notes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below, Notes will be issued in registered, global form, without interest coupons (the “Global Notes”). The Global Notes will be issued in minimum denominations of $2,000 and integral multiples of $1,000 in excess thereof. Exchange Notes will be issued at the closing of this offering only against payment in immediately available funds.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Global Notes will be deposited upon issuance with the Trustee as custodian for DTC and registered in the name of DTC’s nominee, Cede &amp; Co., in each case for credit to an account of a direct or indirect participant in DTC as described below.</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but not in part, only to DTC, to a nominee of DTC or to a successor of DTC or its nominee. Beneficial interests in the Global Notes may not be exchanged for notes in registered, certificated form (the “Certificated Notes”) except in the limited circumstances described below. See “—Certificated Notes.” Except in the limited circumstances described below, owners of beneficial interests in the Global Notes will not be entitled to receive physical delivery of notes in certificated form.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Book-Entry Procedures for Global Notes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initial purchasers are responsible for those operations or procedures.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and Clearstream is also available to others such as banks, brokers, dealers and trust companies that clear through or maintain a custodial relationship with a Euroclear and Clearstream participant, either directly or indirectly.</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So long as the Notes are held in global form, Euroclear, Clearstream and/or DTC, as applicable, (or their respective nominees) will be considered the sole holders of Global Notes for all purposes under the Indenture. As such, participants must rely on the procedures of Euroclear, Clearstream and/or DTC and indirect participants must rely on the procedures of Euroclear, Clearstream and/ or DTC and the participants through which they own interests in the Notes, or Book-Entry Interests, in order to exercise any rights of holders under the Indenture.</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So long as DTC, Euroclear or Clearstream’s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62"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Euroclear or Clearstream to exercise any rights of a holder of Notes under the Indenture (and, if the investor is not a participant or an indirect participant in DTC, Euroclear or Clearstream, on the procedures of the DTC, Euroclear or Clearstream participant through which the investor owns its interest).</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Payments of principal and interest with respect to the Notes represented by a Global Note will be made by the Trustee to DTC, Euroclear or Clearstream’s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Euroclear or Clearstream, or for maintaining, supervising or reviewing any records of DTC, Euroclear or Clearstream relating to those interests.</w:t>
      </w:r>
    </w:p>
    <w:p>
      <w:pPr>
        <w:spacing w:after="0" w:line="16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Payments by participants and indirect participants in DTC, Euroclear or Clearstream to the owners of beneficial interests in a Global Note will be governed by standing instructions and customary industry practice and will be the responsibility of those participants or indirect participants and DTC, Euroclear or Clearstream.</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Transfers between participants in DTC, Euroclear or Clearstream will be effected under DTC, Euroclear or Clearstream’s procedures and will be settled in same-day funds.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Certificated Notes</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Euroclear or Clearstream identifies as a beneficial owner of the related Notes only if:</w:t>
      </w:r>
    </w:p>
    <w:p>
      <w:pPr>
        <w:spacing w:after="0" w:line="67" w:lineRule="exact"/>
        <w:rPr>
          <w:sz w:val="20"/>
          <w:szCs w:val="20"/>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Euroclear or Clearstream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320" w:top="455" w:right="6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exchange of Restricted Notes for Exchange Notes in the exchange offer will not constitute a taxable event to holders for U.S. federal income tax purposes. Consequently, for U.S. federal income tax purposes, (i) you will not recognize gain or loss as a result of the exchange, (ii) the holding period of the Exchange Notes you receive will include the holding period of the Restricted Notes exchanged therefor and (iii) the basis of the Exchange Notes you receive will be the same as the basis of the Restricted Notes exchanged therefor immediately before the exchange.</w:t>
      </w:r>
    </w:p>
    <w:p>
      <w:pPr>
        <w:spacing w:after="0" w:line="176"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 any event, persons considering the exchange of Restricted Notes for Exchange Notes should consult their own tax advisors concerning the U.S. federal income tax consequences in light of their particular situations as well as any consequences arising under the laws of any other taxing jurisdiction.</w:t>
      </w:r>
    </w:p>
    <w:p>
      <w:pPr>
        <w:spacing w:after="0" w:line="17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Regulated Investment Company Classification</w:t>
      </w:r>
      <w:r>
        <w:rPr>
          <w:rFonts w:ascii="Times New Roman" w:cs="Times New Roman" w:eastAsia="Times New Roman" w:hAnsi="Times New Roman"/>
          <w:sz w:val="18"/>
          <w:szCs w:val="18"/>
          <w:color w:val="auto"/>
        </w:rPr>
        <w:t>” in Part 1A and Item 1 of Part 1, respectively, of the Company’s Annual Report on Form 10-K for the fiscal year ended December 31, 2023, which is incorporated herein by reference.</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320" w:top="455"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of financial highlights is intended to help a prospective investor understand the Company’s financial performance for the periods shown. The financial data set forth in the following table as of and for the year ended December 31, 2023 are derived from our consolidated financial statements, which have been audited by         , an independent registered public accounting firm whose reports thereon are incorporated by reference in this prospectus, certain documents incorporated by reference in this prospectus or the accompanying prospectus supplement, or the Company’s Annual Report on Form 10-K for the fiscal year ended December 31, 2023, which may be obtained from www.sec.gov or upon request. The Company’s unaudited financial statements included in the Company’s Quarterly Report on Form 10-Q for the quarter ended June 30, 2024 are incorporated by reference herein. You should read these financial highlights in conjunction with our consolidated financial statements and notes thereto and “Management’s Discussion and Analysis of Financial Condition and Results of Operations” incorporated by reference in this prospectus, any documents incorporated by reference in this prospectus or the accompanying prospectus supplement, or the Company’s Annual Report on Form 10-K or Quarterly Report on Form 10-Q filed with the SEC.</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are the financial highlights for the six months ended June 30, 2024:</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5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Per Share Data</w:t>
            </w:r>
            <w:r>
              <w:rPr>
                <w:rFonts w:ascii="Times New Roman" w:cs="Times New Roman" w:eastAsia="Times New Roman" w:hAnsi="Times New Roman"/>
                <w:sz w:val="25"/>
                <w:szCs w:val="25"/>
                <w:b w:val="1"/>
                <w:bCs w:val="1"/>
                <w:color w:val="auto"/>
                <w:vertAlign w:val="superscript"/>
              </w:rPr>
              <w:t>(1)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investment income</w:t>
            </w:r>
            <w:r>
              <w:rPr>
                <w:rFonts w:ascii="Times New Roman" w:cs="Times New Roman" w:eastAsia="Times New Roman" w:hAnsi="Times New Roman"/>
                <w:sz w:val="25"/>
                <w:szCs w:val="25"/>
                <w:color w:val="auto"/>
                <w:vertAlign w:val="superscript"/>
              </w:rPr>
              <w:t>(2)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realized and unrealized gains (loss)</w:t>
            </w:r>
            <w:r>
              <w:rPr>
                <w:rFonts w:ascii="Times New Roman" w:cs="Times New Roman" w:eastAsia="Times New Roman" w:hAnsi="Times New Roman"/>
                <w:sz w:val="25"/>
                <w:szCs w:val="25"/>
                <w:color w:val="auto"/>
                <w:vertAlign w:val="superscript"/>
              </w:rPr>
              <w:t>(2)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320"/>
              <w:spacing w:after="0" w:line="243" w:lineRule="exact"/>
              <w:rPr>
                <w:sz w:val="20"/>
                <w:szCs w:val="20"/>
                <w:color w:val="auto"/>
              </w:rPr>
            </w:pPr>
            <w:r>
              <w:rPr>
                <w:rFonts w:ascii="Times New Roman" w:cs="Times New Roman" w:eastAsia="Times New Roman" w:hAnsi="Times New Roman"/>
                <w:sz w:val="18"/>
                <w:szCs w:val="18"/>
                <w:color w:val="auto"/>
              </w:rPr>
              <w:t>Net Common Share Issuance</w:t>
            </w:r>
            <w:r>
              <w:rPr>
                <w:rFonts w:ascii="Times New Roman" w:cs="Times New Roman" w:eastAsia="Times New Roman" w:hAnsi="Times New Roman"/>
                <w:sz w:val="26"/>
                <w:szCs w:val="26"/>
                <w:color w:val="auto"/>
                <w:vertAlign w:val="superscript"/>
              </w:rPr>
              <w:t>(3)</w:t>
            </w: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Distributions Declared</w:t>
            </w:r>
            <w:r>
              <w:rPr>
                <w:rFonts w:ascii="Times New Roman" w:cs="Times New Roman" w:eastAsia="Times New Roman" w:hAnsi="Times New Roman"/>
                <w:sz w:val="25"/>
                <w:szCs w:val="25"/>
                <w:color w:val="auto"/>
                <w:vertAlign w:val="superscript"/>
              </w:rPr>
              <w:t>(4)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320"/>
              <w:spacing w:after="0" w:line="25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6"/>
                <w:szCs w:val="26"/>
                <w:color w:val="auto"/>
                <w:vertAlign w:val="superscript"/>
              </w:rPr>
              <w:t>(5)</w:t>
            </w: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94,644,720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Ratios/Supplemental Data</w:t>
            </w:r>
            <w:r>
              <w:rPr>
                <w:rFonts w:ascii="Times New Roman" w:cs="Times New Roman" w:eastAsia="Times New Roman" w:hAnsi="Times New Roman"/>
                <w:sz w:val="25"/>
                <w:szCs w:val="25"/>
                <w:b w:val="1"/>
                <w:bCs w:val="1"/>
                <w:color w:val="auto"/>
                <w:vertAlign w:val="superscript"/>
              </w:rPr>
              <w:t>(6)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5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 management fee</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waiver</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expenses to average net assets with management fee waiver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5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78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management fee waiver</w:t>
            </w:r>
            <w:r>
              <w:rPr>
                <w:rFonts w:ascii="Times New Roman" w:cs="Times New Roman" w:eastAsia="Times New Roman" w:hAnsi="Times New Roman"/>
                <w:sz w:val="26"/>
                <w:szCs w:val="26"/>
                <w:color w:val="auto"/>
                <w:vertAlign w:val="superscript"/>
              </w:rPr>
              <w:t>(5)</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5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78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fee waiver</w:t>
            </w:r>
            <w:r>
              <w:rPr>
                <w:rFonts w:ascii="Times New Roman" w:cs="Times New Roman" w:eastAsia="Times New Roman" w:hAnsi="Times New Roman"/>
                <w:sz w:val="26"/>
                <w:szCs w:val="26"/>
                <w:color w:val="auto"/>
                <w:vertAlign w:val="superscript"/>
              </w:rPr>
              <w:t>(5)</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 rate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355"/>
        </w:trPr>
        <w:tc>
          <w:tcPr>
            <w:tcW w:w="13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r>
              <w:rPr>
                <w:rFonts w:ascii="Times New Roman" w:cs="Times New Roman" w:eastAsia="Times New Roman" w:hAnsi="Times New Roman"/>
                <w:sz w:val="26"/>
                <w:szCs w:val="26"/>
                <w:color w:val="auto"/>
                <w:vertAlign w:val="superscript"/>
              </w:rPr>
              <w:t>(6)</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2,749,507</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9"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8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560" w:right="4100" w:hanging="444"/>
        <w:spacing w:after="0" w:line="546" w:lineRule="auto"/>
        <w:tabs>
          <w:tab w:leader="none" w:pos="55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ratios, excluding nonrecurring expenses, such as organization costs, are annualized. The following are the financial highlights for the year ended December 31, 2023:</w:t>
      </w:r>
    </w:p>
    <w:tbl>
      <w:tblPr>
        <w:tblLayout w:type="fixed"/>
        <w:tblInd w:w="188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72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7"/>
                <w:szCs w:val="17"/>
                <w:b w:val="1"/>
                <w:bCs w:val="1"/>
                <w:color w:val="auto"/>
              </w:rPr>
              <w:t>Per Share Data</w:t>
            </w:r>
            <w:r>
              <w:rPr>
                <w:rFonts w:ascii="Times New Roman" w:cs="Times New Roman" w:eastAsia="Times New Roman" w:hAnsi="Times New Roman"/>
                <w:sz w:val="25"/>
                <w:szCs w:val="25"/>
                <w:b w:val="1"/>
                <w:bCs w:val="1"/>
                <w:color w:val="auto"/>
                <w:vertAlign w:val="superscript"/>
              </w:rPr>
              <w:t>(4)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 (loss)(1)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Common Share Issuance(3)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return based on net asset value(2)</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65,478,775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Ratios/Supplemental Data</w:t>
            </w:r>
            <w:r>
              <w:rPr>
                <w:rFonts w:ascii="Times New Roman" w:cs="Times New Roman" w:eastAsia="Times New Roman" w:hAnsi="Times New Roman"/>
                <w:sz w:val="25"/>
                <w:szCs w:val="25"/>
                <w:color w:val="auto"/>
                <w:vertAlign w:val="superscript"/>
              </w:rPr>
              <w:t>(5)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 management fee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 management fee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 waiver</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1,817,067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27"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5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9" w:lineRule="exact"/>
        <w:rPr>
          <w:rFonts w:ascii="Times New Roman" w:cs="Times New Roman" w:eastAsia="Times New Roman" w:hAnsi="Times New Roman"/>
          <w:sz w:val="18"/>
          <w:szCs w:val="18"/>
          <w:color w:val="auto"/>
        </w:rPr>
      </w:pPr>
    </w:p>
    <w:p>
      <w:pPr>
        <w:ind w:left="540" w:right="580" w:hanging="424"/>
        <w:spacing w:after="0" w:line="26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April 5th (Inception) through December 31, 2022, the ratios represent information on an annualized basis, except for nonrecurring expenses, such as organizational and offering expenses, which are not annualized.</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320" w:top="455" w:right="5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“Management’s Discussion and Analysis of Financial Condition and Results of Operations” in Part II, Item 7 of the Company’s Annual Report on Form 10-K for the fiscal year ended December 31, 2023 and Part I, Item 2 of the Company’s Quarterly Report on Form 10-Q for the quarterly period ended June 30, 2024 is incorporated herein by reference.</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“Quantitative and Qualitative Disclosures About Market Risk” in Part II, Item 7A of the Company’s Annual Report on Form 10-K for the fiscal year ended December 31, 2023 and Part I, Item 3 of the Company’s Quarterly Report on Form 10-Q for the quarterly period ended June 30, 2024 is incorporated herein by reference.</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320" w:top="455"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 in exchange for Restricted Notes where such Restricted Notes were acquired as a result of market-making or other trading activities must acknowledge that it will deliver a prospectus in connection with any resale or other transfer of such Exchange Notes. This prospectus, as it may be amended or supplemented from time to time, may be used by such a broker-dealer in connection with resales or other transfers of such Exchange Notes. To the extent any such broker-dealer participates in the exchange offer, we have agreed that, for a period of up to 180 days after the completion of the exchange offer, upon request of such broker-dealer, we will make this prospectus, as amended or supplemented, available to such broker-dealer for use in connection with any such resales or other transfers of Exchange Notes, and will deliver as many additional copies of this prospectus and each amendment or supplement to this prospectus and any documents incorporated by reference in this prospectus as such broker-dealer may reasonably request.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resales or other transfers of Exchange Notes by such broker-dealers. Exchange Notes received by such broker-dealers for their own accounts pursuant to the exchange offer may be resold from time to time in one or more transactions in the over-the-counter market, in negotiated transactions, through the writing of options on the Exchange Notes or a combination of these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such broker-dealer that resells Exchange Notes that were received by it for its own account pursuant to the exchange offer and any broker or dealer that participates in a distribution of such Exchange Notes may be deemed to be an “underwriter” of the Exchange Notes within the meaning of the 1933 Act, and any profit on any such resale of Exchange Notes and any commissions or concessions received by any such persons may be deemed to be underwriting compensation under the 1933 Act. The accompanying Letter of Transmittal states that, by acknowledging that it will deliver and by delivering a prospectus, such broker-dealer will not be deemed to admit that it is an “underwriter” of the Exchange Notes within the meaning of the 1933 Act.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BUSINESS OF THE COMPANY</w:t>
      </w:r>
    </w:p>
    <w:p>
      <w:pPr>
        <w:spacing w:after="0" w:line="227"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information in “Business” in Part I, Item 1 of the Company’s Annual Report on Form 10-K for the fiscal year ended December 31, 2023 is incorporated herein by reference.</w:t>
      </w:r>
    </w:p>
    <w:p>
      <w:pPr>
        <w:spacing w:after="0" w:line="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60"/>
          </w:cols>
          <w:pgMar w:left="320" w:top="455" w:right="7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REGULATION OF THE COMPANY</w:t>
      </w:r>
    </w:p>
    <w:p>
      <w:pPr>
        <w:spacing w:after="0" w:line="227"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information in “Business—Regulation as a Business Development Company” in Part I, Item 1 of the Company’s Annual Report on Form 10-K for the fiscal year ended December 31, 2023 is incorporated herein by reference.</w:t>
      </w:r>
    </w:p>
    <w:p>
      <w:pPr>
        <w:spacing w:after="0" w:line="9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40"/>
          </w:cols>
          <w:pgMar w:left="320" w:top="455" w:right="8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as of the dates indicated in the below table. The report of our independent registered public accounting firm,        , on the senior securities table as of December 31, 2023 has been filed as an exhibit to the registration statement of which this prospectus is a part.</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Amount of</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xml:space="preserve"> ($</w:t>
            </w:r>
          </w:p>
        </w:tc>
        <w:tc>
          <w:tcPr>
            <w:tcW w:w="340" w:type="dxa"/>
            <w:vAlign w:val="bottom"/>
          </w:tcPr>
          <w:p>
            <w:pPr>
              <w:spacing w:after="0"/>
              <w:rPr>
                <w:sz w:val="12"/>
                <w:szCs w:val="12"/>
                <w:color w:val="auto"/>
              </w:rPr>
            </w:pPr>
          </w:p>
        </w:tc>
        <w:tc>
          <w:tcPr>
            <w:tcW w:w="1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Coverage Per</w:t>
            </w:r>
          </w:p>
        </w:tc>
        <w:tc>
          <w:tcPr>
            <w:tcW w:w="16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4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Average Market Value</w:t>
            </w:r>
          </w:p>
        </w:tc>
        <w:tc>
          <w:tcPr>
            <w:tcW w:w="0" w:type="dxa"/>
            <w:vAlign w:val="bottom"/>
          </w:tcPr>
          <w:p>
            <w:pPr>
              <w:spacing w:after="0"/>
              <w:rPr>
                <w:sz w:val="1"/>
                <w:szCs w:val="1"/>
                <w:color w:val="auto"/>
              </w:rPr>
            </w:pPr>
          </w:p>
        </w:tc>
      </w:tr>
      <w:tr>
        <w:trPr>
          <w:trHeight w:val="148"/>
        </w:trPr>
        <w:tc>
          <w:tcPr>
            <w:tcW w:w="27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34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Preference Per</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gridSpan w:val="6"/>
            <w:vMerge w:val="continue"/>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right"/>
              <w:ind w:right="1100"/>
              <w:spacing w:after="0" w:line="160" w:lineRule="exact"/>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0"/>
                <w:szCs w:val="10"/>
                <w:b w:val="1"/>
                <w:bCs w:val="1"/>
                <w:color w:val="auto"/>
              </w:rPr>
              <w:t>(2)</w:t>
            </w:r>
          </w:p>
        </w:tc>
        <w:tc>
          <w:tcPr>
            <w:tcW w:w="160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0"/>
                <w:szCs w:val="10"/>
                <w:b w:val="1"/>
                <w:bCs w:val="1"/>
                <w:color w:val="auto"/>
              </w:rPr>
              <w:t>(3)</w:t>
            </w:r>
          </w:p>
        </w:tc>
        <w:tc>
          <w:tcPr>
            <w:tcW w:w="1440" w:type="dxa"/>
            <w:vAlign w:val="bottom"/>
            <w:gridSpan w:val="2"/>
          </w:tcPr>
          <w:p>
            <w:pPr>
              <w:ind w:left="38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92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Facility</w:t>
            </w:r>
          </w:p>
        </w:tc>
        <w:tc>
          <w:tcPr>
            <w:tcW w:w="7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June 30, 2024 (unaudited)</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1,006.6</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2,047.5</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193.3</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2,456.0</w:t>
            </w:r>
          </w:p>
        </w:tc>
        <w:tc>
          <w:tcPr>
            <w:tcW w:w="16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538.0</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2,016.2</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Subscription Facility</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June 30, 2024 (unaudited)</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874.6</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2,047.5</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1,054.7</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2,456.0</w:t>
            </w:r>
          </w:p>
        </w:tc>
        <w:tc>
          <w:tcPr>
            <w:tcW w:w="16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2029 Notes</w:t>
            </w:r>
          </w:p>
        </w:tc>
        <w:tc>
          <w:tcPr>
            <w:tcW w:w="1880" w:type="dxa"/>
            <w:vAlign w:val="bottom"/>
            <w:tcBorders>
              <w:bottom w:val="single" w:sz="8" w:color="CCEEFF"/>
            </w:tcBorders>
            <w:gridSpan w:val="4"/>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June 30, 2024 (unaudited)</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743.7</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2,047.5</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74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ind w:left="540" w:right="32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June 30, 2024, for each portfolio company in which the Company had an investment. Percentages shown for class of securities held by the Company represent percentage of the class owned and do not necessarily represent voting ownership or economic ownership.</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board of trustees (the “Board of Trustees”) approved the valuation of the Company’s investment portfolio, as of December 31, 2023, at fair value as determined in good faith using a consistently applied valuation process in accordance with the Company’s documented valuation policy that has been reviewed and approved by the Board of Trustees, who also approve in good faith the valuation of such securities as of the end of each quarter. For more information relating to the Company’s investments, see the Company’s financial statements incorporated by reference in this prospectus.</w:t>
      </w:r>
    </w:p>
    <w:p>
      <w:pPr>
        <w:sectPr>
          <w:pgSz w:w="11900" w:h="16838" w:orient="portrait"/>
          <w:cols w:equalWidth="0" w:num="1">
            <w:col w:w="11140"/>
          </w:cols>
          <w:pgMar w:left="320" w:top="455" w:right="439" w:bottom="1440" w:gutter="0" w:footer="0" w:header="0"/>
        </w:sectPr>
      </w:pP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Initial</w:t>
            </w:r>
          </w:p>
        </w:tc>
        <w:tc>
          <w:tcPr>
            <w:tcW w:w="0" w:type="dxa"/>
            <w:vAlign w:val="bottom"/>
          </w:tcPr>
          <w:p>
            <w:pPr>
              <w:spacing w:after="0"/>
              <w:rPr>
                <w:sz w:val="1"/>
                <w:szCs w:val="1"/>
                <w:color w:val="auto"/>
              </w:rPr>
            </w:pPr>
          </w:p>
        </w:tc>
      </w:tr>
      <w:tr>
        <w:trPr>
          <w:trHeight w:val="122"/>
        </w:trPr>
        <w:tc>
          <w:tcPr>
            <w:tcW w:w="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87"/>
              </w:rPr>
              <w:t>Company</w:t>
            </w:r>
            <w:r>
              <w:rPr>
                <w:rFonts w:ascii="Times New Roman" w:cs="Times New Roman" w:eastAsia="Times New Roman" w:hAnsi="Times New Roman"/>
                <w:sz w:val="16"/>
                <w:szCs w:val="16"/>
                <w:b w:val="1"/>
                <w:bCs w:val="1"/>
                <w:color w:val="auto"/>
                <w:w w:val="87"/>
                <w:vertAlign w:val="superscript"/>
              </w:rPr>
              <w:t>(1)(9)</w:t>
            </w:r>
          </w:p>
        </w:tc>
        <w:tc>
          <w:tcPr>
            <w:tcW w:w="148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25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0" w:type="dxa"/>
            <w:vAlign w:val="bottom"/>
          </w:tcPr>
          <w:p>
            <w:pPr>
              <w:spacing w:after="0"/>
              <w:rPr>
                <w:sz w:val="1"/>
                <w:szCs w:val="1"/>
                <w:color w:val="auto"/>
              </w:rPr>
            </w:pPr>
          </w:p>
        </w:tc>
      </w:tr>
      <w:tr>
        <w:trPr>
          <w:trHeight w:val="144"/>
        </w:trPr>
        <w:tc>
          <w:tcPr>
            <w:tcW w:w="640" w:type="dxa"/>
            <w:vAlign w:val="bottom"/>
            <w:tcBorders>
              <w:bottom w:val="single" w:sz="8" w:color="auto"/>
            </w:tcBorders>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62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97"/>
        </w:trPr>
        <w:tc>
          <w:tcPr>
            <w:tcW w:w="212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Debt Investments</w:t>
            </w:r>
          </w:p>
        </w:tc>
        <w:tc>
          <w:tcPr>
            <w:tcW w:w="500" w:type="dxa"/>
            <w:vAlign w:val="bottom"/>
          </w:tcPr>
          <w:p>
            <w:pPr>
              <w:spacing w:after="0"/>
              <w:rPr>
                <w:sz w:val="8"/>
                <w:szCs w:val="8"/>
                <w:color w:val="auto"/>
              </w:rPr>
            </w:pPr>
          </w:p>
        </w:tc>
        <w:tc>
          <w:tcPr>
            <w:tcW w:w="2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1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30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color w:val="auto"/>
              </w:rPr>
              <w:t>First-lien loan ($59,650 par, due 5/2029)</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8"/>
              </w:rPr>
              <w:t>5/26/2023</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Bestpass, Inc.</w:t>
            </w:r>
            <w:r>
              <w:rPr>
                <w:rFonts w:ascii="Times New Roman" w:cs="Times New Roman" w:eastAsia="Times New Roman" w:hAnsi="Times New Roman"/>
                <w:sz w:val="10"/>
                <w:szCs w:val="10"/>
                <w:color w:val="auto"/>
              </w:rPr>
              <w:t>(3)(5)</w:t>
            </w:r>
          </w:p>
        </w:tc>
        <w:tc>
          <w:tcPr>
            <w:tcW w:w="304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New Karner Road</w:t>
            </w: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Albany, NY 12205</w:t>
            </w: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USA</w:t>
            </w:r>
          </w:p>
        </w:tc>
        <w:tc>
          <w:tcPr>
            <w:tcW w:w="30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color w:val="auto"/>
              </w:rPr>
              <w:t>First-lien loan ($282,352 par, due 2/2031)</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8"/>
              </w:rPr>
              <w:t>2/13/2024</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Truck-Lite Co., LLC</w:t>
            </w:r>
            <w:r>
              <w:rPr>
                <w:rFonts w:ascii="Times New Roman" w:cs="Times New Roman" w:eastAsia="Times New Roman" w:hAnsi="Times New Roman"/>
                <w:sz w:val="10"/>
                <w:szCs w:val="10"/>
                <w:color w:val="auto"/>
              </w:rPr>
              <w:t>(3)</w:t>
            </w:r>
          </w:p>
        </w:tc>
        <w:tc>
          <w:tcPr>
            <w:tcW w:w="304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20600 Civic Center Drive</w:t>
            </w: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Southfield, MI 48076</w:t>
            </w: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30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color w:val="auto"/>
              </w:rPr>
              <w:t>First-lien revolving loan ($1,020 par, due</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8"/>
              </w:rPr>
              <w:t>2/13/2024</w:t>
            </w:r>
          </w:p>
        </w:tc>
        <w:tc>
          <w:tcPr>
            <w:tcW w:w="0" w:type="dxa"/>
            <w:vAlign w:val="bottom"/>
          </w:tcPr>
          <w:p>
            <w:pPr>
              <w:spacing w:after="0"/>
              <w:rPr>
                <w:sz w:val="1"/>
                <w:szCs w:val="1"/>
                <w:color w:val="auto"/>
              </w:rPr>
            </w:pPr>
          </w:p>
        </w:tc>
      </w:tr>
      <w:tr>
        <w:trPr>
          <w:trHeight w:val="109"/>
        </w:trPr>
        <w:tc>
          <w:tcPr>
            <w:tcW w:w="6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04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2/2031)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-1130935</wp:posOffset>
            </wp:positionV>
            <wp:extent cx="6995160" cy="93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-942340</wp:posOffset>
            </wp:positionV>
            <wp:extent cx="6995160" cy="377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-187960</wp:posOffset>
            </wp:positionV>
            <wp:extent cx="699516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12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6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7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4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20" w:type="dxa"/>
            <w:vAlign w:val="bottom"/>
          </w:tcPr>
          <w:p>
            <w:pPr>
              <w:spacing w:after="0"/>
              <w:rPr>
                <w:sz w:val="12"/>
                <w:szCs w:val="12"/>
                <w:color w:val="auto"/>
              </w:rPr>
            </w:pP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Rate</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ind w:right="19"/>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3"/>
              <w:spacing w:after="0" w:line="148" w:lineRule="exact"/>
              <w:rPr>
                <w:sz w:val="20"/>
                <w:szCs w:val="20"/>
                <w:color w:val="auto"/>
              </w:rPr>
            </w:pPr>
            <w:r>
              <w:rPr>
                <w:rFonts w:ascii="Times New Roman" w:cs="Times New Roman" w:eastAsia="Times New Roman" w:hAnsi="Times New Roman"/>
                <w:sz w:val="11"/>
                <w:szCs w:val="11"/>
                <w:b w:val="1"/>
                <w:bCs w:val="1"/>
                <w:color w:val="auto"/>
                <w:w w:val="98"/>
              </w:rPr>
              <w:t>Fair Value</w:t>
            </w:r>
            <w:r>
              <w:rPr>
                <w:rFonts w:ascii="Times New Roman" w:cs="Times New Roman" w:eastAsia="Times New Roman" w:hAnsi="Times New Roman"/>
                <w:sz w:val="16"/>
                <w:szCs w:val="16"/>
                <w:b w:val="1"/>
                <w:bCs w:val="1"/>
                <w:color w:val="auto"/>
                <w:w w:val="98"/>
                <w:vertAlign w:val="superscript"/>
              </w:rPr>
              <w:t>(6)</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 Net Assets</w:t>
            </w:r>
          </w:p>
        </w:tc>
        <w:tc>
          <w:tcPr>
            <w:tcW w:w="30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443"/>
        </w:trPr>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SOFR + 5.75%</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11.09%</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$ 57,610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59,501</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w:t>
            </w:r>
          </w:p>
        </w:tc>
        <w:tc>
          <w:tcPr>
            <w:tcW w:w="500" w:type="dxa"/>
            <w:vAlign w:val="bottom"/>
          </w:tcPr>
          <w:p>
            <w:pPr>
              <w:spacing w:after="0"/>
              <w:rPr>
                <w:sz w:val="24"/>
                <w:szCs w:val="24"/>
                <w:color w:val="auto"/>
              </w:rPr>
            </w:pPr>
          </w:p>
        </w:tc>
      </w:tr>
      <w:tr>
        <w:trPr>
          <w:trHeight w:val="594"/>
        </w:trPr>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SOFR + 5.75%</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11.07%</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279,345</w:t>
            </w: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282,352</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w:t>
            </w:r>
          </w:p>
        </w:tc>
        <w:tc>
          <w:tcPr>
            <w:tcW w:w="500" w:type="dxa"/>
            <w:vAlign w:val="bottom"/>
          </w:tcPr>
          <w:p>
            <w:pPr>
              <w:spacing w:after="0"/>
              <w:rPr>
                <w:sz w:val="24"/>
                <w:szCs w:val="24"/>
                <w:color w:val="auto"/>
              </w:rPr>
            </w:pPr>
          </w:p>
        </w:tc>
      </w:tr>
      <w:tr>
        <w:trPr>
          <w:trHeight w:val="594"/>
        </w:trPr>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SOFR + 5.75%</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11.08%</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733</w:t>
            </w: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1,020</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24"/>
                <w:szCs w:val="24"/>
                <w:color w:val="auto"/>
              </w:rPr>
            </w:pPr>
          </w:p>
        </w:tc>
      </w:tr>
    </w:tbl>
    <w:p>
      <w:pPr>
        <w:spacing w:after="0" w:line="151" w:lineRule="exact"/>
        <w:rPr>
          <w:sz w:val="20"/>
          <w:szCs w:val="20"/>
          <w:color w:val="auto"/>
        </w:rPr>
      </w:pPr>
    </w:p>
    <w:p>
      <w:pPr>
        <w:sectPr>
          <w:pgSz w:w="11900" w:h="16838" w:orient="portrait"/>
          <w:cols w:equalWidth="0" w:num="2">
            <w:col w:w="5900" w:space="160"/>
            <w:col w:w="508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2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2"/>
        </w:trPr>
        <w:tc>
          <w:tcPr>
            <w:tcW w:w="2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337,688</w:t>
            </w:r>
          </w:p>
        </w:tc>
        <w:tc>
          <w:tcPr>
            <w:tcW w:w="140" w:type="dxa"/>
            <w:vAlign w:val="bottom"/>
          </w:tcPr>
          <w:p>
            <w:pPr>
              <w:spacing w:after="0"/>
              <w:rPr>
                <w:sz w:val="12"/>
                <w:szCs w:val="12"/>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342,873</w:t>
            </w:r>
          </w:p>
        </w:tc>
        <w:tc>
          <w:tcPr>
            <w:tcW w:w="140" w:type="dxa"/>
            <w:vAlign w:val="bottom"/>
          </w:tcPr>
          <w:p>
            <w:pPr>
              <w:spacing w:after="0"/>
              <w:rPr>
                <w:sz w:val="12"/>
                <w:szCs w:val="12"/>
                <w:color w:val="auto"/>
              </w:rPr>
            </w:pPr>
          </w:p>
        </w:tc>
        <w:tc>
          <w:tcPr>
            <w:tcW w:w="1440" w:type="dxa"/>
            <w:vAlign w:val="bottom"/>
            <w:gridSpan w:val="2"/>
          </w:tcPr>
          <w:p>
            <w:pPr>
              <w:jc w:val="right"/>
              <w:ind w:right="700"/>
              <w:spacing w:after="0" w:line="136" w:lineRule="exact"/>
              <w:rPr>
                <w:sz w:val="20"/>
                <w:szCs w:val="20"/>
                <w:color w:val="auto"/>
              </w:rPr>
            </w:pPr>
            <w:r>
              <w:rPr>
                <w:rFonts w:ascii="Times New Roman" w:cs="Times New Roman" w:eastAsia="Times New Roman" w:hAnsi="Times New Roman"/>
                <w:sz w:val="14"/>
                <w:szCs w:val="14"/>
                <w:b w:val="1"/>
                <w:bCs w:val="1"/>
                <w:color w:val="auto"/>
              </w:rPr>
              <w:t>12.5%</w:t>
            </w:r>
          </w:p>
        </w:tc>
      </w:tr>
      <w:tr>
        <w:trPr>
          <w:trHeight w:val="149"/>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2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Artisan Bidco, Inc.</w:t>
            </w:r>
            <w:r>
              <w:rPr>
                <w:rFonts w:ascii="Times New Roman" w:cs="Times New Roman" w:eastAsia="Times New Roman" w:hAnsi="Times New Roman"/>
                <w:sz w:val="10"/>
                <w:szCs w:val="10"/>
                <w:color w:val="auto"/>
              </w:rPr>
              <w:t>(3)</w:t>
            </w:r>
          </w:p>
        </w:tc>
        <w:tc>
          <w:tcPr>
            <w:tcW w:w="272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First-lien loan ($112,010 par, due</w:t>
            </w:r>
          </w:p>
        </w:tc>
        <w:tc>
          <w:tcPr>
            <w:tcW w:w="880" w:type="dxa"/>
            <w:vAlign w:val="bottom"/>
          </w:tcPr>
          <w:p>
            <w:pPr>
              <w:jc w:val="right"/>
              <w:ind w:right="148"/>
              <w:spacing w:after="0" w:line="126" w:lineRule="exact"/>
              <w:rPr>
                <w:sz w:val="20"/>
                <w:szCs w:val="20"/>
                <w:color w:val="auto"/>
              </w:rPr>
            </w:pPr>
            <w:r>
              <w:rPr>
                <w:rFonts w:ascii="Times New Roman" w:cs="Times New Roman" w:eastAsia="Times New Roman" w:hAnsi="Times New Roman"/>
                <w:sz w:val="14"/>
                <w:szCs w:val="14"/>
                <w:color w:val="auto"/>
              </w:rPr>
              <w:t>11/7/2023</w:t>
            </w:r>
          </w:p>
        </w:tc>
        <w:tc>
          <w:tcPr>
            <w:tcW w:w="118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SOFR + 7.00%</w:t>
            </w:r>
          </w:p>
        </w:tc>
        <w:tc>
          <w:tcPr>
            <w:tcW w:w="6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12.33%</w:t>
            </w: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109,642</w:t>
            </w:r>
          </w:p>
        </w:tc>
        <w:tc>
          <w:tcPr>
            <w:tcW w:w="120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111,366</w:t>
            </w:r>
          </w:p>
        </w:tc>
        <w:tc>
          <w:tcPr>
            <w:tcW w:w="1440" w:type="dxa"/>
            <w:vAlign w:val="bottom"/>
            <w:gridSpan w:val="2"/>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4.0%</w:t>
            </w:r>
          </w:p>
        </w:tc>
      </w:tr>
      <w:tr>
        <w:trPr>
          <w:trHeight w:val="148"/>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185 Devonshire Street</w:t>
            </w:r>
          </w:p>
        </w:tc>
        <w:tc>
          <w:tcPr>
            <w:tcW w:w="27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11/2029)</w:t>
            </w: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02110</w:t>
            </w: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1"/>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6"/>
        </w:trPr>
        <w:tc>
          <w:tcPr>
            <w:tcW w:w="2400" w:type="dxa"/>
            <w:vAlign w:val="bottom"/>
            <w:shd w:val="clear" w:color="auto" w:fill="CCEEFF"/>
          </w:tcPr>
          <w:p>
            <w:pPr>
              <w:spacing w:after="0"/>
              <w:rPr>
                <w:sz w:val="10"/>
                <w:szCs w:val="10"/>
                <w:color w:val="auto"/>
              </w:rPr>
            </w:pPr>
          </w:p>
        </w:tc>
        <w:tc>
          <w:tcPr>
            <w:tcW w:w="272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First-lien loan (EUR 52,125 par, due</w:t>
            </w:r>
          </w:p>
        </w:tc>
        <w:tc>
          <w:tcPr>
            <w:tcW w:w="880" w:type="dxa"/>
            <w:vAlign w:val="bottom"/>
            <w:shd w:val="clear" w:color="auto" w:fill="CCEEFF"/>
          </w:tcPr>
          <w:p>
            <w:pPr>
              <w:jc w:val="right"/>
              <w:ind w:right="148"/>
              <w:spacing w:after="0" w:line="126" w:lineRule="exact"/>
              <w:rPr>
                <w:sz w:val="20"/>
                <w:szCs w:val="20"/>
                <w:color w:val="auto"/>
              </w:rPr>
            </w:pPr>
            <w:r>
              <w:rPr>
                <w:rFonts w:ascii="Times New Roman" w:cs="Times New Roman" w:eastAsia="Times New Roman" w:hAnsi="Times New Roman"/>
                <w:sz w:val="14"/>
                <w:szCs w:val="14"/>
                <w:color w:val="auto"/>
              </w:rPr>
              <w:t>11/7/2023</w:t>
            </w:r>
          </w:p>
        </w:tc>
        <w:tc>
          <w:tcPr>
            <w:tcW w:w="118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E + 7.00%</w:t>
            </w:r>
          </w:p>
        </w:tc>
        <w:tc>
          <w:tcPr>
            <w:tcW w:w="64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10.83%</w:t>
            </w:r>
          </w:p>
        </w:tc>
        <w:tc>
          <w:tcPr>
            <w:tcW w:w="5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54,976</w:t>
            </w:r>
          </w:p>
        </w:tc>
        <w:tc>
          <w:tcPr>
            <w:tcW w:w="120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55,585</w:t>
            </w:r>
          </w:p>
        </w:tc>
        <w:tc>
          <w:tcPr>
            <w:tcW w:w="1440" w:type="dxa"/>
            <w:vAlign w:val="bottom"/>
            <w:gridSpan w:val="2"/>
            <w:shd w:val="clear" w:color="auto" w:fill="CCEEFF"/>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2.0%</w:t>
            </w:r>
          </w:p>
        </w:tc>
      </w:tr>
      <w:tr>
        <w:trPr>
          <w:trHeight w:val="171"/>
        </w:trPr>
        <w:tc>
          <w:tcPr>
            <w:tcW w:w="2400" w:type="dxa"/>
            <w:vAlign w:val="bottom"/>
            <w:shd w:val="clear" w:color="auto" w:fill="CCEEFF"/>
          </w:tcPr>
          <w:p>
            <w:pPr>
              <w:spacing w:after="0"/>
              <w:rPr>
                <w:sz w:val="14"/>
                <w:szCs w:val="14"/>
                <w:color w:val="auto"/>
              </w:rPr>
            </w:pP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11/2029)</w:t>
            </w:r>
          </w:p>
        </w:tc>
        <w:tc>
          <w:tcPr>
            <w:tcW w:w="8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(EUR 51,864)</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Azurite Intermediate Holdings, Inc.</w:t>
            </w:r>
            <w:r>
              <w:rPr>
                <w:rFonts w:ascii="Times New Roman" w:cs="Times New Roman" w:eastAsia="Times New Roman" w:hAnsi="Times New Roman"/>
                <w:sz w:val="10"/>
                <w:szCs w:val="10"/>
                <w:color w:val="auto"/>
              </w:rPr>
              <w:t>(3)</w:t>
            </w:r>
          </w:p>
        </w:tc>
        <w:tc>
          <w:tcPr>
            <w:tcW w:w="272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First-lien loan ($160,312 par, due 3/2031)</w:t>
            </w:r>
          </w:p>
        </w:tc>
        <w:tc>
          <w:tcPr>
            <w:tcW w:w="880" w:type="dxa"/>
            <w:vAlign w:val="bottom"/>
          </w:tcPr>
          <w:p>
            <w:pPr>
              <w:jc w:val="right"/>
              <w:ind w:right="148"/>
              <w:spacing w:after="0" w:line="126" w:lineRule="exact"/>
              <w:rPr>
                <w:sz w:val="20"/>
                <w:szCs w:val="20"/>
                <w:color w:val="auto"/>
              </w:rPr>
            </w:pPr>
            <w:r>
              <w:rPr>
                <w:rFonts w:ascii="Times New Roman" w:cs="Times New Roman" w:eastAsia="Times New Roman" w:hAnsi="Times New Roman"/>
                <w:sz w:val="14"/>
                <w:szCs w:val="14"/>
                <w:color w:val="auto"/>
              </w:rPr>
              <w:t>3/19/2024</w:t>
            </w:r>
          </w:p>
        </w:tc>
        <w:tc>
          <w:tcPr>
            <w:tcW w:w="118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SOFR + 6.50%</w:t>
            </w:r>
          </w:p>
        </w:tc>
        <w:tc>
          <w:tcPr>
            <w:tcW w:w="6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11.84%</w:t>
            </w: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157,049</w:t>
            </w:r>
          </w:p>
        </w:tc>
        <w:tc>
          <w:tcPr>
            <w:tcW w:w="120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157,937</w:t>
            </w:r>
          </w:p>
        </w:tc>
        <w:tc>
          <w:tcPr>
            <w:tcW w:w="1440" w:type="dxa"/>
            <w:vAlign w:val="bottom"/>
            <w:gridSpan w:val="2"/>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5.8%</w:t>
            </w:r>
          </w:p>
        </w:tc>
      </w:tr>
      <w:tr>
        <w:trPr>
          <w:trHeight w:val="148"/>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17200 Laguna Canyon Road</w:t>
            </w: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Irvine, CA 92618</w:t>
            </w: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1"/>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BCTO Ignition Purchaser, Inc.</w:t>
            </w:r>
            <w:r>
              <w:rPr>
                <w:rFonts w:ascii="Times New Roman" w:cs="Times New Roman" w:eastAsia="Times New Roman" w:hAnsi="Times New Roman"/>
                <w:sz w:val="10"/>
                <w:szCs w:val="10"/>
                <w:color w:val="auto"/>
              </w:rPr>
              <w:t>(3)</w:t>
            </w:r>
          </w:p>
        </w:tc>
        <w:tc>
          <w:tcPr>
            <w:tcW w:w="272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First-lien holdco loan ($113,110 par, due</w:t>
            </w:r>
          </w:p>
        </w:tc>
        <w:tc>
          <w:tcPr>
            <w:tcW w:w="880" w:type="dxa"/>
            <w:vAlign w:val="bottom"/>
            <w:shd w:val="clear" w:color="auto" w:fill="CCEEFF"/>
          </w:tcPr>
          <w:p>
            <w:pPr>
              <w:jc w:val="right"/>
              <w:ind w:right="148"/>
              <w:spacing w:after="0" w:line="126" w:lineRule="exact"/>
              <w:rPr>
                <w:sz w:val="20"/>
                <w:szCs w:val="20"/>
                <w:color w:val="auto"/>
              </w:rPr>
            </w:pPr>
            <w:r>
              <w:rPr>
                <w:rFonts w:ascii="Times New Roman" w:cs="Times New Roman" w:eastAsia="Times New Roman" w:hAnsi="Times New Roman"/>
                <w:sz w:val="14"/>
                <w:szCs w:val="14"/>
                <w:color w:val="auto"/>
              </w:rPr>
              <w:t>4/18/2023</w:t>
            </w:r>
          </w:p>
        </w:tc>
        <w:tc>
          <w:tcPr>
            <w:tcW w:w="118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SOFR + 9.00%</w:t>
            </w:r>
          </w:p>
        </w:tc>
        <w:tc>
          <w:tcPr>
            <w:tcW w:w="64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14.33%</w:t>
            </w:r>
          </w:p>
        </w:tc>
        <w:tc>
          <w:tcPr>
            <w:tcW w:w="5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110,580</w:t>
            </w:r>
          </w:p>
        </w:tc>
        <w:tc>
          <w:tcPr>
            <w:tcW w:w="120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115,090</w:t>
            </w:r>
          </w:p>
        </w:tc>
        <w:tc>
          <w:tcPr>
            <w:tcW w:w="1440" w:type="dxa"/>
            <w:vAlign w:val="bottom"/>
            <w:gridSpan w:val="2"/>
            <w:shd w:val="clear" w:color="auto" w:fill="CCEEFF"/>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4.3%</w:t>
            </w: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1801 West End Ave</w:t>
            </w:r>
          </w:p>
        </w:tc>
        <w:tc>
          <w:tcPr>
            <w:tcW w:w="27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10/2030)</w:t>
            </w:r>
          </w:p>
        </w:tc>
        <w:tc>
          <w:tcPr>
            <w:tcW w:w="8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2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Nashville, TN 37203</w:t>
            </w:r>
          </w:p>
        </w:tc>
        <w:tc>
          <w:tcPr>
            <w:tcW w:w="2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71"/>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Crewline Buyer, Inc.</w:t>
            </w:r>
            <w:r>
              <w:rPr>
                <w:rFonts w:ascii="Times New Roman" w:cs="Times New Roman" w:eastAsia="Times New Roman" w:hAnsi="Times New Roman"/>
                <w:sz w:val="10"/>
                <w:szCs w:val="10"/>
                <w:color w:val="auto"/>
              </w:rPr>
              <w:t>(3)</w:t>
            </w:r>
          </w:p>
        </w:tc>
        <w:tc>
          <w:tcPr>
            <w:tcW w:w="272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First-lien loan ($147,310 par, due</w:t>
            </w:r>
          </w:p>
        </w:tc>
        <w:tc>
          <w:tcPr>
            <w:tcW w:w="880" w:type="dxa"/>
            <w:vAlign w:val="bottom"/>
          </w:tcPr>
          <w:p>
            <w:pPr>
              <w:jc w:val="right"/>
              <w:ind w:right="148"/>
              <w:spacing w:after="0" w:line="126" w:lineRule="exact"/>
              <w:rPr>
                <w:sz w:val="20"/>
                <w:szCs w:val="20"/>
                <w:color w:val="auto"/>
              </w:rPr>
            </w:pPr>
            <w:r>
              <w:rPr>
                <w:rFonts w:ascii="Times New Roman" w:cs="Times New Roman" w:eastAsia="Times New Roman" w:hAnsi="Times New Roman"/>
                <w:sz w:val="14"/>
                <w:szCs w:val="14"/>
                <w:color w:val="auto"/>
              </w:rPr>
              <w:t>11/8/2023</w:t>
            </w:r>
          </w:p>
        </w:tc>
        <w:tc>
          <w:tcPr>
            <w:tcW w:w="118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SOFR + 6.75%</w:t>
            </w:r>
          </w:p>
        </w:tc>
        <w:tc>
          <w:tcPr>
            <w:tcW w:w="6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12.08%</w:t>
            </w: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143,478</w:t>
            </w:r>
          </w:p>
        </w:tc>
        <w:tc>
          <w:tcPr>
            <w:tcW w:w="120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146,496</w:t>
            </w:r>
          </w:p>
        </w:tc>
        <w:tc>
          <w:tcPr>
            <w:tcW w:w="1440" w:type="dxa"/>
            <w:vAlign w:val="bottom"/>
            <w:gridSpan w:val="2"/>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5.3%</w:t>
            </w:r>
          </w:p>
        </w:tc>
      </w:tr>
      <w:tr>
        <w:trPr>
          <w:trHeight w:val="149"/>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Letterman Drive</w:t>
            </w:r>
          </w:p>
        </w:tc>
        <w:tc>
          <w:tcPr>
            <w:tcW w:w="27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11/2030)</w:t>
            </w: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Building C, Suite 410</w:t>
            </w: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1"/>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San Francisco, CA 94120</w:t>
            </w:r>
          </w:p>
        </w:tc>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Dye &amp; Durham Corp.</w:t>
            </w:r>
            <w:r>
              <w:rPr>
                <w:rFonts w:ascii="Times New Roman" w:cs="Times New Roman" w:eastAsia="Times New Roman" w:hAnsi="Times New Roman"/>
                <w:sz w:val="10"/>
                <w:szCs w:val="10"/>
                <w:color w:val="auto"/>
              </w:rPr>
              <w:t>(3)(4)(12)</w:t>
            </w:r>
          </w:p>
        </w:tc>
        <w:tc>
          <w:tcPr>
            <w:tcW w:w="272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First-lien loan ($1,000 par, due 4/2031)</w:t>
            </w:r>
          </w:p>
        </w:tc>
        <w:tc>
          <w:tcPr>
            <w:tcW w:w="880" w:type="dxa"/>
            <w:vAlign w:val="bottom"/>
            <w:shd w:val="clear" w:color="auto" w:fill="CCEEFF"/>
          </w:tcPr>
          <w:p>
            <w:pPr>
              <w:jc w:val="right"/>
              <w:ind w:right="148"/>
              <w:spacing w:after="0" w:line="126" w:lineRule="exact"/>
              <w:rPr>
                <w:sz w:val="20"/>
                <w:szCs w:val="20"/>
                <w:color w:val="auto"/>
              </w:rPr>
            </w:pPr>
            <w:r>
              <w:rPr>
                <w:rFonts w:ascii="Times New Roman" w:cs="Times New Roman" w:eastAsia="Times New Roman" w:hAnsi="Times New Roman"/>
                <w:sz w:val="14"/>
                <w:szCs w:val="14"/>
                <w:color w:val="auto"/>
              </w:rPr>
              <w:t>4/4/2024</w:t>
            </w:r>
          </w:p>
        </w:tc>
        <w:tc>
          <w:tcPr>
            <w:tcW w:w="118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SOFR + 4.35%</w:t>
            </w:r>
          </w:p>
        </w:tc>
        <w:tc>
          <w:tcPr>
            <w:tcW w:w="64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9.68%</w:t>
            </w:r>
          </w:p>
        </w:tc>
        <w:tc>
          <w:tcPr>
            <w:tcW w:w="5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985</w:t>
            </w:r>
          </w:p>
        </w:tc>
        <w:tc>
          <w:tcPr>
            <w:tcW w:w="120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1,003</w:t>
            </w:r>
          </w:p>
        </w:tc>
        <w:tc>
          <w:tcPr>
            <w:tcW w:w="1440" w:type="dxa"/>
            <w:vAlign w:val="bottom"/>
            <w:gridSpan w:val="2"/>
            <w:shd w:val="clear" w:color="auto" w:fill="CCEEFF"/>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0.0%</w:t>
            </w: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199 Bay Street</w:t>
            </w:r>
          </w:p>
        </w:tc>
        <w:tc>
          <w:tcPr>
            <w:tcW w:w="2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4610</w:t>
            </w:r>
          </w:p>
        </w:tc>
        <w:tc>
          <w:tcPr>
            <w:tcW w:w="2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Toronto, Ontario M5L 1E9</w:t>
            </w:r>
          </w:p>
        </w:tc>
        <w:tc>
          <w:tcPr>
            <w:tcW w:w="2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71"/>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3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Rate and</w:t>
            </w:r>
          </w:p>
        </w:tc>
        <w:tc>
          <w:tcPr>
            <w:tcW w:w="6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7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7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780" w:type="dxa"/>
            <w:vAlign w:val="bottom"/>
          </w:tcPr>
          <w:p>
            <w:pPr>
              <w:spacing w:after="0"/>
              <w:rPr>
                <w:sz w:val="13"/>
                <w:szCs w:val="13"/>
                <w:color w:val="auto"/>
              </w:rPr>
            </w:pPr>
          </w:p>
        </w:tc>
        <w:tc>
          <w:tcPr>
            <w:tcW w:w="2520" w:type="dxa"/>
            <w:vAlign w:val="bottom"/>
            <w:gridSpan w:val="2"/>
          </w:tcPr>
          <w:p>
            <w:pPr>
              <w:ind w:left="9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Rate</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10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900" w:type="dxa"/>
            <w:vAlign w:val="bottom"/>
            <w:gridSpan w:val="2"/>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108"/>
        </w:trPr>
        <w:tc>
          <w:tcPr>
            <w:tcW w:w="242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 xml:space="preserve">Elements Finco Limited </w:t>
            </w:r>
            <w:r>
              <w:rPr>
                <w:rFonts w:ascii="Times New Roman" w:cs="Times New Roman" w:eastAsia="Times New Roman" w:hAnsi="Times New Roman"/>
                <w:sz w:val="9"/>
                <w:szCs w:val="9"/>
                <w:color w:val="auto"/>
              </w:rPr>
              <w:t>(3)(4)</w:t>
            </w:r>
          </w:p>
        </w:tc>
        <w:tc>
          <w:tcPr>
            <w:tcW w:w="24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First-lien loan ($45,917 par, due 4/2031)</w:t>
            </w: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4/29/2024</w:t>
            </w:r>
          </w:p>
        </w:tc>
        <w:tc>
          <w:tcPr>
            <w:tcW w:w="14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SOFR + 4.75%</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10.09%</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45,520</w:t>
            </w:r>
          </w:p>
        </w:tc>
        <w:tc>
          <w:tcPr>
            <w:tcW w:w="14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45,572</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1.7</w:t>
            </w:r>
          </w:p>
        </w:tc>
        <w:tc>
          <w:tcPr>
            <w:tcW w:w="300" w:type="dxa"/>
            <w:vAlign w:val="bottom"/>
            <w:tcBorders>
              <w:top w:val="single" w:sz="8" w:color="CCEEFF"/>
            </w:tcBorders>
            <w:shd w:val="clear" w:color="auto" w:fill="CCEEFF"/>
          </w:tcPr>
          <w:p>
            <w:pPr>
              <w:jc w:val="right"/>
              <w:ind w:right="11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42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4th Floor, Heathrow Approach</w:t>
            </w: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470 London Road</w:t>
            </w: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Slough SL3 8QY</w:t>
            </w: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5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(GBP 80,058 par, due</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4/29/2024</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 + 5.00%</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10.20%</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99,239</w:t>
            </w:r>
          </w:p>
        </w:tc>
        <w:tc>
          <w:tcPr>
            <w:tcW w:w="10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100,102</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3.6%</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4/2031)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(GBP 79,188)</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Galileo Parent, Inc.</w:t>
            </w:r>
            <w:r>
              <w:rPr>
                <w:rFonts w:ascii="Times New Roman" w:cs="Times New Roman" w:eastAsia="Times New Roman" w:hAnsi="Times New Roman"/>
                <w:sz w:val="10"/>
                <w:szCs w:val="10"/>
                <w:color w:val="auto"/>
              </w:rPr>
              <w:t>(3)</w:t>
            </w:r>
          </w:p>
        </w:tc>
        <w:tc>
          <w:tcPr>
            <w:tcW w:w="2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($150,306 par, due</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3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12.58%</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146,547</w:t>
            </w:r>
          </w:p>
        </w:tc>
        <w:tc>
          <w:tcPr>
            <w:tcW w:w="108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150,306</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5.5%</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Prudential Tower, 800 Boylston</w:t>
            </w:r>
          </w:p>
        </w:tc>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5/2030)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02199</w:t>
            </w: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5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($14,135 par,</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12.59%</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13,565</w:t>
            </w:r>
          </w:p>
        </w:tc>
        <w:tc>
          <w:tcPr>
            <w:tcW w:w="10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14,135</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5/2030)</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OutSystems Luxco SARL</w:t>
            </w:r>
            <w:r>
              <w:rPr>
                <w:rFonts w:ascii="Times New Roman" w:cs="Times New Roman" w:eastAsia="Times New Roman" w:hAnsi="Times New Roman"/>
                <w:sz w:val="10"/>
                <w:szCs w:val="10"/>
                <w:color w:val="auto"/>
              </w:rPr>
              <w:t>(3)(4)(5)</w:t>
            </w:r>
          </w:p>
        </w:tc>
        <w:tc>
          <w:tcPr>
            <w:tcW w:w="2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3,004 par, due</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12/8/2022</w:t>
            </w:r>
          </w:p>
        </w:tc>
        <w:tc>
          <w:tcPr>
            <w:tcW w:w="13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+ 5.75%</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9.40%</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3,111</w:t>
            </w:r>
          </w:p>
        </w:tc>
        <w:tc>
          <w:tcPr>
            <w:tcW w:w="108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3,286</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28 Boulevard F.w. Raiffeisen</w:t>
            </w:r>
          </w:p>
        </w:tc>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12/2028)</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3,066)</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2411 Luxembourg</w:t>
            </w: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Price Fx Inc.</w:t>
            </w:r>
            <w:r>
              <w:rPr>
                <w:rFonts w:ascii="Times New Roman" w:cs="Times New Roman" w:eastAsia="Times New Roman" w:hAnsi="Times New Roman"/>
                <w:sz w:val="10"/>
                <w:szCs w:val="10"/>
                <w:color w:val="auto"/>
              </w:rPr>
              <w:t>(3)(4)</w:t>
            </w:r>
          </w:p>
        </w:tc>
        <w:tc>
          <w:tcPr>
            <w:tcW w:w="25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910 par, due</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10/27/2023</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+ 7.00%</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10.86%</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964</w:t>
            </w:r>
          </w:p>
        </w:tc>
        <w:tc>
          <w:tcPr>
            <w:tcW w:w="10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970</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LÄUtenring 16</w:t>
            </w: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10/2029)</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905)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85235 Pfaffenhofen</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USA DeBusk, LLC</w:t>
            </w:r>
            <w:r>
              <w:rPr>
                <w:rFonts w:ascii="Times New Roman" w:cs="Times New Roman" w:eastAsia="Times New Roman" w:hAnsi="Times New Roman"/>
                <w:sz w:val="10"/>
                <w:szCs w:val="10"/>
                <w:color w:val="auto"/>
              </w:rPr>
              <w:t>(3)</w:t>
            </w:r>
          </w:p>
        </w:tc>
        <w:tc>
          <w:tcPr>
            <w:tcW w:w="2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($99,618 par, due 4/2031)</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4/30/2024</w:t>
            </w:r>
          </w:p>
        </w:tc>
        <w:tc>
          <w:tcPr>
            <w:tcW w:w="13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10.58%</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97,881</w:t>
            </w:r>
          </w:p>
        </w:tc>
        <w:tc>
          <w:tcPr>
            <w:tcW w:w="108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98,256</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3.5%</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1005 West 8th Street</w:t>
            </w: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Deer Park, TX 77536</w:t>
            </w: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5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($2,702 par, due</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4/30/2024</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10.58%</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2,502</w:t>
            </w:r>
          </w:p>
        </w:tc>
        <w:tc>
          <w:tcPr>
            <w:tcW w:w="10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2,565</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4/2030)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Wrangler TopCo, LLC</w:t>
            </w:r>
            <w:r>
              <w:rPr>
                <w:rFonts w:ascii="Times New Roman" w:cs="Times New Roman" w:eastAsia="Times New Roman" w:hAnsi="Times New Roman"/>
                <w:sz w:val="10"/>
                <w:szCs w:val="10"/>
                <w:color w:val="auto"/>
              </w:rPr>
              <w:t>(3)</w:t>
            </w:r>
          </w:p>
        </w:tc>
        <w:tc>
          <w:tcPr>
            <w:tcW w:w="2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($93,847 par, due 7/2029)</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7/7/2023</w:t>
            </w:r>
          </w:p>
        </w:tc>
        <w:tc>
          <w:tcPr>
            <w:tcW w:w="13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+ 7.50%</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12.83%</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91,521</w:t>
            </w:r>
          </w:p>
        </w:tc>
        <w:tc>
          <w:tcPr>
            <w:tcW w:w="108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95,140</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3.5%</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w:t>
            </w: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w:t>
            </w: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1,077,560</w:t>
            </w:r>
          </w:p>
        </w:tc>
        <w:tc>
          <w:tcPr>
            <w:tcW w:w="140" w:type="dxa"/>
            <w:vAlign w:val="bottom"/>
          </w:tcPr>
          <w:p>
            <w:pPr>
              <w:spacing w:after="0"/>
              <w:rPr>
                <w:sz w:val="14"/>
                <w:szCs w:val="14"/>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1,097,809</w:t>
            </w:r>
          </w:p>
        </w:tc>
        <w:tc>
          <w:tcPr>
            <w:tcW w:w="140" w:type="dxa"/>
            <w:vAlign w:val="bottom"/>
          </w:tcPr>
          <w:p>
            <w:pPr>
              <w:spacing w:after="0"/>
              <w:rPr>
                <w:sz w:val="14"/>
                <w:szCs w:val="14"/>
                <w:color w:val="auto"/>
              </w:rPr>
            </w:pPr>
          </w:p>
        </w:tc>
        <w:tc>
          <w:tcPr>
            <w:tcW w:w="90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b w:val="1"/>
                <w:bCs w:val="1"/>
                <w:color w:val="auto"/>
              </w:rPr>
              <w:t>39.9%</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Erling Lux Bidco SARL</w:t>
            </w:r>
            <w:r>
              <w:rPr>
                <w:rFonts w:ascii="Times New Roman" w:cs="Times New Roman" w:eastAsia="Times New Roman" w:hAnsi="Times New Roman"/>
                <w:sz w:val="10"/>
                <w:szCs w:val="10"/>
                <w:color w:val="auto"/>
              </w:rPr>
              <w:t>(3)(4)</w:t>
            </w:r>
          </w:p>
        </w:tc>
        <w:tc>
          <w:tcPr>
            <w:tcW w:w="25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7,239 par, due</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+ 6.75%</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10.62%</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6,866</w:t>
            </w:r>
          </w:p>
        </w:tc>
        <w:tc>
          <w:tcPr>
            <w:tcW w:w="10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7,986</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 Boulevard De La Foire</w:t>
            </w: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9/2028)</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7,452)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1528 Luxembourg</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Luxembourg</w:t>
            </w: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2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(GBP 13,388 par, due</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3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 + 6.75%</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11.95%</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15,173</w:t>
            </w:r>
          </w:p>
        </w:tc>
        <w:tc>
          <w:tcPr>
            <w:tcW w:w="108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17,135</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0.6%</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9/2028)</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(GBP 13,555)</w:t>
            </w: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5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(GBP 312 par,</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 + 6.75%</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11.95%</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388</w:t>
            </w:r>
          </w:p>
        </w:tc>
        <w:tc>
          <w:tcPr>
            <w:tcW w:w="10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399</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9/2028)</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(GBP 316)</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2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(NOK 7,427 par, due</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3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N + 6.75%</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11.48%</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710</w:t>
            </w:r>
          </w:p>
        </w:tc>
        <w:tc>
          <w:tcPr>
            <w:tcW w:w="108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706</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9/2028)</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(NOK 7,520)</w:t>
            </w:r>
          </w:p>
        </w:tc>
        <w:tc>
          <w:tcPr>
            <w:tcW w:w="1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23,137</w:t>
            </w:r>
          </w:p>
        </w:tc>
        <w:tc>
          <w:tcPr>
            <w:tcW w:w="140" w:type="dxa"/>
            <w:vAlign w:val="bottom"/>
          </w:tcPr>
          <w:p>
            <w:pPr>
              <w:spacing w:after="0"/>
              <w:rPr>
                <w:sz w:val="14"/>
                <w:szCs w:val="14"/>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26,226</w:t>
            </w:r>
          </w:p>
        </w:tc>
        <w:tc>
          <w:tcPr>
            <w:tcW w:w="140" w:type="dxa"/>
            <w:vAlign w:val="bottom"/>
          </w:tcPr>
          <w:p>
            <w:pPr>
              <w:spacing w:after="0"/>
              <w:rPr>
                <w:sz w:val="14"/>
                <w:szCs w:val="14"/>
                <w:color w:val="auto"/>
              </w:rPr>
            </w:pPr>
          </w:p>
        </w:tc>
        <w:tc>
          <w:tcPr>
            <w:tcW w:w="90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b w:val="1"/>
                <w:bCs w:val="1"/>
                <w:color w:val="auto"/>
              </w:rPr>
              <w:t>0.9%</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Aurelia Netherlands MidCo 2 B.V.</w:t>
            </w:r>
            <w:r>
              <w:rPr>
                <w:rFonts w:ascii="Times New Roman" w:cs="Times New Roman" w:eastAsia="Times New Roman" w:hAnsi="Times New Roman"/>
                <w:sz w:val="10"/>
                <w:szCs w:val="10"/>
                <w:color w:val="auto"/>
              </w:rPr>
              <w:t>(3)(4)</w:t>
            </w:r>
          </w:p>
        </w:tc>
        <w:tc>
          <w:tcPr>
            <w:tcW w:w="25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201,909 par, due</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5/22/2024</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+ 5.75%</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9.55%</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214,017</w:t>
            </w:r>
          </w:p>
        </w:tc>
        <w:tc>
          <w:tcPr>
            <w:tcW w:w="10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213,150</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7.8%</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Grensen 5</w:t>
            </w:r>
          </w:p>
        </w:tc>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5/2031)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198,880)</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Oslo</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Norway</w:t>
            </w:r>
          </w:p>
        </w:tc>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($89,521 par, due 1/2031)</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1/26/2024</w:t>
            </w: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SOFR + 6.25%</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11.57%</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86,733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87,665</w:t>
            </w:r>
          </w:p>
        </w:tc>
        <w:tc>
          <w:tcPr>
            <w:tcW w:w="90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4"/>
                <w:szCs w:val="14"/>
                <w:color w:val="auto"/>
              </w:rPr>
              <w:t>3.2%</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Babylon Finco Limited</w:t>
            </w:r>
            <w:r>
              <w:rPr>
                <w:rFonts w:ascii="Times New Roman" w:cs="Times New Roman" w:eastAsia="Times New Roman" w:hAnsi="Times New Roman"/>
                <w:sz w:val="10"/>
                <w:szCs w:val="10"/>
                <w:color w:val="auto"/>
              </w:rPr>
              <w:t>(3)(4)</w:t>
            </w:r>
          </w:p>
        </w:tc>
        <w:tc>
          <w:tcPr>
            <w:tcW w:w="25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5th Floor</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100 Wood Street</w:t>
            </w: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-278130</wp:posOffset>
            </wp:positionV>
            <wp:extent cx="6995160" cy="4718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471805"/>
                    </a:xfrm>
                    <a:prstGeom prst="rect">
                      <a:avLst/>
                    </a:prstGeom>
                    <a:noFill/>
                  </pic:spPr>
                </pic:pic>
              </a:graphicData>
            </a:graphic>
          </wp:anchor>
        </w:drawing>
      </w:r>
    </w:p>
    <w:p>
      <w:pPr>
        <w:ind w:left="260"/>
        <w:spacing w:after="0" w:line="221" w:lineRule="auto"/>
        <w:rPr>
          <w:sz w:val="20"/>
          <w:szCs w:val="20"/>
          <w:color w:val="auto"/>
        </w:rPr>
      </w:pPr>
      <w:r>
        <w:rPr>
          <w:rFonts w:ascii="Times New Roman" w:cs="Times New Roman" w:eastAsia="Times New Roman" w:hAnsi="Times New Roman"/>
          <w:sz w:val="14"/>
          <w:szCs w:val="14"/>
          <w:color w:val="auto"/>
        </w:rPr>
        <w:t>London EC2V 7AN</w:t>
      </w:r>
    </w:p>
    <w:p>
      <w:pPr>
        <w:ind w:left="260"/>
        <w:spacing w:after="0"/>
        <w:rPr>
          <w:sz w:val="20"/>
          <w:szCs w:val="20"/>
          <w:color w:val="auto"/>
        </w:rPr>
      </w:pPr>
      <w:r>
        <w:rPr>
          <w:rFonts w:ascii="Times New Roman" w:cs="Times New Roman" w:eastAsia="Times New Roman" w:hAnsi="Times New Roman"/>
          <w:sz w:val="14"/>
          <w:szCs w:val="14"/>
          <w:color w:val="auto"/>
        </w:rPr>
        <w:t>United Kingdom</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b w:val="1"/>
          <w:bCs w:val="1"/>
          <w:u w:val="single" w:color="auto"/>
          <w:color w:val="auto"/>
        </w:rPr>
        <w:t>Company</w:t>
      </w:r>
      <w:r>
        <w:rPr>
          <w:rFonts w:ascii="Times New Roman" w:cs="Times New Roman" w:eastAsia="Times New Roman" w:hAnsi="Times New Roman"/>
          <w:sz w:val="16"/>
          <w:szCs w:val="16"/>
          <w:b w:val="1"/>
          <w:bCs w:val="1"/>
          <w:u w:val="single" w:color="auto"/>
          <w:color w:val="auto"/>
          <w:vertAlign w:val="superscript"/>
        </w:rPr>
        <w:t>(1)(9)</w:t>
      </w:r>
    </w:p>
    <w:p>
      <w:pPr>
        <w:ind w:left="120"/>
        <w:spacing w:after="0" w:line="221" w:lineRule="auto"/>
        <w:rPr>
          <w:sz w:val="20"/>
          <w:szCs w:val="20"/>
          <w:color w:val="auto"/>
        </w:rPr>
      </w:pPr>
      <w:r>
        <w:rPr>
          <w:rFonts w:ascii="Times New Roman" w:cs="Times New Roman" w:eastAsia="Times New Roman" w:hAnsi="Times New Roman"/>
          <w:sz w:val="14"/>
          <w:szCs w:val="14"/>
          <w:color w:val="auto"/>
        </w:rPr>
        <w:t>Banyan Software Holdings, LLC</w:t>
      </w:r>
      <w:r>
        <w:rPr>
          <w:rFonts w:ascii="Times New Roman" w:cs="Times New Roman" w:eastAsia="Times New Roman" w:hAnsi="Times New Roman"/>
          <w:sz w:val="10"/>
          <w:szCs w:val="10"/>
          <w:color w:val="auto"/>
        </w:rPr>
        <w:t>(3)(4)</w:t>
      </w:r>
    </w:p>
    <w:p>
      <w:pPr>
        <w:ind w:left="260"/>
        <w:spacing w:after="0" w:line="221" w:lineRule="auto"/>
        <w:rPr>
          <w:sz w:val="20"/>
          <w:szCs w:val="20"/>
          <w:color w:val="auto"/>
        </w:rPr>
      </w:pPr>
      <w:r>
        <w:rPr>
          <w:rFonts w:ascii="Times New Roman" w:cs="Times New Roman" w:eastAsia="Times New Roman" w:hAnsi="Times New Roman"/>
          <w:sz w:val="14"/>
          <w:szCs w:val="14"/>
          <w:color w:val="auto"/>
        </w:rPr>
        <w:t>Bloor Street East</w:t>
      </w:r>
    </w:p>
    <w:p>
      <w:pPr>
        <w:ind w:left="260"/>
        <w:spacing w:after="0" w:line="222" w:lineRule="auto"/>
        <w:rPr>
          <w:sz w:val="20"/>
          <w:szCs w:val="20"/>
          <w:color w:val="auto"/>
        </w:rPr>
      </w:pPr>
      <w:r>
        <w:rPr>
          <w:rFonts w:ascii="Times New Roman" w:cs="Times New Roman" w:eastAsia="Times New Roman" w:hAnsi="Times New Roman"/>
          <w:sz w:val="14"/>
          <w:szCs w:val="14"/>
          <w:color w:val="auto"/>
        </w:rPr>
        <w:t>Suite 1804</w:t>
      </w:r>
    </w:p>
    <w:p>
      <w:pPr>
        <w:ind w:left="260"/>
        <w:spacing w:after="0" w:line="221" w:lineRule="auto"/>
        <w:rPr>
          <w:sz w:val="20"/>
          <w:szCs w:val="20"/>
          <w:color w:val="auto"/>
        </w:rPr>
      </w:pPr>
      <w:r>
        <w:rPr>
          <w:rFonts w:ascii="Times New Roman" w:cs="Times New Roman" w:eastAsia="Times New Roman" w:hAnsi="Times New Roman"/>
          <w:sz w:val="14"/>
          <w:szCs w:val="14"/>
          <w:color w:val="auto"/>
        </w:rPr>
        <w:t>Toronto, Ontario</w:t>
      </w:r>
    </w:p>
    <w:p>
      <w:pPr>
        <w:ind w:left="260"/>
        <w:spacing w:after="0"/>
        <w:rPr>
          <w:sz w:val="20"/>
          <w:szCs w:val="20"/>
          <w:color w:val="auto"/>
        </w:rPr>
      </w:pPr>
      <w:r>
        <w:rPr>
          <w:rFonts w:ascii="Times New Roman" w:cs="Times New Roman" w:eastAsia="Times New Roman" w:hAnsi="Times New Roman"/>
          <w:sz w:val="14"/>
          <w:szCs w:val="14"/>
          <w:color w:val="auto"/>
        </w:rPr>
        <w:t>Canada</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Education</w:t>
      </w:r>
    </w:p>
    <w:p>
      <w:pPr>
        <w:ind w:left="120"/>
        <w:spacing w:after="0" w:line="229" w:lineRule="auto"/>
        <w:rPr>
          <w:sz w:val="20"/>
          <w:szCs w:val="20"/>
          <w:color w:val="auto"/>
        </w:rPr>
      </w:pPr>
      <w:r>
        <w:rPr>
          <w:rFonts w:ascii="Times New Roman" w:cs="Times New Roman" w:eastAsia="Times New Roman" w:hAnsi="Times New Roman"/>
          <w:sz w:val="14"/>
          <w:szCs w:val="14"/>
          <w:color w:val="auto"/>
        </w:rPr>
        <w:t>Kangaroo Bidco AS</w:t>
      </w:r>
      <w:r>
        <w:rPr>
          <w:rFonts w:ascii="Times New Roman" w:cs="Times New Roman" w:eastAsia="Times New Roman" w:hAnsi="Times New Roman"/>
          <w:sz w:val="10"/>
          <w:szCs w:val="10"/>
          <w:color w:val="auto"/>
        </w:rPr>
        <w:t>(3)(4)</w:t>
      </w:r>
    </w:p>
    <w:p>
      <w:pPr>
        <w:ind w:left="260"/>
        <w:spacing w:after="0" w:line="221" w:lineRule="auto"/>
        <w:rPr>
          <w:sz w:val="20"/>
          <w:szCs w:val="20"/>
          <w:color w:val="auto"/>
        </w:rPr>
      </w:pPr>
      <w:r>
        <w:rPr>
          <w:rFonts w:ascii="Times New Roman" w:cs="Times New Roman" w:eastAsia="Times New Roman" w:hAnsi="Times New Roman"/>
          <w:sz w:val="14"/>
          <w:szCs w:val="14"/>
          <w:color w:val="auto"/>
        </w:rPr>
        <w:t>Fridtjof Nansens Plass 7, Oslo, 0160,</w:t>
      </w:r>
    </w:p>
    <w:p>
      <w:pPr>
        <w:ind w:left="260"/>
        <w:spacing w:after="0" w:line="222" w:lineRule="auto"/>
        <w:rPr>
          <w:sz w:val="20"/>
          <w:szCs w:val="20"/>
          <w:color w:val="auto"/>
        </w:rPr>
      </w:pPr>
      <w:r>
        <w:rPr>
          <w:rFonts w:ascii="Times New Roman" w:cs="Times New Roman" w:eastAsia="Times New Roman" w:hAnsi="Times New Roman"/>
          <w:sz w:val="14"/>
          <w:szCs w:val="14"/>
          <w:color w:val="auto"/>
        </w:rPr>
        <w:t>Norway</w:t>
      </w:r>
    </w:p>
    <w:p>
      <w:pPr>
        <w:ind w:left="120"/>
        <w:spacing w:after="0" w:line="221" w:lineRule="auto"/>
        <w:rPr>
          <w:sz w:val="20"/>
          <w:szCs w:val="20"/>
          <w:color w:val="auto"/>
        </w:rPr>
      </w:pPr>
      <w:r>
        <w:rPr>
          <w:rFonts w:ascii="Times New Roman" w:cs="Times New Roman" w:eastAsia="Times New Roman" w:hAnsi="Times New Roman"/>
          <w:sz w:val="14"/>
          <w:szCs w:val="14"/>
          <w:b w:val="1"/>
          <w:bCs w:val="1"/>
          <w:color w:val="auto"/>
        </w:rPr>
        <w:t>Financial Services</w:t>
      </w:r>
    </w:p>
    <w:p>
      <w:pPr>
        <w:ind w:left="120"/>
        <w:spacing w:after="0" w:line="222" w:lineRule="auto"/>
        <w:rPr>
          <w:sz w:val="20"/>
          <w:szCs w:val="20"/>
          <w:color w:val="auto"/>
        </w:rPr>
      </w:pPr>
      <w:r>
        <w:rPr>
          <w:rFonts w:ascii="Times New Roman" w:cs="Times New Roman" w:eastAsia="Times New Roman" w:hAnsi="Times New Roman"/>
          <w:sz w:val="14"/>
          <w:szCs w:val="14"/>
          <w:color w:val="auto"/>
        </w:rPr>
        <w:t>Alaska Bidco Oy</w:t>
      </w:r>
      <w:r>
        <w:rPr>
          <w:rFonts w:ascii="Times New Roman" w:cs="Times New Roman" w:eastAsia="Times New Roman" w:hAnsi="Times New Roman"/>
          <w:sz w:val="10"/>
          <w:szCs w:val="10"/>
          <w:color w:val="auto"/>
        </w:rPr>
        <w:t>(3)(4)</w:t>
      </w:r>
    </w:p>
    <w:p>
      <w:pPr>
        <w:ind w:left="260"/>
        <w:spacing w:after="0" w:line="221" w:lineRule="auto"/>
        <w:rPr>
          <w:sz w:val="20"/>
          <w:szCs w:val="20"/>
          <w:color w:val="auto"/>
        </w:rPr>
      </w:pPr>
      <w:r>
        <w:rPr>
          <w:rFonts w:ascii="Times New Roman" w:cs="Times New Roman" w:eastAsia="Times New Roman" w:hAnsi="Times New Roman"/>
          <w:sz w:val="14"/>
          <w:szCs w:val="14"/>
          <w:color w:val="auto"/>
        </w:rPr>
        <w:t>Linnoitustie 6</w:t>
      </w:r>
    </w:p>
    <w:p>
      <w:pPr>
        <w:ind w:left="260"/>
        <w:spacing w:after="0" w:line="221" w:lineRule="auto"/>
        <w:rPr>
          <w:sz w:val="20"/>
          <w:szCs w:val="20"/>
          <w:color w:val="auto"/>
        </w:rPr>
      </w:pPr>
      <w:r>
        <w:rPr>
          <w:rFonts w:ascii="Times New Roman" w:cs="Times New Roman" w:eastAsia="Times New Roman" w:hAnsi="Times New Roman"/>
          <w:sz w:val="14"/>
          <w:szCs w:val="14"/>
          <w:color w:val="auto"/>
        </w:rPr>
        <w:t>02600, Norway</w:t>
      </w:r>
    </w:p>
    <w:p>
      <w:pPr>
        <w:ind w:left="120"/>
        <w:spacing w:after="0" w:line="222" w:lineRule="auto"/>
        <w:rPr>
          <w:sz w:val="20"/>
          <w:szCs w:val="20"/>
          <w:color w:val="auto"/>
        </w:rPr>
      </w:pPr>
      <w:r>
        <w:rPr>
          <w:rFonts w:ascii="Times New Roman" w:cs="Times New Roman" w:eastAsia="Times New Roman" w:hAnsi="Times New Roman"/>
          <w:sz w:val="14"/>
          <w:szCs w:val="14"/>
          <w:color w:val="auto"/>
        </w:rPr>
        <w:t>BCTO Bluebill Buyer, Inc.</w:t>
      </w:r>
      <w:r>
        <w:rPr>
          <w:rFonts w:ascii="Times New Roman" w:cs="Times New Roman" w:eastAsia="Times New Roman" w:hAnsi="Times New Roman"/>
          <w:sz w:val="10"/>
          <w:szCs w:val="10"/>
          <w:color w:val="auto"/>
        </w:rPr>
        <w:t>(3)(5)</w:t>
      </w:r>
    </w:p>
    <w:p>
      <w:pPr>
        <w:ind w:left="260"/>
        <w:spacing w:after="0" w:line="221" w:lineRule="auto"/>
        <w:rPr>
          <w:sz w:val="20"/>
          <w:szCs w:val="20"/>
          <w:color w:val="auto"/>
        </w:rPr>
      </w:pPr>
      <w:r>
        <w:rPr>
          <w:rFonts w:ascii="Times New Roman" w:cs="Times New Roman" w:eastAsia="Times New Roman" w:hAnsi="Times New Roman"/>
          <w:sz w:val="14"/>
          <w:szCs w:val="14"/>
          <w:color w:val="auto"/>
        </w:rPr>
        <w:t>6100 W. 96th Street, Suite 100</w:t>
      </w:r>
    </w:p>
    <w:p>
      <w:pPr>
        <w:ind w:left="260"/>
        <w:spacing w:after="0" w:line="222" w:lineRule="auto"/>
        <w:rPr>
          <w:sz w:val="20"/>
          <w:szCs w:val="20"/>
          <w:color w:val="auto"/>
        </w:rPr>
      </w:pPr>
      <w:r>
        <w:rPr>
          <w:rFonts w:ascii="Times New Roman" w:cs="Times New Roman" w:eastAsia="Times New Roman" w:hAnsi="Times New Roman"/>
          <w:sz w:val="14"/>
          <w:szCs w:val="14"/>
          <w:color w:val="auto"/>
        </w:rPr>
        <w:t>Indianapolis, IN 46278</w:t>
      </w:r>
    </w:p>
    <w:p>
      <w:pPr>
        <w:ind w:left="120"/>
        <w:spacing w:after="0" w:line="221" w:lineRule="auto"/>
        <w:rPr>
          <w:sz w:val="20"/>
          <w:szCs w:val="20"/>
          <w:color w:val="auto"/>
        </w:rPr>
      </w:pPr>
      <w:r>
        <w:rPr>
          <w:rFonts w:ascii="Times New Roman" w:cs="Times New Roman" w:eastAsia="Times New Roman" w:hAnsi="Times New Roman"/>
          <w:sz w:val="14"/>
          <w:szCs w:val="14"/>
          <w:color w:val="auto"/>
        </w:rPr>
        <w:t>BTRS Holdings, Inc.</w:t>
      </w:r>
      <w:r>
        <w:rPr>
          <w:rFonts w:ascii="Times New Roman" w:cs="Times New Roman" w:eastAsia="Times New Roman" w:hAnsi="Times New Roman"/>
          <w:sz w:val="10"/>
          <w:szCs w:val="10"/>
          <w:color w:val="auto"/>
        </w:rPr>
        <w:t>(3)</w:t>
      </w:r>
    </w:p>
    <w:p>
      <w:pPr>
        <w:ind w:left="260"/>
        <w:spacing w:after="0" w:line="221" w:lineRule="auto"/>
        <w:rPr>
          <w:sz w:val="20"/>
          <w:szCs w:val="20"/>
          <w:color w:val="auto"/>
        </w:rPr>
      </w:pPr>
      <w:r>
        <w:rPr>
          <w:rFonts w:ascii="Times New Roman" w:cs="Times New Roman" w:eastAsia="Times New Roman" w:hAnsi="Times New Roman"/>
          <w:sz w:val="14"/>
          <w:szCs w:val="14"/>
          <w:color w:val="auto"/>
        </w:rPr>
        <w:t>1009 Lenox Drive</w:t>
      </w:r>
    </w:p>
    <w:p>
      <w:pPr>
        <w:ind w:left="260"/>
        <w:spacing w:after="0" w:line="222" w:lineRule="auto"/>
        <w:rPr>
          <w:sz w:val="20"/>
          <w:szCs w:val="20"/>
          <w:color w:val="auto"/>
        </w:rPr>
      </w:pPr>
      <w:r>
        <w:rPr>
          <w:rFonts w:ascii="Times New Roman" w:cs="Times New Roman" w:eastAsia="Times New Roman" w:hAnsi="Times New Roman"/>
          <w:sz w:val="14"/>
          <w:szCs w:val="14"/>
          <w:color w:val="auto"/>
        </w:rPr>
        <w:t>Suite 101</w:t>
      </w:r>
    </w:p>
    <w:p>
      <w:pPr>
        <w:ind w:left="260"/>
        <w:spacing w:after="0"/>
        <w:rPr>
          <w:sz w:val="20"/>
          <w:szCs w:val="20"/>
          <w:color w:val="auto"/>
        </w:rPr>
      </w:pPr>
      <w:r>
        <w:rPr>
          <w:rFonts w:ascii="Times New Roman" w:cs="Times New Roman" w:eastAsia="Times New Roman" w:hAnsi="Times New Roman"/>
          <w:sz w:val="14"/>
          <w:szCs w:val="14"/>
          <w:color w:val="auto"/>
        </w:rPr>
        <w:t>Lawrenceville, NJ 08648</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CLGF HoldCo 2, LLC</w:t>
      </w:r>
      <w:r>
        <w:rPr>
          <w:rFonts w:ascii="Times New Roman" w:cs="Times New Roman" w:eastAsia="Times New Roman" w:hAnsi="Times New Roman"/>
          <w:sz w:val="10"/>
          <w:szCs w:val="10"/>
          <w:color w:val="auto"/>
        </w:rPr>
        <w:t>(3)(4)</w:t>
      </w:r>
    </w:p>
    <w:p>
      <w:pPr>
        <w:ind w:left="260"/>
        <w:spacing w:after="0" w:line="226" w:lineRule="auto"/>
        <w:rPr>
          <w:sz w:val="20"/>
          <w:szCs w:val="20"/>
          <w:color w:val="auto"/>
        </w:rPr>
      </w:pPr>
      <w:r>
        <w:rPr>
          <w:rFonts w:ascii="Times New Roman" w:cs="Times New Roman" w:eastAsia="Times New Roman" w:hAnsi="Times New Roman"/>
          <w:sz w:val="14"/>
          <w:szCs w:val="14"/>
          <w:color w:val="auto"/>
        </w:rPr>
        <w:t>14600 NW Greenbrier Pkwy</w:t>
      </w:r>
    </w:p>
    <w:p>
      <w:pPr>
        <w:ind w:left="260"/>
        <w:spacing w:after="0" w:line="222" w:lineRule="auto"/>
        <w:rPr>
          <w:sz w:val="20"/>
          <w:szCs w:val="20"/>
          <w:color w:val="auto"/>
        </w:rPr>
      </w:pPr>
      <w:r>
        <w:rPr>
          <w:rFonts w:ascii="Times New Roman" w:cs="Times New Roman" w:eastAsia="Times New Roman" w:hAnsi="Times New Roman"/>
          <w:sz w:val="14"/>
          <w:szCs w:val="14"/>
          <w:color w:val="auto"/>
        </w:rPr>
        <w:t>Beaverton, OR 97006</w:t>
      </w:r>
    </w:p>
    <w:p>
      <w:pPr>
        <w:ind w:left="260"/>
        <w:spacing w:after="0"/>
        <w:rPr>
          <w:sz w:val="20"/>
          <w:szCs w:val="20"/>
          <w:color w:val="auto"/>
        </w:rPr>
      </w:pPr>
      <w:r>
        <w:rPr>
          <w:rFonts w:ascii="Times New Roman" w:cs="Times New Roman" w:eastAsia="Times New Roman" w:hAnsi="Times New Roman"/>
          <w:sz w:val="14"/>
          <w:szCs w:val="14"/>
          <w:color w:val="auto"/>
        </w:rPr>
        <w:t>USA</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Fullsteam Operations LLC</w:t>
      </w:r>
      <w:r>
        <w:rPr>
          <w:rFonts w:ascii="Times New Roman" w:cs="Times New Roman" w:eastAsia="Times New Roman" w:hAnsi="Times New Roman"/>
          <w:sz w:val="10"/>
          <w:szCs w:val="10"/>
          <w:color w:val="auto"/>
        </w:rPr>
        <w:t>(3)</w:t>
      </w:r>
    </w:p>
    <w:p>
      <w:pPr>
        <w:ind w:left="260"/>
        <w:spacing w:after="0" w:line="226" w:lineRule="auto"/>
        <w:rPr>
          <w:sz w:val="20"/>
          <w:szCs w:val="20"/>
          <w:color w:val="auto"/>
        </w:rPr>
      </w:pPr>
      <w:r>
        <w:rPr>
          <w:rFonts w:ascii="Times New Roman" w:cs="Times New Roman" w:eastAsia="Times New Roman" w:hAnsi="Times New Roman"/>
          <w:sz w:val="14"/>
          <w:szCs w:val="14"/>
          <w:color w:val="auto"/>
        </w:rPr>
        <w:t>540 Devall Drive</w:t>
      </w:r>
    </w:p>
    <w:p>
      <w:pPr>
        <w:ind w:left="260"/>
        <w:spacing w:after="0" w:line="222" w:lineRule="auto"/>
        <w:rPr>
          <w:sz w:val="20"/>
          <w:szCs w:val="20"/>
          <w:color w:val="auto"/>
        </w:rPr>
      </w:pPr>
      <w:r>
        <w:rPr>
          <w:rFonts w:ascii="Times New Roman" w:cs="Times New Roman" w:eastAsia="Times New Roman" w:hAnsi="Times New Roman"/>
          <w:sz w:val="14"/>
          <w:szCs w:val="14"/>
          <w:color w:val="auto"/>
        </w:rPr>
        <w:t>Suite 301</w:t>
      </w:r>
    </w:p>
    <w:p>
      <w:pPr>
        <w:ind w:left="260"/>
        <w:spacing w:after="0" w:line="221" w:lineRule="auto"/>
        <w:rPr>
          <w:sz w:val="20"/>
          <w:szCs w:val="20"/>
          <w:color w:val="auto"/>
        </w:rPr>
      </w:pPr>
      <w:r>
        <w:rPr>
          <w:rFonts w:ascii="Times New Roman" w:cs="Times New Roman" w:eastAsia="Times New Roman" w:hAnsi="Times New Roman"/>
          <w:sz w:val="14"/>
          <w:szCs w:val="14"/>
          <w:color w:val="auto"/>
        </w:rPr>
        <w:t>Auburn, AL 36832</w:t>
      </w:r>
    </w:p>
    <w:p>
      <w:pPr>
        <w:ind w:left="120"/>
        <w:spacing w:after="0" w:line="221" w:lineRule="auto"/>
        <w:rPr>
          <w:sz w:val="20"/>
          <w:szCs w:val="20"/>
          <w:color w:val="auto"/>
        </w:rPr>
      </w:pPr>
      <w:r>
        <w:rPr>
          <w:rFonts w:ascii="Times New Roman" w:cs="Times New Roman" w:eastAsia="Times New Roman" w:hAnsi="Times New Roman"/>
          <w:sz w:val="14"/>
          <w:szCs w:val="14"/>
          <w:color w:val="auto"/>
        </w:rPr>
        <w:t>GreenShoot BidCo B.V.</w:t>
      </w:r>
      <w:r>
        <w:rPr>
          <w:rFonts w:ascii="Times New Roman" w:cs="Times New Roman" w:eastAsia="Times New Roman" w:hAnsi="Times New Roman"/>
          <w:sz w:val="10"/>
          <w:szCs w:val="10"/>
          <w:color w:val="auto"/>
        </w:rPr>
        <w:t>(3)(4)</w:t>
      </w:r>
    </w:p>
    <w:p>
      <w:pPr>
        <w:ind w:left="260"/>
        <w:spacing w:after="0" w:line="222" w:lineRule="auto"/>
        <w:rPr>
          <w:sz w:val="20"/>
          <w:szCs w:val="20"/>
          <w:color w:val="auto"/>
        </w:rPr>
      </w:pPr>
      <w:r>
        <w:rPr>
          <w:rFonts w:ascii="Times New Roman" w:cs="Times New Roman" w:eastAsia="Times New Roman" w:hAnsi="Times New Roman"/>
          <w:sz w:val="14"/>
          <w:szCs w:val="14"/>
          <w:color w:val="auto"/>
        </w:rPr>
        <w:t>Prinsengracht 769 A</w:t>
      </w:r>
    </w:p>
    <w:p>
      <w:pPr>
        <w:ind w:left="260"/>
        <w:spacing w:after="0" w:line="221" w:lineRule="auto"/>
        <w:rPr>
          <w:sz w:val="20"/>
          <w:szCs w:val="20"/>
          <w:color w:val="auto"/>
        </w:rPr>
      </w:pPr>
      <w:r>
        <w:rPr>
          <w:rFonts w:ascii="Times New Roman" w:cs="Times New Roman" w:eastAsia="Times New Roman" w:hAnsi="Times New Roman"/>
          <w:sz w:val="14"/>
          <w:szCs w:val="14"/>
          <w:color w:val="auto"/>
        </w:rPr>
        <w:t>1017JZ Amsterdam</w:t>
      </w:r>
    </w:p>
    <w:p>
      <w:pPr>
        <w:ind w:left="260"/>
        <w:spacing w:after="0" w:line="221" w:lineRule="auto"/>
        <w:rPr>
          <w:sz w:val="20"/>
          <w:szCs w:val="20"/>
          <w:color w:val="auto"/>
        </w:rPr>
      </w:pPr>
      <w:r>
        <w:rPr>
          <w:rFonts w:ascii="Times New Roman" w:cs="Times New Roman" w:eastAsia="Times New Roman" w:hAnsi="Times New Roman"/>
          <w:sz w:val="14"/>
          <w:szCs w:val="14"/>
          <w:color w:val="auto"/>
        </w:rPr>
        <w:t>Netherlands</w:t>
      </w:r>
    </w:p>
    <w:p>
      <w:pPr>
        <w:ind w:left="120"/>
        <w:spacing w:after="0" w:line="222" w:lineRule="auto"/>
        <w:rPr>
          <w:sz w:val="20"/>
          <w:szCs w:val="20"/>
          <w:color w:val="auto"/>
        </w:rPr>
      </w:pPr>
      <w:r>
        <w:rPr>
          <w:rFonts w:ascii="Times New Roman" w:cs="Times New Roman" w:eastAsia="Times New Roman" w:hAnsi="Times New Roman"/>
          <w:sz w:val="14"/>
          <w:szCs w:val="14"/>
          <w:color w:val="auto"/>
        </w:rPr>
        <w:t>Ping Identity Holding Corp.</w:t>
      </w:r>
      <w:r>
        <w:rPr>
          <w:rFonts w:ascii="Times New Roman" w:cs="Times New Roman" w:eastAsia="Times New Roman" w:hAnsi="Times New Roman"/>
          <w:sz w:val="10"/>
          <w:szCs w:val="10"/>
          <w:color w:val="auto"/>
        </w:rPr>
        <w:t>(3)</w:t>
      </w:r>
    </w:p>
    <w:p>
      <w:pPr>
        <w:ind w:left="260"/>
        <w:spacing w:after="0" w:line="221" w:lineRule="auto"/>
        <w:rPr>
          <w:sz w:val="20"/>
          <w:szCs w:val="20"/>
          <w:color w:val="auto"/>
        </w:rPr>
      </w:pPr>
      <w:r>
        <w:rPr>
          <w:rFonts w:ascii="Times New Roman" w:cs="Times New Roman" w:eastAsia="Times New Roman" w:hAnsi="Times New Roman"/>
          <w:sz w:val="14"/>
          <w:szCs w:val="14"/>
          <w:color w:val="auto"/>
        </w:rPr>
        <w:t>1001 17th Street, Suite 100</w:t>
      </w:r>
    </w:p>
    <w:p>
      <w:pPr>
        <w:ind w:left="260"/>
        <w:spacing w:after="0" w:line="222" w:lineRule="auto"/>
        <w:rPr>
          <w:sz w:val="20"/>
          <w:szCs w:val="20"/>
          <w:color w:val="auto"/>
        </w:rPr>
      </w:pPr>
      <w:r>
        <w:rPr>
          <w:rFonts w:ascii="Times New Roman" w:cs="Times New Roman" w:eastAsia="Times New Roman" w:hAnsi="Times New Roman"/>
          <w:sz w:val="14"/>
          <w:szCs w:val="14"/>
          <w:color w:val="auto"/>
        </w:rPr>
        <w:t>Denver, CO 80202</w:t>
      </w:r>
    </w:p>
    <w:p>
      <w:pPr>
        <w:ind w:left="120"/>
        <w:spacing w:after="0" w:line="221" w:lineRule="auto"/>
        <w:rPr>
          <w:sz w:val="20"/>
          <w:szCs w:val="20"/>
          <w:color w:val="auto"/>
        </w:rPr>
      </w:pPr>
      <w:r>
        <w:rPr>
          <w:rFonts w:ascii="Times New Roman" w:cs="Times New Roman" w:eastAsia="Times New Roman" w:hAnsi="Times New Roman"/>
          <w:sz w:val="14"/>
          <w:szCs w:val="14"/>
          <w:color w:val="auto"/>
        </w:rPr>
        <w:t>Volante Technologies, Inc.</w:t>
      </w:r>
    </w:p>
    <w:p>
      <w:pPr>
        <w:ind w:left="260"/>
        <w:spacing w:after="0" w:line="221" w:lineRule="auto"/>
        <w:rPr>
          <w:sz w:val="20"/>
          <w:szCs w:val="20"/>
          <w:color w:val="auto"/>
        </w:rPr>
      </w:pPr>
      <w:r>
        <w:rPr>
          <w:rFonts w:ascii="Times New Roman" w:cs="Times New Roman" w:eastAsia="Times New Roman" w:hAnsi="Times New Roman"/>
          <w:sz w:val="14"/>
          <w:szCs w:val="14"/>
          <w:color w:val="auto"/>
        </w:rPr>
        <w:t>Harborside 5</w:t>
      </w:r>
    </w:p>
    <w:p>
      <w:pPr>
        <w:ind w:left="260"/>
        <w:spacing w:after="0" w:line="222" w:lineRule="auto"/>
        <w:rPr>
          <w:sz w:val="20"/>
          <w:szCs w:val="20"/>
          <w:color w:val="auto"/>
        </w:rPr>
      </w:pPr>
      <w:r>
        <w:rPr>
          <w:rFonts w:ascii="Times New Roman" w:cs="Times New Roman" w:eastAsia="Times New Roman" w:hAnsi="Times New Roman"/>
          <w:sz w:val="14"/>
          <w:szCs w:val="14"/>
          <w:color w:val="auto"/>
        </w:rPr>
        <w:t>185 Hudson Street, Suite 1605</w:t>
      </w:r>
    </w:p>
    <w:p>
      <w:pPr>
        <w:ind w:left="260"/>
        <w:spacing w:after="0" w:line="231" w:lineRule="auto"/>
        <w:rPr>
          <w:sz w:val="20"/>
          <w:szCs w:val="20"/>
          <w:color w:val="auto"/>
        </w:rPr>
      </w:pPr>
      <w:r>
        <w:rPr>
          <w:rFonts w:ascii="Times New Roman" w:cs="Times New Roman" w:eastAsia="Times New Roman" w:hAnsi="Times New Roman"/>
          <w:sz w:val="14"/>
          <w:szCs w:val="14"/>
          <w:color w:val="auto"/>
        </w:rPr>
        <w:t>Jersey City, NJ 07311</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3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6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20" w:type="dxa"/>
            <w:vAlign w:val="bottom"/>
            <w:gridSpan w:val="2"/>
          </w:tcPr>
          <w:p>
            <w:pPr>
              <w:ind w:left="98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540" w:type="dxa"/>
            <w:vAlign w:val="bottom"/>
          </w:tcPr>
          <w:p>
            <w:pPr>
              <w:jc w:val="right"/>
              <w:ind w:right="12"/>
              <w:spacing w:after="0" w:line="126" w:lineRule="exact"/>
              <w:rPr>
                <w:sz w:val="20"/>
                <w:szCs w:val="20"/>
                <w:color w:val="auto"/>
              </w:rPr>
            </w:pPr>
            <w:r>
              <w:rPr>
                <w:rFonts w:ascii="Times New Roman" w:cs="Times New Roman" w:eastAsia="Times New Roman" w:hAnsi="Times New Roman"/>
                <w:sz w:val="14"/>
                <w:szCs w:val="14"/>
                <w:b w:val="1"/>
                <w:bCs w:val="1"/>
                <w:color w:val="auto"/>
                <w:vertAlign w:val="subscript"/>
              </w:rPr>
              <w:t>Cost</w:t>
            </w:r>
            <w:r>
              <w:rPr>
                <w:rFonts w:ascii="Times New Roman" w:cs="Times New Roman" w:eastAsia="Times New Roman" w:hAnsi="Times New Roman"/>
                <w:sz w:val="6"/>
                <w:szCs w:val="6"/>
                <w:b w:val="1"/>
                <w:bCs w:val="1"/>
                <w:color w:val="auto"/>
              </w:rPr>
              <w:t>(2)(7)</w:t>
            </w:r>
          </w:p>
        </w:tc>
        <w:tc>
          <w:tcPr>
            <w:tcW w:w="120" w:type="dxa"/>
            <w:vAlign w:val="bottom"/>
          </w:tcPr>
          <w:p>
            <w:pPr>
              <w:spacing w:after="0"/>
              <w:rPr>
                <w:sz w:val="10"/>
                <w:szCs w:val="10"/>
                <w:color w:val="auto"/>
              </w:rPr>
            </w:pPr>
          </w:p>
        </w:tc>
        <w:tc>
          <w:tcPr>
            <w:tcW w:w="94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4"/>
                <w:szCs w:val="14"/>
                <w:b w:val="1"/>
                <w:bCs w:val="1"/>
                <w:color w:val="auto"/>
                <w:vertAlign w:val="superscript"/>
              </w:rPr>
              <w:t>(6)</w:t>
            </w: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First-lien loan ($79,171 par, due 10/2026)</w:t>
            </w:r>
          </w:p>
        </w:tc>
        <w:tc>
          <w:tcPr>
            <w:tcW w:w="120" w:type="dxa"/>
            <w:vAlign w:val="bottom"/>
            <w:vMerge w:val="continue"/>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1/27/2023</w:t>
            </w:r>
          </w:p>
        </w:tc>
        <w:tc>
          <w:tcPr>
            <w:tcW w:w="140" w:type="dxa"/>
            <w:vAlign w:val="bottom"/>
            <w:vMerge w:val="continue"/>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SOFR + 7.35%</w:t>
            </w:r>
          </w:p>
        </w:tc>
        <w:tc>
          <w:tcPr>
            <w:tcW w:w="12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77,622</w:t>
            </w:r>
          </w:p>
        </w:tc>
        <w:tc>
          <w:tcPr>
            <w:tcW w:w="12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80,557</w:t>
            </w:r>
          </w:p>
        </w:tc>
        <w:tc>
          <w:tcPr>
            <w:tcW w:w="140" w:type="dxa"/>
            <w:vAlign w:val="bottom"/>
            <w:vMerge w:val="continue"/>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9"/>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($7,600 par, due 10/2026)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1/26/2024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SOFR + 6.25%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11.59%</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6,678</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140" w:type="dxa"/>
            <w:vAlign w:val="bottom"/>
          </w:tcPr>
          <w:p>
            <w:pPr>
              <w:spacing w:after="0"/>
              <w:rPr>
                <w:sz w:val="24"/>
                <w:szCs w:val="24"/>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385,050</w:t>
            </w:r>
          </w:p>
        </w:tc>
        <w:tc>
          <w:tcPr>
            <w:tcW w:w="120" w:type="dxa"/>
            <w:vAlign w:val="bottom"/>
            <w:vMerge w:val="continue"/>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388,472</w:t>
            </w:r>
          </w:p>
        </w:tc>
        <w:tc>
          <w:tcPr>
            <w:tcW w:w="140" w:type="dxa"/>
            <w:vAlign w:val="bottom"/>
            <w:vMerge w:val="continue"/>
          </w:tcPr>
          <w:p>
            <w:pPr>
              <w:spacing w:after="0"/>
              <w:rPr>
                <w:sz w:val="13"/>
                <w:szCs w:val="13"/>
                <w:color w:val="auto"/>
              </w:rPr>
            </w:pPr>
          </w:p>
        </w:tc>
        <w:tc>
          <w:tcPr>
            <w:tcW w:w="90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14.2%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($157,500 par, due 11/2030)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11/2/2023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SOFR + 7.25%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12.54%</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152,917</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159,300</w:t>
            </w:r>
          </w:p>
        </w:tc>
        <w:tc>
          <w:tcPr>
            <w:tcW w:w="140" w:type="dxa"/>
            <w:vAlign w:val="bottom"/>
          </w:tcPr>
          <w:p>
            <w:pPr>
              <w:spacing w:after="0"/>
              <w:rPr>
                <w:sz w:val="24"/>
                <w:szCs w:val="24"/>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(EUR 727 par, due 5/2030)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5/30/2023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E + 5.75%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787</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734)</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($7,676 par, due 7/2029)</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7/20/2023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SOFR + 7.25%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12.59%</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7,618</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($144,037 par, due 12/2028)</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12/16/2022</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SOFR + 8.00%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13.34%</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140,827</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145,837</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revolving loan ($5,422 par, due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12/16/2022</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SOFR + 7.25%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5,602</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12/2028)</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11/7/2023</w:t>
            </w: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+ 8.50%</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13.83%</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96,313</w:t>
            </w: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97,413</w:t>
            </w:r>
          </w:p>
        </w:tc>
        <w:tc>
          <w:tcPr>
            <w:tcW w:w="9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($97,902 par, due 11/2027)</w:t>
            </w:r>
          </w:p>
        </w:tc>
        <w:tc>
          <w:tcPr>
            <w:tcW w:w="8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Second-lien loan ($83,916 par, due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11/7/2023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SOFR + 12.00%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17.33%</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78,302</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81,608</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11/2028)</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11/27/2023</w:t>
            </w: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+ 8.40%</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13.74%</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80,570</w:t>
            </w: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83,178</w:t>
            </w:r>
          </w:p>
        </w:tc>
        <w:tc>
          <w:tcPr>
            <w:tcW w:w="9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($83,388 par, due 11/2029)</w:t>
            </w:r>
          </w:p>
        </w:tc>
        <w:tc>
          <w:tcPr>
            <w:tcW w:w="8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(EUR 5,107 par, due 5/2030)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5/28/2024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E + 5.75%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9.56%</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5,356</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4,997)</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($136,364 par, due 10/2029)</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10/17/2022</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SOFR + 7.00%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12.34%</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133,541</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138,989</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($2,826 par, due 9/2028)</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9/29/2023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16.50%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16.50%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2,805</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PIK</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-4098925</wp:posOffset>
            </wp:positionV>
            <wp:extent cx="6995160" cy="4718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471805"/>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-3516630</wp:posOffset>
            </wp:positionV>
            <wp:extent cx="699516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-3310890</wp:posOffset>
            </wp:positionV>
            <wp:extent cx="6995160"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283210"/>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-2933065</wp:posOffset>
            </wp:positionV>
            <wp:extent cx="6995160" cy="283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283210"/>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-2367915</wp:posOffset>
            </wp:positionV>
            <wp:extent cx="6995160" cy="377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-1802130</wp:posOffset>
            </wp:positionV>
            <wp:extent cx="6995160" cy="3771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-1236345</wp:posOffset>
            </wp:positionV>
            <wp:extent cx="6995160" cy="377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-481965</wp:posOffset>
            </wp:positionV>
            <wp:extent cx="6995160" cy="282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282575"/>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2400" w:space="240"/>
            <w:col w:w="85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19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5"/>
        </w:trPr>
        <w:tc>
          <w:tcPr>
            <w:tcW w:w="1960" w:type="dxa"/>
            <w:vAlign w:val="bottom"/>
            <w:shd w:val="clear" w:color="auto" w:fill="CCEEFF"/>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551,051</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569,193</w:t>
            </w: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720"/>
              <w:spacing w:after="0" w:line="136" w:lineRule="exact"/>
              <w:rPr>
                <w:sz w:val="20"/>
                <w:szCs w:val="20"/>
                <w:color w:val="auto"/>
              </w:rPr>
            </w:pPr>
            <w:r>
              <w:rPr>
                <w:rFonts w:ascii="Times New Roman" w:cs="Times New Roman" w:eastAsia="Times New Roman" w:hAnsi="Times New Roman"/>
                <w:sz w:val="14"/>
                <w:szCs w:val="14"/>
                <w:b w:val="1"/>
                <w:bCs w:val="1"/>
                <w:color w:val="auto"/>
              </w:rPr>
              <w:t>20.7%</w:t>
            </w:r>
          </w:p>
        </w:tc>
      </w:tr>
      <w:tr>
        <w:trPr>
          <w:trHeight w:val="156"/>
        </w:trPr>
        <w:tc>
          <w:tcPr>
            <w:tcW w:w="19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3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60" w:type="dxa"/>
            <w:vAlign w:val="bottom"/>
          </w:tcPr>
          <w:p>
            <w:pPr>
              <w:spacing w:after="0"/>
              <w:rPr>
                <w:sz w:val="13"/>
                <w:szCs w:val="13"/>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Edge Bidco B.V</w:t>
            </w:r>
            <w:r>
              <w:rPr>
                <w:rFonts w:ascii="Times New Roman" w:cs="Times New Roman" w:eastAsia="Times New Roman" w:hAnsi="Times New Roman"/>
                <w:sz w:val="10"/>
                <w:szCs w:val="10"/>
                <w:color w:val="auto"/>
              </w:rPr>
              <w:t>(3)(4)(5)</w:t>
            </w:r>
          </w:p>
        </w:tc>
        <w:tc>
          <w:tcPr>
            <w:tcW w:w="3200" w:type="dxa"/>
            <w:vAlign w:val="bottom"/>
            <w:shd w:val="clear" w:color="auto" w:fill="CCEEFF"/>
          </w:tcPr>
          <w:p>
            <w:pPr>
              <w:ind w:left="560"/>
              <w:spacing w:after="0" w:line="126" w:lineRule="exact"/>
              <w:rPr>
                <w:sz w:val="20"/>
                <w:szCs w:val="20"/>
                <w:color w:val="auto"/>
              </w:rPr>
            </w:pPr>
            <w:r>
              <w:rPr>
                <w:rFonts w:ascii="Times New Roman" w:cs="Times New Roman" w:eastAsia="Times New Roman" w:hAnsi="Times New Roman"/>
                <w:sz w:val="14"/>
                <w:szCs w:val="14"/>
                <w:color w:val="auto"/>
              </w:rPr>
              <w:t>First-lien loan (EUR 5,893 par, due 2/2029)</w:t>
            </w:r>
          </w:p>
        </w:tc>
        <w:tc>
          <w:tcPr>
            <w:tcW w:w="1060" w:type="dxa"/>
            <w:vAlign w:val="bottom"/>
            <w:shd w:val="clear" w:color="auto" w:fill="CCEEFF"/>
          </w:tcPr>
          <w:p>
            <w:pPr>
              <w:jc w:val="right"/>
              <w:ind w:right="288"/>
              <w:spacing w:after="0" w:line="126" w:lineRule="exact"/>
              <w:rPr>
                <w:sz w:val="20"/>
                <w:szCs w:val="20"/>
                <w:color w:val="auto"/>
              </w:rPr>
            </w:pPr>
            <w:r>
              <w:rPr>
                <w:rFonts w:ascii="Times New Roman" w:cs="Times New Roman" w:eastAsia="Times New Roman" w:hAnsi="Times New Roman"/>
                <w:sz w:val="14"/>
                <w:szCs w:val="14"/>
                <w:color w:val="auto"/>
              </w:rPr>
              <w:t>2/24/2023</w:t>
            </w:r>
          </w:p>
        </w:tc>
        <w:tc>
          <w:tcPr>
            <w:tcW w:w="174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E + 7.00%   10.68%</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6,140</w:t>
            </w:r>
          </w:p>
        </w:tc>
        <w:tc>
          <w:tcPr>
            <w:tcW w:w="9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6,371</w:t>
            </w:r>
          </w:p>
        </w:tc>
        <w:tc>
          <w:tcPr>
            <w:tcW w:w="1460" w:type="dxa"/>
            <w:vAlign w:val="bottom"/>
            <w:gridSpan w:val="2"/>
            <w:shd w:val="clear" w:color="auto" w:fill="CCEEFF"/>
          </w:tcPr>
          <w:p>
            <w:pPr>
              <w:jc w:val="right"/>
              <w:ind w:right="740"/>
              <w:spacing w:after="0" w:line="126" w:lineRule="exact"/>
              <w:rPr>
                <w:sz w:val="20"/>
                <w:szCs w:val="20"/>
                <w:color w:val="auto"/>
              </w:rPr>
            </w:pPr>
            <w:r>
              <w:rPr>
                <w:rFonts w:ascii="Times New Roman" w:cs="Times New Roman" w:eastAsia="Times New Roman" w:hAnsi="Times New Roman"/>
                <w:sz w:val="14"/>
                <w:szCs w:val="14"/>
                <w:color w:val="auto"/>
              </w:rPr>
              <w:t>0.2%</w:t>
            </w:r>
          </w:p>
        </w:tc>
      </w:tr>
      <w:tr>
        <w:trPr>
          <w:trHeight w:val="148"/>
        </w:trPr>
        <w:tc>
          <w:tcPr>
            <w:tcW w:w="19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 Lairessestraat 145</w:t>
            </w:r>
          </w:p>
        </w:tc>
        <w:tc>
          <w:tcPr>
            <w:tcW w:w="3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(EUR 5,945)</w:t>
            </w: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19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1075 HJ Amsterdam</w:t>
            </w:r>
          </w:p>
        </w:tc>
        <w:tc>
          <w:tcPr>
            <w:tcW w:w="3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1"/>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Netherlands</w:t>
            </w:r>
          </w:p>
        </w:tc>
        <w:tc>
          <w:tcPr>
            <w:tcW w:w="3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PIK)</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3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6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6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2"/>
          </w:tcPr>
          <w:p>
            <w:pPr>
              <w:ind w:left="10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9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of Net Assets</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108"/>
        </w:trPr>
        <w:tc>
          <w:tcPr>
            <w:tcW w:w="23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Raptor US Buyer II Corp.</w:t>
            </w:r>
            <w:r>
              <w:rPr>
                <w:rFonts w:ascii="Times New Roman" w:cs="Times New Roman" w:eastAsia="Times New Roman" w:hAnsi="Times New Roman"/>
                <w:sz w:val="9"/>
                <w:szCs w:val="9"/>
                <w:color w:val="auto"/>
              </w:rPr>
              <w:t>(3)(5)</w:t>
            </w:r>
          </w:p>
        </w:tc>
        <w:tc>
          <w:tcPr>
            <w:tcW w:w="160" w:type="dxa"/>
            <w:vAlign w:val="bottom"/>
            <w:tcBorders>
              <w:top w:val="single" w:sz="8" w:color="CCEEFF"/>
            </w:tcBorders>
            <w:shd w:val="clear" w:color="auto" w:fill="CCEEFF"/>
          </w:tcPr>
          <w:p>
            <w:pPr>
              <w:spacing w:after="0"/>
              <w:rPr>
                <w:sz w:val="9"/>
                <w:szCs w:val="9"/>
                <w:color w:val="auto"/>
              </w:rPr>
            </w:pPr>
          </w:p>
        </w:tc>
        <w:tc>
          <w:tcPr>
            <w:tcW w:w="252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First-lien loan ($98,109 par, due 3/2029)</w:t>
            </w: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3/24/2023</w:t>
            </w:r>
          </w:p>
        </w:tc>
        <w:tc>
          <w:tcPr>
            <w:tcW w:w="14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SOFR + 6.75%</w:t>
            </w: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12.08%</w:t>
            </w: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95,255</w:t>
            </w:r>
          </w:p>
        </w:tc>
        <w:tc>
          <w:tcPr>
            <w:tcW w:w="1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98,845</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ind w:left="420"/>
              <w:spacing w:after="0" w:line="109" w:lineRule="exact"/>
              <w:rPr>
                <w:sz w:val="20"/>
                <w:szCs w:val="20"/>
                <w:color w:val="auto"/>
              </w:rPr>
            </w:pPr>
            <w:r>
              <w:rPr>
                <w:rFonts w:ascii="Times New Roman" w:cs="Times New Roman" w:eastAsia="Times New Roman" w:hAnsi="Times New Roman"/>
                <w:sz w:val="12"/>
                <w:szCs w:val="12"/>
                <w:color w:val="auto"/>
              </w:rPr>
              <w:t>3.6</w:t>
            </w:r>
          </w:p>
        </w:tc>
        <w:tc>
          <w:tcPr>
            <w:tcW w:w="300" w:type="dxa"/>
            <w:vAlign w:val="bottom"/>
            <w:tcBorders>
              <w:top w:val="single" w:sz="8" w:color="CCEEFF"/>
            </w:tcBorders>
            <w:shd w:val="clear" w:color="auto" w:fill="CCEEFF"/>
          </w:tcPr>
          <w:p>
            <w:pPr>
              <w:jc w:val="right"/>
              <w:ind w:right="11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36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SL Buyer Corp.</w:t>
            </w:r>
            <w:r>
              <w:rPr>
                <w:rFonts w:ascii="Times New Roman" w:cs="Times New Roman" w:eastAsia="Times New Roman" w:hAnsi="Times New Roman"/>
                <w:sz w:val="10"/>
                <w:szCs w:val="10"/>
                <w:color w:val="auto"/>
              </w:rPr>
              <w:t>(3)(5)</w:t>
            </w:r>
          </w:p>
        </w:tc>
        <w:tc>
          <w:tcPr>
            <w:tcW w:w="2800" w:type="dxa"/>
            <w:vAlign w:val="bottom"/>
            <w:gridSpan w:val="3"/>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First-lien loan ($3,642 par, due 7/2029)</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7/7/2023</w:t>
            </w:r>
          </w:p>
        </w:tc>
        <w:tc>
          <w:tcPr>
            <w:tcW w:w="13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+ 7.75%</w:t>
            </w:r>
          </w:p>
        </w:tc>
        <w:tc>
          <w:tcPr>
            <w:tcW w:w="6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13.09%</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3,503</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3,620</w:t>
            </w:r>
          </w:p>
        </w:tc>
        <w:tc>
          <w:tcPr>
            <w:tcW w:w="90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111 South Wood Avenue</w:t>
            </w: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Iselin, NJ 08830</w:t>
            </w:r>
          </w:p>
        </w:tc>
        <w:tc>
          <w:tcPr>
            <w:tcW w:w="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104,898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108,836</w:t>
            </w:r>
          </w:p>
        </w:tc>
        <w:tc>
          <w:tcPr>
            <w:tcW w:w="9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3.9%</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Equinox Holdings, Inc.</w:t>
            </w:r>
          </w:p>
        </w:tc>
        <w:tc>
          <w:tcPr>
            <w:tcW w:w="2800" w:type="dxa"/>
            <w:vAlign w:val="bottom"/>
            <w:gridSpan w:val="3"/>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First-lien loan ($194,201 par, due 3/2029)</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3/8/2024</w:t>
            </w:r>
          </w:p>
        </w:tc>
        <w:tc>
          <w:tcPr>
            <w:tcW w:w="13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+ 8.25%</w:t>
            </w:r>
          </w:p>
        </w:tc>
        <w:tc>
          <w:tcPr>
            <w:tcW w:w="6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13.58%</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191,417</w:t>
            </w:r>
          </w:p>
        </w:tc>
        <w:tc>
          <w:tcPr>
            <w:tcW w:w="9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192,259</w:t>
            </w:r>
          </w:p>
        </w:tc>
        <w:tc>
          <w:tcPr>
            <w:tcW w:w="90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7.0%</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31 Hudson Yards</w:t>
            </w:r>
          </w:p>
        </w:tc>
        <w:tc>
          <w:tcPr>
            <w:tcW w:w="26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PIK)</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0" w:type="dxa"/>
            <w:vAlign w:val="bottom"/>
            <w:gridSpan w:val="3"/>
          </w:tcPr>
          <w:p>
            <w:pPr>
              <w:ind w:left="160"/>
              <w:spacing w:after="0" w:line="126" w:lineRule="exact"/>
              <w:rPr>
                <w:sz w:val="20"/>
                <w:szCs w:val="20"/>
                <w:color w:val="auto"/>
              </w:rPr>
            </w:pPr>
            <w:r>
              <w:rPr>
                <w:rFonts w:ascii="Times New Roman" w:cs="Times New Roman" w:eastAsia="Times New Roman" w:hAnsi="Times New Roman"/>
                <w:sz w:val="14"/>
                <w:szCs w:val="14"/>
                <w:color w:val="auto"/>
              </w:rPr>
              <w:t>Second-lien loan ($8,669 par, due 6/2027)</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3/13/2024</w:t>
            </w:r>
          </w:p>
        </w:tc>
        <w:tc>
          <w:tcPr>
            <w:tcW w:w="13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16.00%</w:t>
            </w:r>
          </w:p>
        </w:tc>
        <w:tc>
          <w:tcPr>
            <w:tcW w:w="6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16.00%</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8,441</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8,691</w:t>
            </w:r>
          </w:p>
        </w:tc>
        <w:tc>
          <w:tcPr>
            <w:tcW w:w="90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PIK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Sport Alliance GmbH</w:t>
            </w:r>
            <w:r>
              <w:rPr>
                <w:rFonts w:ascii="Times New Roman" w:cs="Times New Roman" w:eastAsia="Times New Roman" w:hAnsi="Times New Roman"/>
                <w:sz w:val="10"/>
                <w:szCs w:val="10"/>
                <w:color w:val="auto"/>
              </w:rPr>
              <w:t>(3)(4)</w:t>
            </w:r>
          </w:p>
        </w:tc>
        <w:tc>
          <w:tcPr>
            <w:tcW w:w="2800" w:type="dxa"/>
            <w:vAlign w:val="bottom"/>
            <w:gridSpan w:val="3"/>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First-lien loan (EUR 4,404 par, due 4/2030)</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4/10/2024</w:t>
            </w:r>
          </w:p>
        </w:tc>
        <w:tc>
          <w:tcPr>
            <w:tcW w:w="13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E + 7.25%</w:t>
            </w:r>
          </w:p>
        </w:tc>
        <w:tc>
          <w:tcPr>
            <w:tcW w:w="6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10.94%</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4,605</w:t>
            </w:r>
          </w:p>
        </w:tc>
        <w:tc>
          <w:tcPr>
            <w:tcW w:w="9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4,612</w:t>
            </w:r>
          </w:p>
        </w:tc>
        <w:tc>
          <w:tcPr>
            <w:tcW w:w="90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Raboisen 6</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(EUR 4,303)</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20095 Hamburg</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PIK)</w:t>
            </w:r>
          </w:p>
        </w:tc>
        <w:tc>
          <w:tcPr>
            <w:tcW w:w="5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204,463</w:t>
            </w:r>
          </w:p>
        </w:tc>
        <w:tc>
          <w:tcPr>
            <w:tcW w:w="14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205,562</w:t>
            </w:r>
          </w:p>
        </w:tc>
        <w:tc>
          <w:tcPr>
            <w:tcW w:w="140" w:type="dxa"/>
            <w:vAlign w:val="bottom"/>
          </w:tcPr>
          <w:p>
            <w:pPr>
              <w:spacing w:after="0"/>
              <w:rPr>
                <w:sz w:val="14"/>
                <w:szCs w:val="14"/>
                <w:color w:val="auto"/>
              </w:rPr>
            </w:pPr>
          </w:p>
        </w:tc>
        <w:tc>
          <w:tcPr>
            <w:tcW w:w="90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7.5%</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bswift, LLC</w:t>
            </w:r>
            <w:r>
              <w:rPr>
                <w:rFonts w:ascii="Times New Roman" w:cs="Times New Roman" w:eastAsia="Times New Roman" w:hAnsi="Times New Roman"/>
                <w:sz w:val="10"/>
                <w:szCs w:val="10"/>
                <w:color w:val="auto"/>
              </w:rPr>
              <w:t>(3)(5)</w:t>
            </w:r>
          </w:p>
        </w:tc>
        <w:tc>
          <w:tcPr>
            <w:tcW w:w="2800" w:type="dxa"/>
            <w:vAlign w:val="bottom"/>
            <w:gridSpan w:val="3"/>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First-lien loan ($140,258 par, due 11/2028)</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11/7/2022</w:t>
            </w:r>
          </w:p>
        </w:tc>
        <w:tc>
          <w:tcPr>
            <w:tcW w:w="13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+ 6.38%</w:t>
            </w:r>
          </w:p>
        </w:tc>
        <w:tc>
          <w:tcPr>
            <w:tcW w:w="6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11.67%</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136,800</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142,361</w:t>
            </w:r>
          </w:p>
        </w:tc>
        <w:tc>
          <w:tcPr>
            <w:tcW w:w="90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5.2%</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HireVue, Inc.</w:t>
            </w:r>
            <w:r>
              <w:rPr>
                <w:rFonts w:ascii="Times New Roman" w:cs="Times New Roman" w:eastAsia="Times New Roman" w:hAnsi="Times New Roman"/>
                <w:sz w:val="10"/>
                <w:szCs w:val="10"/>
                <w:color w:val="auto"/>
              </w:rPr>
              <w:t>(3)</w:t>
            </w:r>
          </w:p>
        </w:tc>
        <w:tc>
          <w:tcPr>
            <w:tcW w:w="2800" w:type="dxa"/>
            <w:vAlign w:val="bottom"/>
            <w:gridSpan w:val="3"/>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First-lien loan ($110,333 par, due 5/2029)</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3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6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12.58%</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107,739</w:t>
            </w:r>
          </w:p>
        </w:tc>
        <w:tc>
          <w:tcPr>
            <w:tcW w:w="9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111,436</w:t>
            </w:r>
          </w:p>
        </w:tc>
        <w:tc>
          <w:tcPr>
            <w:tcW w:w="90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4.1%</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10876 South River Front Parkway</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 Jordan, UT 84095</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0" w:type="dxa"/>
            <w:vAlign w:val="bottom"/>
            <w:gridSpan w:val="3"/>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First-lien revolving loan ($1,815 par, due</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3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6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12.58%</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1,483</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1,956</w:t>
            </w:r>
          </w:p>
        </w:tc>
        <w:tc>
          <w:tcPr>
            <w:tcW w:w="90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5/2029)</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MadCap Software, Inc.</w:t>
            </w:r>
            <w:r>
              <w:rPr>
                <w:rFonts w:ascii="Times New Roman" w:cs="Times New Roman" w:eastAsia="Times New Roman" w:hAnsi="Times New Roman"/>
                <w:sz w:val="10"/>
                <w:szCs w:val="10"/>
                <w:color w:val="auto"/>
              </w:rPr>
              <w:t>(3)(5)</w:t>
            </w:r>
          </w:p>
        </w:tc>
        <w:tc>
          <w:tcPr>
            <w:tcW w:w="2800" w:type="dxa"/>
            <w:vAlign w:val="bottom"/>
            <w:gridSpan w:val="3"/>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First-lien loan ($2,488 par, due 12/2026)</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12/15/2023</w:t>
            </w:r>
          </w:p>
        </w:tc>
        <w:tc>
          <w:tcPr>
            <w:tcW w:w="13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+ 6.10%</w:t>
            </w:r>
          </w:p>
        </w:tc>
        <w:tc>
          <w:tcPr>
            <w:tcW w:w="6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11.44%</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2,436</w:t>
            </w:r>
          </w:p>
        </w:tc>
        <w:tc>
          <w:tcPr>
            <w:tcW w:w="9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2,456</w:t>
            </w:r>
          </w:p>
        </w:tc>
        <w:tc>
          <w:tcPr>
            <w:tcW w:w="90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Centre Drive</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248,458</w:t>
            </w:r>
          </w:p>
        </w:tc>
        <w:tc>
          <w:tcPr>
            <w:tcW w:w="14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258,209</w:t>
            </w:r>
          </w:p>
        </w:tc>
        <w:tc>
          <w:tcPr>
            <w:tcW w:w="140" w:type="dxa"/>
            <w:vAlign w:val="bottom"/>
          </w:tcPr>
          <w:p>
            <w:pPr>
              <w:spacing w:after="0"/>
              <w:rPr>
                <w:sz w:val="14"/>
                <w:szCs w:val="14"/>
                <w:color w:val="auto"/>
              </w:rPr>
            </w:pPr>
          </w:p>
        </w:tc>
        <w:tc>
          <w:tcPr>
            <w:tcW w:w="90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9.5%</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Disco Parent, Inc.</w:t>
            </w:r>
            <w:r>
              <w:rPr>
                <w:rFonts w:ascii="Times New Roman" w:cs="Times New Roman" w:eastAsia="Times New Roman" w:hAnsi="Times New Roman"/>
                <w:sz w:val="10"/>
                <w:szCs w:val="10"/>
                <w:color w:val="auto"/>
              </w:rPr>
              <w:t>(3)</w:t>
            </w:r>
          </w:p>
        </w:tc>
        <w:tc>
          <w:tcPr>
            <w:tcW w:w="2800" w:type="dxa"/>
            <w:vAlign w:val="bottom"/>
            <w:gridSpan w:val="3"/>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First-lien loan ($57,756 par, due 3/2029)</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3/30/2023</w:t>
            </w:r>
          </w:p>
        </w:tc>
        <w:tc>
          <w:tcPr>
            <w:tcW w:w="13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+ 7.50%</w:t>
            </w:r>
          </w:p>
        </w:tc>
        <w:tc>
          <w:tcPr>
            <w:tcW w:w="6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12.85%</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56,500</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58,232</w:t>
            </w:r>
          </w:p>
        </w:tc>
        <w:tc>
          <w:tcPr>
            <w:tcW w:w="90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2.1%</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 Boston Wharf Road</w:t>
            </w: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02210</w:t>
            </w: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Arrow Buyer, Inc.</w:t>
            </w:r>
            <w:r>
              <w:rPr>
                <w:rFonts w:ascii="Times New Roman" w:cs="Times New Roman" w:eastAsia="Times New Roman" w:hAnsi="Times New Roman"/>
                <w:sz w:val="10"/>
                <w:szCs w:val="10"/>
                <w:color w:val="auto"/>
              </w:rPr>
              <w:t>(3)</w:t>
            </w:r>
          </w:p>
        </w:tc>
        <w:tc>
          <w:tcPr>
            <w:tcW w:w="2800" w:type="dxa"/>
            <w:vAlign w:val="bottom"/>
            <w:gridSpan w:val="3"/>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First-lien loan ($129,214 par, due 7/2030)</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6/30/2023</w:t>
            </w:r>
          </w:p>
        </w:tc>
        <w:tc>
          <w:tcPr>
            <w:tcW w:w="13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6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11.08%</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126,087</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129,588</w:t>
            </w:r>
          </w:p>
        </w:tc>
        <w:tc>
          <w:tcPr>
            <w:tcW w:w="90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4.7%</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 East 49th Street</w:t>
            </w: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Tower 49</w:t>
            </w: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10017</w:t>
            </w:r>
          </w:p>
        </w:tc>
        <w:tc>
          <w:tcPr>
            <w:tcW w:w="2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First-lien loan ($129,573 par, due 2/2030)</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2/27/2023</w:t>
            </w: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+ 5.50%</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10.83%</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126,665</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131,073</w:t>
            </w:r>
          </w:p>
        </w:tc>
        <w:tc>
          <w:tcPr>
            <w:tcW w:w="9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4.7%</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Coupa Holdings, LLC</w:t>
            </w:r>
            <w:r>
              <w:rPr>
                <w:rFonts w:ascii="Times New Roman" w:cs="Times New Roman" w:eastAsia="Times New Roman" w:hAnsi="Times New Roman"/>
                <w:sz w:val="10"/>
                <w:szCs w:val="10"/>
                <w:color w:val="auto"/>
              </w:rPr>
              <w:t>(3)</w:t>
            </w:r>
          </w:p>
        </w:tc>
        <w:tc>
          <w:tcPr>
            <w:tcW w:w="280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1855 S. Grant Street</w:t>
            </w: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3771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ind w:left="260"/>
        <w:spacing w:after="0" w:line="221" w:lineRule="auto"/>
        <w:rPr>
          <w:sz w:val="20"/>
          <w:szCs w:val="20"/>
          <w:color w:val="auto"/>
        </w:rPr>
      </w:pPr>
      <w:r>
        <w:rPr>
          <w:rFonts w:ascii="Times New Roman" w:cs="Times New Roman" w:eastAsia="Times New Roman" w:hAnsi="Times New Roman"/>
          <w:sz w:val="14"/>
          <w:szCs w:val="14"/>
          <w:color w:val="auto"/>
        </w:rPr>
        <w:t>San Mateo, CA 94402</w:t>
      </w:r>
    </w:p>
    <w:p>
      <w:pPr>
        <w:ind w:left="260"/>
        <w:spacing w:after="0"/>
        <w:rPr>
          <w:sz w:val="20"/>
          <w:szCs w:val="20"/>
          <w:color w:val="auto"/>
        </w:rPr>
      </w:pPr>
      <w:r>
        <w:rPr>
          <w:rFonts w:ascii="Times New Roman" w:cs="Times New Roman" w:eastAsia="Times New Roman" w:hAnsi="Times New Roman"/>
          <w:sz w:val="14"/>
          <w:szCs w:val="14"/>
          <w:color w:val="auto"/>
        </w:rPr>
        <w:t>USA</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46"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Initial</w:t>
            </w:r>
          </w:p>
        </w:tc>
        <w:tc>
          <w:tcPr>
            <w:tcW w:w="0" w:type="dxa"/>
            <w:vAlign w:val="bottom"/>
          </w:tcPr>
          <w:p>
            <w:pPr>
              <w:spacing w:after="0"/>
              <w:rPr>
                <w:sz w:val="1"/>
                <w:szCs w:val="1"/>
                <w:color w:val="auto"/>
              </w:rPr>
            </w:pPr>
          </w:p>
        </w:tc>
      </w:tr>
      <w:tr>
        <w:trPr>
          <w:trHeight w:val="122"/>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r>
              <w:rPr>
                <w:rFonts w:ascii="Times New Roman" w:cs="Times New Roman" w:eastAsia="Times New Roman" w:hAnsi="Times New Roman"/>
                <w:sz w:val="16"/>
                <w:szCs w:val="16"/>
                <w:b w:val="1"/>
                <w:bCs w:val="1"/>
                <w:color w:val="auto"/>
                <w:vertAlign w:val="superscript"/>
              </w:rPr>
              <w:t>(1)(9)</w:t>
            </w:r>
          </w:p>
        </w:tc>
        <w:tc>
          <w:tcPr>
            <w:tcW w:w="60" w:type="dxa"/>
            <w:vAlign w:val="bottom"/>
          </w:tcPr>
          <w:p>
            <w:pPr>
              <w:spacing w:after="0"/>
              <w:rPr>
                <w:sz w:val="10"/>
                <w:szCs w:val="10"/>
                <w:color w:val="auto"/>
              </w:rPr>
            </w:pPr>
          </w:p>
        </w:tc>
        <w:tc>
          <w:tcPr>
            <w:tcW w:w="26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72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0" w:type="dxa"/>
            <w:vAlign w:val="bottom"/>
          </w:tcPr>
          <w:p>
            <w:pPr>
              <w:spacing w:after="0"/>
              <w:rPr>
                <w:sz w:val="1"/>
                <w:szCs w:val="1"/>
                <w:color w:val="auto"/>
              </w:rPr>
            </w:pPr>
          </w:p>
        </w:tc>
      </w:tr>
      <w:tr>
        <w:trPr>
          <w:trHeight w:val="144"/>
        </w:trPr>
        <w:tc>
          <w:tcPr>
            <w:tcW w:w="24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72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08"/>
        </w:trPr>
        <w:tc>
          <w:tcPr>
            <w:tcW w:w="64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Hippo XPA</w:t>
            </w:r>
          </w:p>
        </w:tc>
        <w:tc>
          <w:tcPr>
            <w:tcW w:w="180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auto"/>
              </w:rPr>
              <w:t>Bidco AB</w:t>
            </w:r>
            <w:r>
              <w:rPr>
                <w:rFonts w:ascii="Times New Roman" w:cs="Times New Roman" w:eastAsia="Times New Roman" w:hAnsi="Times New Roman"/>
                <w:sz w:val="9"/>
                <w:szCs w:val="9"/>
                <w:color w:val="auto"/>
              </w:rPr>
              <w:t>(3)(4)</w:t>
            </w:r>
          </w:p>
        </w:tc>
        <w:tc>
          <w:tcPr>
            <w:tcW w:w="60" w:type="dxa"/>
            <w:vAlign w:val="bottom"/>
          </w:tcPr>
          <w:p>
            <w:pPr>
              <w:spacing w:after="0"/>
              <w:rPr>
                <w:sz w:val="9"/>
                <w:szCs w:val="9"/>
                <w:color w:val="auto"/>
              </w:rPr>
            </w:pPr>
          </w:p>
        </w:tc>
        <w:tc>
          <w:tcPr>
            <w:tcW w:w="250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First-lien loan (SEK 78,816 par, due</w:t>
            </w:r>
          </w:p>
        </w:tc>
        <w:tc>
          <w:tcPr>
            <w:tcW w:w="100" w:type="dxa"/>
            <w:vAlign w:val="bottom"/>
          </w:tcPr>
          <w:p>
            <w:pPr>
              <w:spacing w:after="0"/>
              <w:rPr>
                <w:sz w:val="9"/>
                <w:szCs w:val="9"/>
                <w:color w:val="auto"/>
              </w:rPr>
            </w:pPr>
          </w:p>
        </w:tc>
        <w:tc>
          <w:tcPr>
            <w:tcW w:w="7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2/20/2024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Stora Varvsgatan 11 B, 211 74</w:t>
            </w:r>
          </w:p>
        </w:tc>
        <w:tc>
          <w:tcPr>
            <w:tcW w:w="25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2/2031)</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Malmö, Sweden</w:t>
            </w:r>
          </w:p>
        </w:tc>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Merit Software Finance Holdings,</w:t>
            </w: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First-lien loan ($10,714 par, due 6/2029)</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6/20/2024</w:t>
            </w: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2"/>
                <w:szCs w:val="12"/>
                <w:color w:val="auto"/>
              </w:rPr>
              <w:t>LLC</w:t>
            </w:r>
            <w:r>
              <w:rPr>
                <w:rFonts w:ascii="Times New Roman" w:cs="Times New Roman" w:eastAsia="Times New Roman" w:hAnsi="Times New Roman"/>
                <w:sz w:val="17"/>
                <w:szCs w:val="17"/>
                <w:color w:val="auto"/>
                <w:vertAlign w:val="superscript"/>
              </w:rPr>
              <w:t>(3)</w:t>
            </w:r>
          </w:p>
        </w:tc>
        <w:tc>
          <w:tcPr>
            <w:tcW w:w="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2057-A Green Bay Rd. Unit #A 109</w:t>
            </w:r>
          </w:p>
        </w:tc>
        <w:tc>
          <w:tcPr>
            <w:tcW w:w="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Highland Park, IL 60035</w:t>
            </w:r>
          </w:p>
        </w:tc>
        <w:tc>
          <w:tcPr>
            <w:tcW w:w="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USA</w:t>
            </w: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($5,667 par, due 10/2028)</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10/31/2022</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(3)(5)</w:t>
            </w:r>
          </w:p>
        </w:tc>
        <w:tc>
          <w:tcPr>
            <w:tcW w:w="266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Pawkway N.</w:t>
            </w:r>
          </w:p>
        </w:tc>
        <w:tc>
          <w:tcPr>
            <w:tcW w:w="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-1328420</wp:posOffset>
            </wp:positionV>
            <wp:extent cx="6995160" cy="386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-471170</wp:posOffset>
            </wp:positionV>
            <wp:extent cx="6995160" cy="4718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13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2"/>
              </w:rPr>
              <w:t>Interest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6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26"/>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66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b w:val="1"/>
                <w:bCs w:val="1"/>
                <w:color w:val="auto"/>
                <w:vertAlign w:val="subscript"/>
              </w:rPr>
              <w:t>Cost</w:t>
            </w:r>
            <w:r>
              <w:rPr>
                <w:rFonts w:ascii="Times New Roman" w:cs="Times New Roman" w:eastAsia="Times New Roman" w:hAnsi="Times New Roman"/>
                <w:sz w:val="6"/>
                <w:szCs w:val="6"/>
                <w:b w:val="1"/>
                <w:bCs w:val="1"/>
                <w:color w:val="auto"/>
              </w:rPr>
              <w:t>(2)(7)</w:t>
            </w:r>
          </w:p>
        </w:tc>
        <w:tc>
          <w:tcPr>
            <w:tcW w:w="102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4"/>
                <w:szCs w:val="14"/>
                <w:b w:val="1"/>
                <w:bCs w:val="1"/>
                <w:color w:val="auto"/>
                <w:vertAlign w:val="superscript"/>
              </w:rPr>
              <w:t>(6)</w:t>
            </w: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23"/>
        </w:trPr>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2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STIBOR + 6.50%</w:t>
            </w:r>
          </w:p>
        </w:tc>
        <w:tc>
          <w:tcPr>
            <w:tcW w:w="100" w:type="dxa"/>
            <w:vAlign w:val="bottom"/>
            <w:vMerge w:val="continue"/>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10.58%</w:t>
            </w:r>
          </w:p>
        </w:tc>
        <w:tc>
          <w:tcPr>
            <w:tcW w:w="100" w:type="dxa"/>
            <w:vAlign w:val="bottom"/>
            <w:vMerge w:val="continue"/>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7,354</w:t>
            </w:r>
          </w:p>
        </w:tc>
        <w:tc>
          <w:tcPr>
            <w:tcW w:w="140" w:type="dxa"/>
            <w:vAlign w:val="bottom"/>
            <w:vMerge w:val="continue"/>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7,294</w:t>
            </w:r>
          </w:p>
        </w:tc>
        <w:tc>
          <w:tcPr>
            <w:tcW w:w="140" w:type="dxa"/>
            <w:vAlign w:val="bottom"/>
            <w:vMerge w:val="continue"/>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0.3</w:t>
            </w:r>
          </w:p>
        </w:tc>
        <w:tc>
          <w:tcPr>
            <w:tcW w:w="3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(SEK 77,245)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SOFR + 7.50%</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10,341</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10,268</w:t>
            </w:r>
          </w:p>
        </w:tc>
        <w:tc>
          <w:tcPr>
            <w:tcW w:w="9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gridSpan w:val="2"/>
            <w:vMerge w:val="continue"/>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12.84%</w:t>
            </w:r>
          </w:p>
        </w:tc>
        <w:tc>
          <w:tcPr>
            <w:tcW w:w="6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3"/>
        </w:trPr>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+ 6.75%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12.08%</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5,490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5,780</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96" w:lineRule="exact"/>
        <w:rPr>
          <w:sz w:val="20"/>
          <w:szCs w:val="20"/>
          <w:color w:val="auto"/>
        </w:rPr>
      </w:pPr>
    </w:p>
    <w:p>
      <w:pPr>
        <w:sectPr>
          <w:pgSz w:w="11900" w:h="16838" w:orient="portrait"/>
          <w:cols w:equalWidth="0" w:num="2">
            <w:col w:w="5920" w:space="140"/>
            <w:col w:w="508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2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3"/>
        </w:trPr>
        <w:tc>
          <w:tcPr>
            <w:tcW w:w="24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275,937</w:t>
            </w:r>
          </w:p>
        </w:tc>
        <w:tc>
          <w:tcPr>
            <w:tcW w:w="120" w:type="dxa"/>
            <w:vAlign w:val="bottom"/>
          </w:tcPr>
          <w:p>
            <w:pPr>
              <w:spacing w:after="0"/>
              <w:rPr>
                <w:sz w:val="12"/>
                <w:szCs w:val="12"/>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284,003</w:t>
            </w:r>
          </w:p>
        </w:tc>
        <w:tc>
          <w:tcPr>
            <w:tcW w:w="140" w:type="dxa"/>
            <w:vAlign w:val="bottom"/>
          </w:tcPr>
          <w:p>
            <w:pPr>
              <w:spacing w:after="0"/>
              <w:rPr>
                <w:sz w:val="12"/>
                <w:szCs w:val="12"/>
                <w:color w:val="auto"/>
              </w:rPr>
            </w:pPr>
          </w:p>
        </w:tc>
        <w:tc>
          <w:tcPr>
            <w:tcW w:w="1440" w:type="dxa"/>
            <w:vAlign w:val="bottom"/>
            <w:gridSpan w:val="2"/>
          </w:tcPr>
          <w:p>
            <w:pPr>
              <w:jc w:val="right"/>
              <w:ind w:right="700"/>
              <w:spacing w:after="0" w:line="136" w:lineRule="exact"/>
              <w:rPr>
                <w:sz w:val="20"/>
                <w:szCs w:val="20"/>
                <w:color w:val="auto"/>
              </w:rPr>
            </w:pPr>
            <w:r>
              <w:rPr>
                <w:rFonts w:ascii="Times New Roman" w:cs="Times New Roman" w:eastAsia="Times New Roman" w:hAnsi="Times New Roman"/>
                <w:sz w:val="14"/>
                <w:szCs w:val="14"/>
                <w:b w:val="1"/>
                <w:bCs w:val="1"/>
                <w:color w:val="auto"/>
              </w:rPr>
              <w:t>10.3%</w:t>
            </w: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Aptean, Inc.</w:t>
            </w:r>
            <w:r>
              <w:rPr>
                <w:rFonts w:ascii="Times New Roman" w:cs="Times New Roman" w:eastAsia="Times New Roman" w:hAnsi="Times New Roman"/>
                <w:sz w:val="10"/>
                <w:szCs w:val="10"/>
                <w:color w:val="auto"/>
              </w:rPr>
              <w:t>(3)</w:t>
            </w:r>
          </w:p>
        </w:tc>
        <w:tc>
          <w:tcPr>
            <w:tcW w:w="26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First-lien loan ($110,905 par, due 1/2031)</w:t>
            </w:r>
          </w:p>
        </w:tc>
        <w:tc>
          <w:tcPr>
            <w:tcW w:w="98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1/30/2024</w:t>
            </w:r>
          </w:p>
        </w:tc>
        <w:tc>
          <w:tcPr>
            <w:tcW w:w="122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6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10.59%</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109,658</w:t>
            </w:r>
          </w:p>
        </w:tc>
        <w:tc>
          <w:tcPr>
            <w:tcW w:w="11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110,205</w:t>
            </w:r>
          </w:p>
        </w:tc>
        <w:tc>
          <w:tcPr>
            <w:tcW w:w="1440" w:type="dxa"/>
            <w:vAlign w:val="bottom"/>
            <w:gridSpan w:val="2"/>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4.0%</w:t>
            </w:r>
          </w:p>
        </w:tc>
      </w:tr>
      <w:tr>
        <w:trPr>
          <w:trHeight w:val="148"/>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4325 Alexander Drive. Suite 100</w:t>
            </w:r>
          </w:p>
        </w:tc>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1"/>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Alpharetta, GA</w:t>
            </w:r>
          </w:p>
        </w:tc>
        <w:tc>
          <w:tcPr>
            <w:tcW w:w="2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ASP Unifrax Holdings, Inc.</w:t>
            </w:r>
            <w:r>
              <w:rPr>
                <w:rFonts w:ascii="Times New Roman" w:cs="Times New Roman" w:eastAsia="Times New Roman" w:hAnsi="Times New Roman"/>
                <w:sz w:val="10"/>
                <w:szCs w:val="10"/>
                <w:color w:val="auto"/>
              </w:rPr>
              <w:t>(12)</w:t>
            </w:r>
          </w:p>
        </w:tc>
        <w:tc>
          <w:tcPr>
            <w:tcW w:w="26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First-lien loan ($1,124 par, due 12/2025)</w:t>
            </w:r>
          </w:p>
        </w:tc>
        <w:tc>
          <w:tcPr>
            <w:tcW w:w="980" w:type="dxa"/>
            <w:vAlign w:val="bottom"/>
            <w:shd w:val="clear" w:color="auto" w:fill="CCEEFF"/>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8/25/2023</w:t>
            </w:r>
          </w:p>
        </w:tc>
        <w:tc>
          <w:tcPr>
            <w:tcW w:w="122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SOFR + 3.90%</w:t>
            </w:r>
          </w:p>
        </w:tc>
        <w:tc>
          <w:tcPr>
            <w:tcW w:w="64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9.23%</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1,067</w:t>
            </w:r>
          </w:p>
        </w:tc>
        <w:tc>
          <w:tcPr>
            <w:tcW w:w="11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1,096</w:t>
            </w:r>
          </w:p>
        </w:tc>
        <w:tc>
          <w:tcPr>
            <w:tcW w:w="1440" w:type="dxa"/>
            <w:vAlign w:val="bottom"/>
            <w:gridSpan w:val="2"/>
            <w:shd w:val="clear" w:color="auto" w:fill="CCEEFF"/>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0.0%</w:t>
            </w: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Riverwalk Parkway</w:t>
            </w:r>
          </w:p>
        </w:tc>
        <w:tc>
          <w:tcPr>
            <w:tcW w:w="2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120</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Tonawanda, NY 14150</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71"/>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26"/>
        </w:trPr>
        <w:tc>
          <w:tcPr>
            <w:tcW w:w="2400" w:type="dxa"/>
            <w:vAlign w:val="bottom"/>
          </w:tcPr>
          <w:p>
            <w:pPr>
              <w:spacing w:after="0"/>
              <w:rPr>
                <w:sz w:val="10"/>
                <w:szCs w:val="10"/>
                <w:color w:val="auto"/>
              </w:rPr>
            </w:pPr>
          </w:p>
        </w:tc>
        <w:tc>
          <w:tcPr>
            <w:tcW w:w="26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First-lien loan (EUR 1,023 par, due</w:t>
            </w:r>
          </w:p>
        </w:tc>
        <w:tc>
          <w:tcPr>
            <w:tcW w:w="98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9/14/2023</w:t>
            </w:r>
          </w:p>
        </w:tc>
        <w:tc>
          <w:tcPr>
            <w:tcW w:w="122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E + 3.75%</w:t>
            </w:r>
          </w:p>
        </w:tc>
        <w:tc>
          <w:tcPr>
            <w:tcW w:w="6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7.47%</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1,007</w:t>
            </w:r>
          </w:p>
        </w:tc>
        <w:tc>
          <w:tcPr>
            <w:tcW w:w="11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1,050</w:t>
            </w:r>
          </w:p>
        </w:tc>
        <w:tc>
          <w:tcPr>
            <w:tcW w:w="1440" w:type="dxa"/>
            <w:vAlign w:val="bottom"/>
            <w:gridSpan w:val="2"/>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0.0%</w:t>
            </w:r>
          </w:p>
        </w:tc>
      </w:tr>
      <w:tr>
        <w:trPr>
          <w:trHeight w:val="171"/>
        </w:trPr>
        <w:tc>
          <w:tcPr>
            <w:tcW w:w="2400" w:type="dxa"/>
            <w:vAlign w:val="bottom"/>
          </w:tcPr>
          <w:p>
            <w:pPr>
              <w:spacing w:after="0"/>
              <w:rPr>
                <w:sz w:val="14"/>
                <w:szCs w:val="14"/>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12/2025) (3)</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980)</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8"/>
        </w:trPr>
        <w:tc>
          <w:tcPr>
            <w:tcW w:w="2400" w:type="dxa"/>
            <w:vAlign w:val="bottom"/>
            <w:shd w:val="clear" w:color="auto" w:fill="CCEEFF"/>
          </w:tcPr>
          <w:p>
            <w:pPr>
              <w:spacing w:after="0"/>
              <w:rPr>
                <w:sz w:val="12"/>
                <w:szCs w:val="12"/>
                <w:color w:val="auto"/>
              </w:rPr>
            </w:pPr>
          </w:p>
        </w:tc>
        <w:tc>
          <w:tcPr>
            <w:tcW w:w="2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Secured note ($1,226 par, due 9/2028)</w:t>
            </w:r>
          </w:p>
        </w:tc>
        <w:tc>
          <w:tcPr>
            <w:tcW w:w="98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12/19/2023</w:t>
            </w:r>
          </w:p>
        </w:tc>
        <w:tc>
          <w:tcPr>
            <w:tcW w:w="12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6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5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842</w:t>
            </w:r>
          </w:p>
        </w:tc>
        <w:tc>
          <w:tcPr>
            <w:tcW w:w="11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1440" w:type="dxa"/>
            <w:vAlign w:val="bottom"/>
            <w:gridSpan w:val="2"/>
            <w:shd w:val="clear" w:color="auto" w:fill="CCEEFF"/>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0.0%</w:t>
            </w:r>
          </w:p>
        </w:tc>
      </w:tr>
      <w:tr>
        <w:trPr>
          <w:trHeight w:val="148"/>
        </w:trPr>
        <w:tc>
          <w:tcPr>
            <w:tcW w:w="240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Unsecured note ($1,059 par, due 9/2029)</w:t>
            </w:r>
          </w:p>
        </w:tc>
        <w:tc>
          <w:tcPr>
            <w:tcW w:w="98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8/31/2023</w:t>
            </w:r>
          </w:p>
        </w:tc>
        <w:tc>
          <w:tcPr>
            <w:tcW w:w="1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6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11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44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0.0%</w:t>
            </w: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Avalara, Inc.</w:t>
            </w:r>
            <w:r>
              <w:rPr>
                <w:rFonts w:ascii="Times New Roman" w:cs="Times New Roman" w:eastAsia="Times New Roman" w:hAnsi="Times New Roman"/>
                <w:sz w:val="10"/>
                <w:szCs w:val="10"/>
                <w:color w:val="auto"/>
              </w:rPr>
              <w:t>(3)</w:t>
            </w:r>
          </w:p>
        </w:tc>
        <w:tc>
          <w:tcPr>
            <w:tcW w:w="26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First-lien loan ($136,364 par, due 10/2028)</w:t>
            </w:r>
          </w:p>
        </w:tc>
        <w:tc>
          <w:tcPr>
            <w:tcW w:w="980" w:type="dxa"/>
            <w:vAlign w:val="bottom"/>
            <w:shd w:val="clear" w:color="auto" w:fill="CCEEFF"/>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10/19/2022</w:t>
            </w:r>
          </w:p>
        </w:tc>
        <w:tc>
          <w:tcPr>
            <w:tcW w:w="122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SOFR + 6.75%</w:t>
            </w:r>
          </w:p>
        </w:tc>
        <w:tc>
          <w:tcPr>
            <w:tcW w:w="64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12.08%</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133,676</w:t>
            </w:r>
          </w:p>
        </w:tc>
        <w:tc>
          <w:tcPr>
            <w:tcW w:w="11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138,614</w:t>
            </w:r>
          </w:p>
        </w:tc>
        <w:tc>
          <w:tcPr>
            <w:tcW w:w="1440" w:type="dxa"/>
            <w:vAlign w:val="bottom"/>
            <w:gridSpan w:val="2"/>
            <w:shd w:val="clear" w:color="auto" w:fill="CCEEFF"/>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5.0%</w:t>
            </w: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South King Street</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71"/>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98104</w:t>
            </w:r>
          </w:p>
        </w:tc>
        <w:tc>
          <w:tcPr>
            <w:tcW w:w="2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Heritage Environmental Services, Inc.</w:t>
            </w:r>
            <w:r>
              <w:rPr>
                <w:rFonts w:ascii="Times New Roman" w:cs="Times New Roman" w:eastAsia="Times New Roman" w:hAnsi="Times New Roman"/>
                <w:sz w:val="10"/>
                <w:szCs w:val="10"/>
                <w:color w:val="auto"/>
              </w:rPr>
              <w:t>(3)</w:t>
            </w:r>
          </w:p>
        </w:tc>
        <w:tc>
          <w:tcPr>
            <w:tcW w:w="26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First-lien loan ($132,343 par, due 1/2031)</w:t>
            </w:r>
          </w:p>
        </w:tc>
        <w:tc>
          <w:tcPr>
            <w:tcW w:w="98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1/31/2024</w:t>
            </w:r>
          </w:p>
        </w:tc>
        <w:tc>
          <w:tcPr>
            <w:tcW w:w="122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SOFR + 5.50%</w:t>
            </w:r>
          </w:p>
        </w:tc>
        <w:tc>
          <w:tcPr>
            <w:tcW w:w="6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10.83%</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131,624</w:t>
            </w:r>
          </w:p>
        </w:tc>
        <w:tc>
          <w:tcPr>
            <w:tcW w:w="11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132,719</w:t>
            </w:r>
          </w:p>
        </w:tc>
        <w:tc>
          <w:tcPr>
            <w:tcW w:w="1440" w:type="dxa"/>
            <w:vAlign w:val="bottom"/>
            <w:gridSpan w:val="2"/>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4.8%</w:t>
            </w:r>
          </w:p>
        </w:tc>
      </w:tr>
      <w:tr>
        <w:trPr>
          <w:trHeight w:val="148"/>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6510 Telecom DR, Suite 400</w:t>
            </w:r>
          </w:p>
        </w:tc>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1"/>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Indianapolis, IN 46278</w:t>
            </w:r>
          </w:p>
        </w:tc>
        <w:tc>
          <w:tcPr>
            <w:tcW w:w="2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Skylark UK DebtCo Limited</w:t>
            </w:r>
            <w:r>
              <w:rPr>
                <w:rFonts w:ascii="Times New Roman" w:cs="Times New Roman" w:eastAsia="Times New Roman" w:hAnsi="Times New Roman"/>
                <w:sz w:val="10"/>
                <w:szCs w:val="10"/>
                <w:color w:val="auto"/>
              </w:rPr>
              <w:t>(3)(4)</w:t>
            </w:r>
          </w:p>
        </w:tc>
        <w:tc>
          <w:tcPr>
            <w:tcW w:w="26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First-lien loan ($56,651 par, due 9/2030)</w:t>
            </w:r>
          </w:p>
        </w:tc>
        <w:tc>
          <w:tcPr>
            <w:tcW w:w="980" w:type="dxa"/>
            <w:vAlign w:val="bottom"/>
            <w:shd w:val="clear" w:color="auto" w:fill="CCEEFF"/>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9/7/2023</w:t>
            </w:r>
          </w:p>
        </w:tc>
        <w:tc>
          <w:tcPr>
            <w:tcW w:w="122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64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11.08%</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55,218</w:t>
            </w:r>
          </w:p>
        </w:tc>
        <w:tc>
          <w:tcPr>
            <w:tcW w:w="11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56,509</w:t>
            </w:r>
          </w:p>
        </w:tc>
        <w:tc>
          <w:tcPr>
            <w:tcW w:w="1440" w:type="dxa"/>
            <w:vAlign w:val="bottom"/>
            <w:gridSpan w:val="2"/>
            <w:shd w:val="clear" w:color="auto" w:fill="CCEEFF"/>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2.2%</w:t>
            </w: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4th Floor</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Pall Mall</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SW1Y 5NQ</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71"/>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2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26"/>
        </w:trPr>
        <w:tc>
          <w:tcPr>
            <w:tcW w:w="2400" w:type="dxa"/>
            <w:vAlign w:val="bottom"/>
          </w:tcPr>
          <w:p>
            <w:pPr>
              <w:spacing w:after="0"/>
              <w:rPr>
                <w:sz w:val="10"/>
                <w:szCs w:val="10"/>
                <w:color w:val="auto"/>
              </w:rPr>
            </w:pPr>
          </w:p>
        </w:tc>
        <w:tc>
          <w:tcPr>
            <w:tcW w:w="26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First-lien loan (GBP 57,691 par, due</w:t>
            </w:r>
          </w:p>
        </w:tc>
        <w:tc>
          <w:tcPr>
            <w:tcW w:w="98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9/7/2023</w:t>
            </w:r>
          </w:p>
        </w:tc>
        <w:tc>
          <w:tcPr>
            <w:tcW w:w="122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S + 5.75%</w:t>
            </w:r>
          </w:p>
        </w:tc>
        <w:tc>
          <w:tcPr>
            <w:tcW w:w="6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10.95%</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69,580</w:t>
            </w:r>
          </w:p>
        </w:tc>
        <w:tc>
          <w:tcPr>
            <w:tcW w:w="11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72,684</w:t>
            </w:r>
          </w:p>
        </w:tc>
        <w:tc>
          <w:tcPr>
            <w:tcW w:w="1440" w:type="dxa"/>
            <w:vAlign w:val="bottom"/>
            <w:gridSpan w:val="2"/>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2.7%</w:t>
            </w:r>
          </w:p>
        </w:tc>
      </w:tr>
      <w:tr>
        <w:trPr>
          <w:trHeight w:val="171"/>
        </w:trPr>
        <w:tc>
          <w:tcPr>
            <w:tcW w:w="2400" w:type="dxa"/>
            <w:vAlign w:val="bottom"/>
          </w:tcPr>
          <w:p>
            <w:pPr>
              <w:spacing w:after="0"/>
              <w:rPr>
                <w:sz w:val="14"/>
                <w:szCs w:val="14"/>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9/2030)</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(GBP 57,498)</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6"/>
        </w:trPr>
        <w:tc>
          <w:tcPr>
            <w:tcW w:w="2400" w:type="dxa"/>
            <w:vAlign w:val="bottom"/>
            <w:shd w:val="clear" w:color="auto" w:fill="CCEEFF"/>
          </w:tcPr>
          <w:p>
            <w:pPr>
              <w:spacing w:after="0"/>
              <w:rPr>
                <w:sz w:val="10"/>
                <w:szCs w:val="10"/>
                <w:color w:val="auto"/>
              </w:rPr>
            </w:pPr>
          </w:p>
        </w:tc>
        <w:tc>
          <w:tcPr>
            <w:tcW w:w="26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First-lien loan (EUR 16,819 par, due</w:t>
            </w:r>
          </w:p>
        </w:tc>
        <w:tc>
          <w:tcPr>
            <w:tcW w:w="980" w:type="dxa"/>
            <w:vAlign w:val="bottom"/>
            <w:shd w:val="clear" w:color="auto" w:fill="CCEEFF"/>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9/7/2023</w:t>
            </w:r>
          </w:p>
        </w:tc>
        <w:tc>
          <w:tcPr>
            <w:tcW w:w="122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E + 5.75%</w:t>
            </w:r>
          </w:p>
        </w:tc>
        <w:tc>
          <w:tcPr>
            <w:tcW w:w="64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9.47%</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17,552</w:t>
            </w:r>
          </w:p>
        </w:tc>
        <w:tc>
          <w:tcPr>
            <w:tcW w:w="11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17,981</w:t>
            </w:r>
          </w:p>
        </w:tc>
        <w:tc>
          <w:tcPr>
            <w:tcW w:w="1440" w:type="dxa"/>
            <w:vAlign w:val="bottom"/>
            <w:gridSpan w:val="2"/>
            <w:shd w:val="clear" w:color="auto" w:fill="CCEEFF"/>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0.7%</w:t>
            </w:r>
          </w:p>
        </w:tc>
      </w:tr>
      <w:tr>
        <w:trPr>
          <w:trHeight w:val="171"/>
        </w:trPr>
        <w:tc>
          <w:tcPr>
            <w:tcW w:w="2400" w:type="dxa"/>
            <w:vAlign w:val="bottom"/>
            <w:shd w:val="clear" w:color="auto" w:fill="CCEEFF"/>
          </w:tcPr>
          <w:p>
            <w:pPr>
              <w:spacing w:after="0"/>
              <w:rPr>
                <w:sz w:val="14"/>
                <w:szCs w:val="14"/>
                <w:color w:val="auto"/>
              </w:rPr>
            </w:pPr>
          </w:p>
        </w:tc>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9/2030)</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40" w:type="dxa"/>
            <w:vAlign w:val="bottom"/>
            <w:tcBorders>
              <w:bottom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(EUR 16,777)</w:t>
            </w:r>
          </w:p>
        </w:tc>
        <w:tc>
          <w:tcPr>
            <w:tcW w:w="1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3"/>
        </w:trPr>
        <w:tc>
          <w:tcPr>
            <w:tcW w:w="24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520,817</w:t>
            </w:r>
          </w:p>
        </w:tc>
        <w:tc>
          <w:tcPr>
            <w:tcW w:w="120" w:type="dxa"/>
            <w:vAlign w:val="bottom"/>
          </w:tcPr>
          <w:p>
            <w:pPr>
              <w:spacing w:after="0"/>
              <w:rPr>
                <w:sz w:val="14"/>
                <w:szCs w:val="14"/>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532,064</w:t>
            </w:r>
          </w:p>
        </w:tc>
        <w:tc>
          <w:tcPr>
            <w:tcW w:w="140" w:type="dxa"/>
            <w:vAlign w:val="bottom"/>
          </w:tcPr>
          <w:p>
            <w:pPr>
              <w:spacing w:after="0"/>
              <w:rPr>
                <w:sz w:val="14"/>
                <w:szCs w:val="14"/>
                <w:color w:val="auto"/>
              </w:rPr>
            </w:pPr>
          </w:p>
        </w:tc>
        <w:tc>
          <w:tcPr>
            <w:tcW w:w="1440" w:type="dxa"/>
            <w:vAlign w:val="bottom"/>
            <w:gridSpan w:val="2"/>
          </w:tcPr>
          <w:p>
            <w:pPr>
              <w:jc w:val="right"/>
              <w:ind w:right="700"/>
              <w:spacing w:after="0" w:line="155" w:lineRule="exact"/>
              <w:rPr>
                <w:sz w:val="20"/>
                <w:szCs w:val="20"/>
                <w:color w:val="auto"/>
              </w:rPr>
            </w:pPr>
            <w:r>
              <w:rPr>
                <w:rFonts w:ascii="Times New Roman" w:cs="Times New Roman" w:eastAsia="Times New Roman" w:hAnsi="Times New Roman"/>
                <w:sz w:val="14"/>
                <w:szCs w:val="14"/>
                <w:b w:val="1"/>
                <w:bCs w:val="1"/>
                <w:color w:val="auto"/>
              </w:rPr>
              <w:t>19.4%</w:t>
            </w:r>
          </w:p>
        </w:tc>
      </w:tr>
      <w:tr>
        <w:trPr>
          <w:trHeight w:val="149"/>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Scorpio Bidco</w:t>
            </w:r>
            <w:r>
              <w:rPr>
                <w:rFonts w:ascii="Times New Roman" w:cs="Times New Roman" w:eastAsia="Times New Roman" w:hAnsi="Times New Roman"/>
                <w:sz w:val="10"/>
                <w:szCs w:val="10"/>
                <w:color w:val="auto"/>
              </w:rPr>
              <w:t>(3)(4)</w:t>
            </w:r>
          </w:p>
        </w:tc>
        <w:tc>
          <w:tcPr>
            <w:tcW w:w="26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First-lien loan (EUR 75,326 par, due</w:t>
            </w:r>
          </w:p>
        </w:tc>
        <w:tc>
          <w:tcPr>
            <w:tcW w:w="98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4/4/2024</w:t>
            </w:r>
          </w:p>
        </w:tc>
        <w:tc>
          <w:tcPr>
            <w:tcW w:w="122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E + 5.75%</w:t>
            </w:r>
          </w:p>
        </w:tc>
        <w:tc>
          <w:tcPr>
            <w:tcW w:w="6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9.60%</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79,958</w:t>
            </w:r>
          </w:p>
        </w:tc>
        <w:tc>
          <w:tcPr>
            <w:tcW w:w="11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79,284</w:t>
            </w:r>
          </w:p>
        </w:tc>
        <w:tc>
          <w:tcPr>
            <w:tcW w:w="1440" w:type="dxa"/>
            <w:vAlign w:val="bottom"/>
            <w:gridSpan w:val="2"/>
          </w:tcPr>
          <w:p>
            <w:pPr>
              <w:jc w:val="right"/>
              <w:ind w:right="720"/>
              <w:spacing w:after="0" w:line="126" w:lineRule="exact"/>
              <w:rPr>
                <w:sz w:val="20"/>
                <w:szCs w:val="20"/>
                <w:color w:val="auto"/>
              </w:rPr>
            </w:pPr>
            <w:r>
              <w:rPr>
                <w:rFonts w:ascii="Times New Roman" w:cs="Times New Roman" w:eastAsia="Times New Roman" w:hAnsi="Times New Roman"/>
                <w:sz w:val="14"/>
                <w:szCs w:val="14"/>
                <w:color w:val="auto"/>
              </w:rPr>
              <w:t>2.9%</w:t>
            </w:r>
          </w:p>
        </w:tc>
      </w:tr>
      <w:tr>
        <w:trPr>
          <w:trHeight w:val="148"/>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 BD De Sebastopol</w:t>
            </w:r>
          </w:p>
        </w:tc>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4/2031)</w:t>
            </w: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73,976)</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75001 Paris</w:t>
            </w:r>
          </w:p>
        </w:tc>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8"/>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France</w:t>
            </w:r>
          </w:p>
        </w:tc>
        <w:tc>
          <w:tcPr>
            <w:tcW w:w="2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3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Rate and</w:t>
            </w:r>
          </w:p>
        </w:tc>
        <w:tc>
          <w:tcPr>
            <w:tcW w:w="6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7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820" w:type="dxa"/>
            <w:vAlign w:val="bottom"/>
          </w:tcPr>
          <w:p>
            <w:pPr>
              <w:spacing w:after="0"/>
              <w:rPr>
                <w:sz w:val="13"/>
                <w:szCs w:val="13"/>
                <w:color w:val="auto"/>
              </w:rPr>
            </w:pPr>
          </w:p>
        </w:tc>
        <w:tc>
          <w:tcPr>
            <w:tcW w:w="2480" w:type="dxa"/>
            <w:vAlign w:val="bottom"/>
            <w:gridSpan w:val="2"/>
          </w:tcPr>
          <w:p>
            <w:pPr>
              <w:ind w:left="9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Rate</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22"/>
        </w:trPr>
        <w:tc>
          <w:tcPr>
            <w:tcW w:w="24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23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Laramie Energy, LLC</w:t>
            </w:r>
            <w:r>
              <w:rPr>
                <w:rFonts w:ascii="Times New Roman" w:cs="Times New Roman" w:eastAsia="Times New Roman" w:hAnsi="Times New Roman"/>
                <w:sz w:val="10"/>
                <w:szCs w:val="10"/>
                <w:color w:val="auto"/>
              </w:rPr>
              <w:t>(3)</w:t>
            </w:r>
          </w:p>
        </w:tc>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($97,561 par, due 2/2027)</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2/21/2023</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+ 7.10%</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12.44%</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95,911</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98,498</w:t>
            </w:r>
          </w:p>
        </w:tc>
        <w:tc>
          <w:tcPr>
            <w:tcW w:w="9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3.6%</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730 17th Street</w:t>
            </w: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Mach Natural Resources LP</w:t>
            </w:r>
            <w:r>
              <w:rPr>
                <w:rFonts w:ascii="Times New Roman" w:cs="Times New Roman" w:eastAsia="Times New Roman" w:hAnsi="Times New Roman"/>
                <w:sz w:val="10"/>
                <w:szCs w:val="10"/>
                <w:color w:val="auto"/>
              </w:rPr>
              <w:t>(3)(4)</w:t>
            </w:r>
          </w:p>
        </w:tc>
        <w:tc>
          <w:tcPr>
            <w:tcW w:w="2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($121,875 par, due</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12/28/2023</w:t>
            </w:r>
          </w:p>
        </w:tc>
        <w:tc>
          <w:tcPr>
            <w:tcW w:w="13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+ 6.65%</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11.98%</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119,806</w:t>
            </w:r>
          </w:p>
        </w:tc>
        <w:tc>
          <w:tcPr>
            <w:tcW w:w="9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121,266</w:t>
            </w:r>
          </w:p>
        </w:tc>
        <w:tc>
          <w:tcPr>
            <w:tcW w:w="90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4.4%</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14201 Wireless Way</w:t>
            </w:r>
          </w:p>
        </w:tc>
        <w:tc>
          <w:tcPr>
            <w:tcW w:w="2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12/2026)</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Oklahoma City, OK 73134</w:t>
            </w: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3"/>
        </w:trPr>
        <w:tc>
          <w:tcPr>
            <w:tcW w:w="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215,717</w:t>
            </w:r>
          </w:p>
        </w:tc>
        <w:tc>
          <w:tcPr>
            <w:tcW w:w="14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219,764</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8.0%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Apellis Pharmaceuticals, Inc.</w:t>
            </w:r>
            <w:r>
              <w:rPr>
                <w:rFonts w:ascii="Times New Roman" w:cs="Times New Roman" w:eastAsia="Times New Roman" w:hAnsi="Times New Roman"/>
                <w:sz w:val="10"/>
                <w:szCs w:val="10"/>
                <w:color w:val="auto"/>
              </w:rPr>
              <w:t>(3)(4)</w:t>
            </w:r>
          </w:p>
        </w:tc>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($177,632 par, due</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5/13/2024</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11.08%</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177,632</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178,194</w:t>
            </w:r>
          </w:p>
        </w:tc>
        <w:tc>
          <w:tcPr>
            <w:tcW w:w="9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6.5%</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5th Avenue</w:t>
            </w: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5/2030)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Waltham, MA 02451, USA</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Bed Bath and Beyond Inc.</w:t>
            </w:r>
            <w:r>
              <w:rPr>
                <w:rFonts w:ascii="Times New Roman" w:cs="Times New Roman" w:eastAsia="Times New Roman" w:hAnsi="Times New Roman"/>
                <w:sz w:val="10"/>
                <w:szCs w:val="10"/>
                <w:color w:val="auto"/>
              </w:rPr>
              <w:t>(3)(11)</w:t>
            </w:r>
          </w:p>
        </w:tc>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ABL FILO term loan ($18,795 par, due</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9/2/2022</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+ 9.90%</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15.24%</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18,457</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17,292</w:t>
            </w:r>
          </w:p>
        </w:tc>
        <w:tc>
          <w:tcPr>
            <w:tcW w:w="9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0.6%</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650 Liberty Avenue</w:t>
            </w: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8/2027)</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Union, NJ 07083</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64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Roll Up DIP term loan ($44,447 par, due</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4/24/2023</w:t>
            </w:r>
          </w:p>
        </w:tc>
        <w:tc>
          <w:tcPr>
            <w:tcW w:w="13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+ 7.90%</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13.24%</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44,447</w:t>
            </w:r>
          </w:p>
        </w:tc>
        <w:tc>
          <w:tcPr>
            <w:tcW w:w="9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40,892</w:t>
            </w:r>
          </w:p>
        </w:tc>
        <w:tc>
          <w:tcPr>
            <w:tcW w:w="90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1.5%</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71"/>
        </w:trPr>
        <w:tc>
          <w:tcPr>
            <w:tcW w:w="6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9/2024)</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PIK</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Super-Priority DIP term loan ($7,600</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4/24/2023</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+ 7.90%</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13.24%</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7,600</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6,992</w:t>
            </w:r>
          </w:p>
        </w:tc>
        <w:tc>
          <w:tcPr>
            <w:tcW w:w="9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1"/>
        </w:trPr>
        <w:tc>
          <w:tcPr>
            <w:tcW w:w="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9/2024)</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Commercehub, Inc.</w:t>
            </w:r>
            <w:r>
              <w:rPr>
                <w:rFonts w:ascii="Times New Roman" w:cs="Times New Roman" w:eastAsia="Times New Roman" w:hAnsi="Times New Roman"/>
                <w:sz w:val="10"/>
                <w:szCs w:val="10"/>
                <w:color w:val="auto"/>
              </w:rPr>
              <w:t>(3)</w:t>
            </w:r>
          </w:p>
        </w:tc>
        <w:tc>
          <w:tcPr>
            <w:tcW w:w="2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($147,750 par, due</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11/15/2022</w:t>
            </w:r>
          </w:p>
        </w:tc>
        <w:tc>
          <w:tcPr>
            <w:tcW w:w="13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+ 6.25%</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11.58%</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140,032</w:t>
            </w:r>
          </w:p>
        </w:tc>
        <w:tc>
          <w:tcPr>
            <w:tcW w:w="9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139,624</w:t>
            </w:r>
          </w:p>
        </w:tc>
        <w:tc>
          <w:tcPr>
            <w:tcW w:w="90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5.0%</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800 Troy-Schenectady Rd Suite 100</w:t>
            </w:r>
          </w:p>
        </w:tc>
        <w:tc>
          <w:tcPr>
            <w:tcW w:w="2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12/2027)</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Latham, NY 12110</w:t>
            </w: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PDI TA Holdings, Inc.</w:t>
            </w:r>
            <w:r>
              <w:rPr>
                <w:rFonts w:ascii="Times New Roman" w:cs="Times New Roman" w:eastAsia="Times New Roman" w:hAnsi="Times New Roman"/>
                <w:sz w:val="10"/>
                <w:szCs w:val="10"/>
                <w:color w:val="auto"/>
              </w:rPr>
              <w:t>(3)</w:t>
            </w:r>
          </w:p>
        </w:tc>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($130,183 par, due</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2/1/2024</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10.58%</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127,840</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129,749</w:t>
            </w:r>
          </w:p>
        </w:tc>
        <w:tc>
          <w:tcPr>
            <w:tcW w:w="9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4.7%</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4001 Central Pointe Parkway</w:t>
            </w: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2/2031)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Bldg 200</w:t>
            </w: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Temple, TX 76504</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Rapid Data GmbH</w:t>
            </w:r>
          </w:p>
        </w:tc>
        <w:tc>
          <w:tcPr>
            <w:tcW w:w="2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4,495 par, due</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7/11/2023</w:t>
            </w:r>
          </w:p>
        </w:tc>
        <w:tc>
          <w:tcPr>
            <w:tcW w:w="13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+ 6.50%</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10.42%</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4,696</w:t>
            </w:r>
          </w:p>
        </w:tc>
        <w:tc>
          <w:tcPr>
            <w:tcW w:w="9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4,818</w:t>
            </w:r>
          </w:p>
        </w:tc>
        <w:tc>
          <w:tcPr>
            <w:tcW w:w="90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Unternehmensberatung</w:t>
            </w:r>
            <w:r>
              <w:rPr>
                <w:rFonts w:ascii="Times New Roman" w:cs="Times New Roman" w:eastAsia="Times New Roman" w:hAnsi="Times New Roman"/>
                <w:sz w:val="10"/>
                <w:szCs w:val="10"/>
                <w:color w:val="auto"/>
              </w:rPr>
              <w:t>(3)(4)</w:t>
            </w:r>
          </w:p>
        </w:tc>
        <w:tc>
          <w:tcPr>
            <w:tcW w:w="2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7/2029)</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(EUR 4,495)</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Agricolastr. 54</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30952 Ronnenberg</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3"/>
        </w:trPr>
        <w:tc>
          <w:tcPr>
            <w:tcW w:w="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343,072</w:t>
            </w:r>
          </w:p>
        </w:tc>
        <w:tc>
          <w:tcPr>
            <w:tcW w:w="14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339,367</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12.3%</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Ben Nevis Midco Limited</w:t>
            </w:r>
            <w:r>
              <w:rPr>
                <w:rFonts w:ascii="Times New Roman" w:cs="Times New Roman" w:eastAsia="Times New Roman" w:hAnsi="Times New Roman"/>
                <w:sz w:val="10"/>
                <w:szCs w:val="10"/>
                <w:color w:val="auto"/>
              </w:rPr>
              <w:t>(3)(4)</w:t>
            </w:r>
          </w:p>
        </w:tc>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($65,929 par, due 3/2028)</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3/26/2024</w:t>
            </w:r>
          </w:p>
        </w:tc>
        <w:tc>
          <w:tcPr>
            <w:tcW w:w="13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+ 5.50%</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10.84%</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64,575</w:t>
            </w:r>
          </w:p>
        </w:tc>
        <w:tc>
          <w:tcPr>
            <w:tcW w:w="9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64,679</w:t>
            </w:r>
          </w:p>
        </w:tc>
        <w:tc>
          <w:tcPr>
            <w:tcW w:w="9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2.4%</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8th Floor</w:t>
            </w: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 Farringdon Street</w:t>
            </w: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8"/>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London EC4A 4AB</w:t>
            </w: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4,819,430</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4,912,067</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178.8%</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5"/>
        </w:trPr>
        <w:tc>
          <w:tcPr>
            <w:tcW w:w="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Clarience Technologies, LLC</w:t>
            </w:r>
            <w:r>
              <w:rPr>
                <w:rFonts w:ascii="Times New Roman" w:cs="Times New Roman" w:eastAsia="Times New Roman" w:hAnsi="Times New Roman"/>
                <w:sz w:val="10"/>
                <w:szCs w:val="10"/>
                <w:color w:val="auto"/>
              </w:rPr>
              <w:t>(8)(10)</w:t>
            </w:r>
          </w:p>
        </w:tc>
        <w:tc>
          <w:tcPr>
            <w:tcW w:w="2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Class A Units (2,666 units)</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2/12/2024</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6,557</w:t>
            </w:r>
          </w:p>
        </w:tc>
        <w:tc>
          <w:tcPr>
            <w:tcW w:w="9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6,558</w:t>
            </w:r>
          </w:p>
        </w:tc>
        <w:tc>
          <w:tcPr>
            <w:tcW w:w="90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68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0.4%</w:t>
            </w: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20600 Civic Center Drive</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Southfield, MI 48076</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Initial</w:t>
            </w:r>
          </w:p>
        </w:tc>
        <w:tc>
          <w:tcPr>
            <w:tcW w:w="0" w:type="dxa"/>
            <w:vAlign w:val="bottom"/>
          </w:tcPr>
          <w:p>
            <w:pPr>
              <w:spacing w:after="0"/>
              <w:rPr>
                <w:sz w:val="1"/>
                <w:szCs w:val="1"/>
                <w:color w:val="auto"/>
              </w:rPr>
            </w:pPr>
          </w:p>
        </w:tc>
      </w:tr>
      <w:tr>
        <w:trPr>
          <w:trHeight w:val="122"/>
        </w:trPr>
        <w:tc>
          <w:tcPr>
            <w:tcW w:w="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87"/>
              </w:rPr>
              <w:t>Company</w:t>
            </w:r>
            <w:r>
              <w:rPr>
                <w:rFonts w:ascii="Times New Roman" w:cs="Times New Roman" w:eastAsia="Times New Roman" w:hAnsi="Times New Roman"/>
                <w:sz w:val="16"/>
                <w:szCs w:val="16"/>
                <w:b w:val="1"/>
                <w:bCs w:val="1"/>
                <w:color w:val="auto"/>
                <w:w w:val="87"/>
                <w:vertAlign w:val="superscript"/>
              </w:rPr>
              <w:t>(1)(9)</w:t>
            </w:r>
          </w:p>
        </w:tc>
        <w:tc>
          <w:tcPr>
            <w:tcW w:w="18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vMerge w:val="restart"/>
          </w:tcPr>
          <w:p>
            <w:pPr>
              <w:ind w:left="10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vMerge w:val="restart"/>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0" w:type="dxa"/>
            <w:vAlign w:val="bottom"/>
          </w:tcPr>
          <w:p>
            <w:pPr>
              <w:spacing w:after="0"/>
              <w:rPr>
                <w:sz w:val="1"/>
                <w:szCs w:val="1"/>
                <w:color w:val="auto"/>
              </w:rPr>
            </w:pPr>
          </w:p>
        </w:tc>
      </w:tr>
      <w:tr>
        <w:trPr>
          <w:trHeight w:val="144"/>
        </w:trPr>
        <w:tc>
          <w:tcPr>
            <w:tcW w:w="640" w:type="dxa"/>
            <w:vAlign w:val="bottom"/>
            <w:tcBorders>
              <w:bottom w:val="single" w:sz="8" w:color="auto"/>
            </w:tcBorders>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0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99"/>
        </w:trPr>
        <w:tc>
          <w:tcPr>
            <w:tcW w:w="64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Business</w:t>
            </w:r>
          </w:p>
        </w:tc>
        <w:tc>
          <w:tcPr>
            <w:tcW w:w="180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Services</w:t>
            </w: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Class A Preferred Units (7,882,736 units)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11/7/2023</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Artisan Topco LP</w:t>
            </w:r>
            <w:r>
              <w:rPr>
                <w:rFonts w:ascii="Times New Roman" w:cs="Times New Roman" w:eastAsia="Times New Roman" w:hAnsi="Times New Roman"/>
                <w:sz w:val="10"/>
                <w:szCs w:val="10"/>
                <w:color w:val="auto"/>
              </w:rPr>
              <w:t>(8)(10)</w:t>
            </w:r>
          </w:p>
        </w:tc>
        <w:tc>
          <w:tcPr>
            <w:tcW w:w="27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185 Devonshire Street</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02110</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USA</w:t>
            </w: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Partnership Interest (2,170,139 units)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3/19/2024</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Insight Hideaway Aggregator, L.P.</w:t>
            </w:r>
            <w:r>
              <w:rPr>
                <w:rFonts w:ascii="Times New Roman" w:cs="Times New Roman" w:eastAsia="Times New Roman" w:hAnsi="Times New Roman"/>
                <w:sz w:val="10"/>
                <w:szCs w:val="10"/>
                <w:color w:val="auto"/>
              </w:rPr>
              <w:t>(8)(10)</w:t>
            </w:r>
          </w:p>
        </w:tc>
        <w:tc>
          <w:tcPr>
            <w:tcW w:w="27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17200 Laguna Canyon Road</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Irvine, CA 92618</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USA</w:t>
            </w: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Partnership (8,555,356 units)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11/8/2023</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Newark FP Co-Invest, L.P.</w:t>
            </w:r>
            <w:r>
              <w:rPr>
                <w:rFonts w:ascii="Times New Roman" w:cs="Times New Roman" w:eastAsia="Times New Roman" w:hAnsi="Times New Roman"/>
                <w:sz w:val="10"/>
                <w:szCs w:val="10"/>
                <w:color w:val="auto"/>
              </w:rPr>
              <w:t>(8)(10)</w:t>
            </w:r>
          </w:p>
        </w:tc>
        <w:tc>
          <w:tcPr>
            <w:tcW w:w="27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Letterman Drive</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Building C, Suite 410</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94120</w:t>
            </w: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Class A Units (9,576,271 units)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7/7/2023</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Warrior TopCo LP</w:t>
            </w:r>
            <w:r>
              <w:rPr>
                <w:rFonts w:ascii="Times New Roman" w:cs="Times New Roman" w:eastAsia="Times New Roman" w:hAnsi="Times New Roman"/>
                <w:sz w:val="10"/>
                <w:szCs w:val="10"/>
                <w:color w:val="auto"/>
              </w:rPr>
              <w:t>(8)(10)</w:t>
            </w:r>
          </w:p>
        </w:tc>
        <w:tc>
          <w:tcPr>
            <w:tcW w:w="27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Services</w:t>
            </w: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Partnership Units (337,024 units)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11/27/2023</w:t>
            </w:r>
          </w:p>
        </w:tc>
        <w:tc>
          <w:tcPr>
            <w:tcW w:w="0" w:type="dxa"/>
            <w:vAlign w:val="bottom"/>
          </w:tcPr>
          <w:p>
            <w:pPr>
              <w:spacing w:after="0"/>
              <w:rPr>
                <w:sz w:val="1"/>
                <w:szCs w:val="1"/>
                <w:color w:val="auto"/>
              </w:rPr>
            </w:pPr>
          </w:p>
        </w:tc>
      </w:tr>
      <w:tr>
        <w:trPr>
          <w:trHeight w:val="149"/>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AF Eagle Parent, L.P.</w:t>
            </w:r>
            <w:r>
              <w:rPr>
                <w:rFonts w:ascii="Times New Roman" w:cs="Times New Roman" w:eastAsia="Times New Roman" w:hAnsi="Times New Roman"/>
                <w:sz w:val="10"/>
                <w:szCs w:val="10"/>
                <w:color w:val="auto"/>
              </w:rPr>
              <w:t>(8)(10)</w:t>
            </w:r>
          </w:p>
        </w:tc>
        <w:tc>
          <w:tcPr>
            <w:tcW w:w="27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540 Devall Drive</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301</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Auburn, AL 36832</w:t>
            </w: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8,358,075 Warrants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11/7/2023</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CLGF Holdings, L.P.</w:t>
            </w:r>
            <w:r>
              <w:rPr>
                <w:rFonts w:ascii="Times New Roman" w:cs="Times New Roman" w:eastAsia="Times New Roman" w:hAnsi="Times New Roman"/>
                <w:sz w:val="10"/>
                <w:szCs w:val="10"/>
                <w:color w:val="auto"/>
              </w:rPr>
              <w:t>(4)(8)(10)</w:t>
            </w:r>
          </w:p>
        </w:tc>
        <w:tc>
          <w:tcPr>
            <w:tcW w:w="27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14600 NW Greenbrier Pkwy</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Beaverton, OR 97006</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128,321 Ordinary 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3/24/2023</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Raptor US Buyer II Corp.</w:t>
            </w:r>
            <w:r>
              <w:rPr>
                <w:rFonts w:ascii="Times New Roman" w:cs="Times New Roman" w:eastAsia="Times New Roman" w:hAnsi="Times New Roman"/>
                <w:sz w:val="10"/>
                <w:szCs w:val="10"/>
                <w:color w:val="auto"/>
              </w:rPr>
              <w:t>(8)</w:t>
            </w:r>
          </w:p>
        </w:tc>
        <w:tc>
          <w:tcPr>
            <w:tcW w:w="27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4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color w:val="auto"/>
              </w:rPr>
              <w:t>Chicago, IL 60606</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4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Class A-1 Units (7,606,491 units)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11/7/2022</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bswift, LLC</w:t>
            </w:r>
            <w:r>
              <w:rPr>
                <w:rFonts w:ascii="Times New Roman" w:cs="Times New Roman" w:eastAsia="Times New Roman" w:hAnsi="Times New Roman"/>
                <w:sz w:val="10"/>
                <w:szCs w:val="10"/>
                <w:color w:val="auto"/>
              </w:rPr>
              <w:t>(8)</w:t>
            </w:r>
          </w:p>
        </w:tc>
        <w:tc>
          <w:tcPr>
            <w:tcW w:w="27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44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color w:val="auto"/>
              </w:rPr>
              <w:t>USA</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4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Class A Units (200 units)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11/21/2022</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(8)</w:t>
            </w:r>
          </w:p>
        </w:tc>
        <w:tc>
          <w:tcPr>
            <w:tcW w:w="27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Pawkway N.</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Class B Units (142,038 units)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11/21/2022</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7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50"/>
        </w:trPr>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-4765675</wp:posOffset>
            </wp:positionV>
            <wp:extent cx="6995160" cy="93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-4199890</wp:posOffset>
            </wp:positionV>
            <wp:extent cx="6995160" cy="377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-3445510</wp:posOffset>
            </wp:positionV>
            <wp:extent cx="6995160" cy="377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-2940050</wp:posOffset>
            </wp:positionV>
            <wp:extent cx="699516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-2468245</wp:posOffset>
            </wp:positionV>
            <wp:extent cx="6995160" cy="3771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-1962785</wp:posOffset>
            </wp:positionV>
            <wp:extent cx="6995160"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-1585595</wp:posOffset>
            </wp:positionV>
            <wp:extent cx="6995160" cy="939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-1019810</wp:posOffset>
            </wp:positionV>
            <wp:extent cx="6995160"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-454025</wp:posOffset>
            </wp:positionV>
            <wp:extent cx="699516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13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48"/>
        </w:trPr>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1"/>
                <w:szCs w:val="11"/>
                <w:b w:val="1"/>
                <w:bCs w:val="1"/>
                <w:color w:val="auto"/>
                <w:w w:val="89"/>
              </w:rPr>
              <w:t>Fair Value</w:t>
            </w:r>
            <w:r>
              <w:rPr>
                <w:rFonts w:ascii="Times New Roman" w:cs="Times New Roman" w:eastAsia="Times New Roman" w:hAnsi="Times New Roman"/>
                <w:sz w:val="16"/>
                <w:szCs w:val="16"/>
                <w:b w:val="1"/>
                <w:bCs w:val="1"/>
                <w:color w:val="auto"/>
                <w:w w:val="89"/>
                <w:vertAlign w:val="superscript"/>
              </w:rPr>
              <w:t>(6)</w:t>
            </w:r>
          </w:p>
        </w:tc>
        <w:tc>
          <w:tcPr>
            <w:tcW w:w="9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of Net Assets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7,883</w:t>
            </w:r>
          </w:p>
        </w:tc>
        <w:tc>
          <w:tcPr>
            <w:tcW w:w="16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7,883</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0.3%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743"/>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21,701</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21,701</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0.8%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59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8,572</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8,572</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0.3%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59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9,576</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9,576</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0.3%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428"/>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47,732</w:t>
            </w:r>
          </w:p>
        </w:tc>
        <w:tc>
          <w:tcPr>
            <w:tcW w:w="1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47,732</w:t>
            </w:r>
          </w:p>
        </w:tc>
        <w:tc>
          <w:tcPr>
            <w:tcW w:w="160" w:type="dxa"/>
            <w:vAlign w:val="bottom"/>
          </w:tcPr>
          <w:p>
            <w:pPr>
              <w:spacing w:after="0"/>
              <w:rPr>
                <w:sz w:val="13"/>
                <w:szCs w:val="13"/>
                <w:color w:val="auto"/>
              </w:rPr>
            </w:pPr>
          </w:p>
        </w:tc>
        <w:tc>
          <w:tcPr>
            <w:tcW w:w="90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1.7%</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w:t>
            </w:r>
          </w:p>
        </w:tc>
        <w:tc>
          <w:tcPr>
            <w:tcW w:w="16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11,364</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0.4%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59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6,622</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0.2%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428"/>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15,939</w:t>
            </w:r>
          </w:p>
        </w:tc>
        <w:tc>
          <w:tcPr>
            <w:tcW w:w="1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17,986</w:t>
            </w:r>
          </w:p>
        </w:tc>
        <w:tc>
          <w:tcPr>
            <w:tcW w:w="160" w:type="dxa"/>
            <w:vAlign w:val="bottom"/>
          </w:tcPr>
          <w:p>
            <w:pPr>
              <w:spacing w:after="0"/>
              <w:rPr>
                <w:sz w:val="13"/>
                <w:szCs w:val="13"/>
                <w:color w:val="auto"/>
              </w:rPr>
            </w:pPr>
          </w:p>
        </w:tc>
        <w:tc>
          <w:tcPr>
            <w:tcW w:w="90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0.6%</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12,876</w:t>
            </w:r>
          </w:p>
        </w:tc>
        <w:tc>
          <w:tcPr>
            <w:tcW w:w="16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12,857</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0.5%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59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7,606</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8,747</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0.3%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891"/>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725"/>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24"/>
                <w:szCs w:val="24"/>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w:t>
            </w:r>
          </w:p>
        </w:tc>
        <w:tc>
          <w:tcPr>
            <w:tcW w:w="16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w:t>
            </w:r>
          </w:p>
        </w:tc>
        <w:tc>
          <w:tcPr>
            <w:tcW w:w="160" w:type="dxa"/>
            <w:vAlign w:val="bottom"/>
            <w:vMerge w:val="continue"/>
          </w:tcPr>
          <w:p>
            <w:pPr>
              <w:spacing w:after="0"/>
              <w:rPr>
                <w:sz w:val="13"/>
                <w:szCs w:val="13"/>
                <w:color w:val="auto"/>
              </w:rPr>
            </w:pPr>
          </w:p>
        </w:tc>
        <w:tc>
          <w:tcPr>
            <w:tcW w:w="90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0.0%</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980" w:space="160"/>
            <w:col w:w="4920"/>
          </w:cols>
          <w:pgMar w:left="320" w:top="455" w:right="5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3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8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3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2020" w:type="dxa"/>
            <w:vAlign w:val="bottom"/>
          </w:tcPr>
          <w:p>
            <w:pPr>
              <w:spacing w:after="0"/>
              <w:rPr>
                <w:sz w:val="11"/>
                <w:szCs w:val="11"/>
                <w:color w:val="auto"/>
              </w:rPr>
            </w:pPr>
          </w:p>
        </w:tc>
        <w:tc>
          <w:tcPr>
            <w:tcW w:w="2680" w:type="dxa"/>
            <w:vAlign w:val="bottom"/>
            <w:gridSpan w:val="2"/>
          </w:tcPr>
          <w:p>
            <w:pPr>
              <w:ind w:left="10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20"/>
        </w:trPr>
        <w:tc>
          <w:tcPr>
            <w:tcW w:w="2660" w:type="dxa"/>
            <w:vAlign w:val="bottom"/>
            <w:gridSpan w:val="2"/>
            <w:vMerge w:val="restart"/>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Equity and Other Investments</w:t>
            </w:r>
          </w:p>
        </w:tc>
        <w:tc>
          <w:tcPr>
            <w:tcW w:w="2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60" w:type="dxa"/>
            <w:vAlign w:val="bottom"/>
            <w:gridSpan w:val="2"/>
            <w:vMerge w:val="continue"/>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90,910</w:t>
            </w:r>
          </w:p>
        </w:tc>
        <w:tc>
          <w:tcPr>
            <w:tcW w:w="160" w:type="dxa"/>
            <w:vAlign w:val="bottom"/>
            <w:tcBorders>
              <w:left w:val="single" w:sz="8" w:color="CCEEFF"/>
            </w:tcBorders>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94,080</w:t>
            </w:r>
          </w:p>
        </w:tc>
        <w:tc>
          <w:tcPr>
            <w:tcW w:w="140" w:type="dxa"/>
            <w:vAlign w:val="bottom"/>
            <w:vMerge w:val="continue"/>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4"/>
                <w:szCs w:val="14"/>
                <w:b w:val="1"/>
                <w:bCs w:val="1"/>
                <w:color w:val="auto"/>
              </w:rPr>
              <w:t>3.3%</w:t>
            </w:r>
          </w:p>
        </w:tc>
        <w:tc>
          <w:tcPr>
            <w:tcW w:w="54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60" w:type="dxa"/>
            <w:vAlign w:val="bottom"/>
            <w:gridSpan w:val="2"/>
            <w:vMerge w:val="continue"/>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4,910,340</w:t>
            </w:r>
          </w:p>
        </w:tc>
        <w:tc>
          <w:tcPr>
            <w:tcW w:w="16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5,006,147</w:t>
            </w:r>
          </w:p>
        </w:tc>
        <w:tc>
          <w:tcPr>
            <w:tcW w:w="140" w:type="dxa"/>
            <w:vAlign w:val="bottom"/>
            <w:vMerge w:val="continue"/>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182.1%</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right="240" w:hanging="424"/>
        <w:spacing w:after="0" w:line="226"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Company’s portfolio companies are domiciled in the United States. Under the 1940 Act, the Company would “control” a portfolio company if the Company owned more than 25% of its outstanding voting securities and/or had the power to exercise control over the management or policies of such portfolio company. As of June 30, 2024, the Company does not “control” any of the portfolio companies. Also under the 1940 Act, the Company would be deemed to be an “Affiliated Person” of a portfolio company if the Company owns more than 5% of the portfolio company’s outstanding voting securities. As of June 30, 2024, the Company does not identify any of its portfolio companies as affiliates.</w:t>
      </w:r>
    </w:p>
    <w:p>
      <w:pPr>
        <w:ind w:left="54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amortized cost represents the original cost adjusted for the amortization of discounts and premiums, as applicable, on debt investments using the effective interest method.</w:t>
      </w:r>
    </w:p>
    <w:p>
      <w:pPr>
        <w:ind w:left="540" w:right="40" w:hanging="424"/>
        <w:spacing w:after="0"/>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contains a variable rate structure, subject to an interest rate floor. Variable rate investments bear interest at a rate that may be determined by reference to either Euro Interbank Offer Rate (“Euribor” or “E”), Term Secured Overnight Financing Rate (“SOFR”), which may also contain a credit spread adjustment depending on the tenor election, Sterling Overnight Interbank Average Rate (“SONIA” or “S”), the Norwegian Interbank Offered Rate (“NIBOR” or “N”), Stockholm Interbank Offered Rate (“STIBOR”),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2024.</w:t>
      </w:r>
    </w:p>
    <w:p>
      <w:pPr>
        <w:spacing w:after="0" w:line="86" w:lineRule="exact"/>
        <w:rPr>
          <w:rFonts w:ascii="Times New Roman" w:cs="Times New Roman" w:eastAsia="Times New Roman" w:hAnsi="Times New Roman"/>
          <w:sz w:val="14"/>
          <w:szCs w:val="14"/>
          <w:color w:val="auto"/>
        </w:rPr>
      </w:pPr>
    </w:p>
    <w:p>
      <w:pPr>
        <w:ind w:left="540" w:right="20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27.9% of total assets as of June 30, 2024.</w:t>
      </w:r>
    </w:p>
    <w:p>
      <w:pPr>
        <w:jc w:val="both"/>
        <w:ind w:left="540" w:right="14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40" w:right="2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w:t>
      </w:r>
    </w:p>
    <w:p>
      <w:pPr>
        <w:ind w:left="540" w:right="32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the estimated cost basis of investments for U.S. federal tax purposes was $4,930,476 resulting in estimated gross unrealized gains and losses of $109,842 and $35,475, respectfully.</w:t>
      </w:r>
    </w:p>
    <w:p>
      <w:pPr>
        <w:ind w:left="54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non-income producing.</w:t>
      </w:r>
    </w:p>
    <w:p>
      <w:pPr>
        <w:ind w:left="54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portfolio company investments are subject to contractual restrictions on sales.</w:t>
      </w:r>
    </w:p>
    <w:p>
      <w:pPr>
        <w:ind w:left="540" w:right="22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this security was acquired in a transaction exempt from registration under the Securities Act, and may be deemed to be “restricted securities” under the Securities Act. As of June 30, 2024, the aggregate fair value of these securities is $72,275, or 2.6% of the Company’s net assets.</w:t>
      </w:r>
    </w:p>
    <w:p>
      <w:pPr>
        <w:ind w:left="540" w:right="38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principal amount outstanding and accrued interest owed on this investment, the Company is entitled to a separate Make-Whole Amount (the “Make-Whole”) of $23.2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2 investment.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in “Consolidated Financial Statements and Supplementary Data” in Part II, Item 8 of the Company’s Annual Report on Form 10-K for the fiscal year ended December 31, 2023 and “Financial Statements” in Part I, Item 1 of the Company’s Quarterly Report on Form 10-Q for the quarter ended June 30, 2024 is incorporated herein by reference. The financial data should be read in conjunction with the Company’s consolidated financial statements and related notes thereto and “Management’s Discussion and Analysis of Financial Condition and Results of Operations” as incorporated by reference herein.</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40"/>
          </w:cols>
          <w:pgMar w:left="320" w:top="455" w:right="5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“Trustees, Executive Officers and Corporate Governance” in Part III, Item 10, “Executive Compensation” in Part III, Item 11 and “Security Ownership of Certain Beneficial Owners and Management and Related Shareholder Matters” in Part III, Item 12 of the Company’s Annual Report on Form 10-K for the fiscal year ended December 31, 2023 are incorporated herein by reference.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w:t>
      </w:r>
      <w:r>
        <w:rPr>
          <w:rFonts w:ascii="Times New Roman" w:cs="Times New Roman" w:eastAsia="Times New Roman" w:hAnsi="Times New Roman"/>
          <w:sz w:val="18"/>
          <w:szCs w:val="18"/>
          <w:i w:val="1"/>
          <w:iCs w:val="1"/>
          <w:color w:val="auto"/>
        </w:rPr>
        <w:t>Annual Report on Form 10-K for the fiscal year ended December 31, 2023</w:t>
      </w:r>
      <w:r>
        <w:rPr>
          <w:rFonts w:ascii="Times New Roman" w:cs="Times New Roman" w:eastAsia="Times New Roman" w:hAnsi="Times New Roman"/>
          <w:sz w:val="18"/>
          <w:szCs w:val="18"/>
          <w:color w:val="auto"/>
        </w:rPr>
        <w:t>, which is incorporated by reference herein, for the biographical information of the Company’s portfolio manager.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shows the dollar range of common shares beneficially owned by our portfolio manager as of October 31, 2024:</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the Fund</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6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$0, $1 – $10,000, $10,001 – $50,000, $50,001 – $100,000, $100,001 – $500,000, $500,001 – $1,000,000, or over $1,000,000.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Joshua Easterly managed, or was a member of the management team for, the following client accounts: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Account</w:t>
            </w:r>
          </w:p>
        </w:tc>
        <w:tc>
          <w:tcPr>
            <w:tcW w:w="322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134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0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Accounts (in millions)</w:t>
            </w:r>
          </w:p>
        </w:tc>
        <w:tc>
          <w:tcPr>
            <w:tcW w:w="11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Fee</w:t>
            </w:r>
          </w:p>
        </w:tc>
        <w:tc>
          <w:tcPr>
            <w:tcW w:w="320" w:type="dxa"/>
            <w:vAlign w:val="bottom"/>
          </w:tcPr>
          <w:p>
            <w:pPr>
              <w:spacing w:after="0"/>
              <w:rPr>
                <w:sz w:val="15"/>
                <w:szCs w:val="15"/>
                <w:color w:val="auto"/>
              </w:rPr>
            </w:pPr>
          </w:p>
        </w:tc>
        <w:tc>
          <w:tcPr>
            <w:tcW w:w="10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Fee (in millions)</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Registered Investment Companies</w:t>
            </w:r>
            <w:r>
              <w:rPr>
                <w:rFonts w:ascii="Times New Roman" w:cs="Times New Roman" w:eastAsia="Times New Roman" w:hAnsi="Times New Roman"/>
                <w:sz w:val="26"/>
                <w:szCs w:val="26"/>
                <w:color w:val="auto"/>
                <w:vertAlign w:val="superscript"/>
              </w:rPr>
              <w:t>(1)</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64.7 billion</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61.93 billion</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3.79 billion</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 billion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5540" w:right="720" w:hanging="5424"/>
        <w:spacing w:after="0" w:line="454" w:lineRule="auto"/>
        <w:tabs>
          <w:tab w:leader="none" w:pos="5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60</w:t>
      </w:r>
    </w:p>
    <w:p>
      <w:pPr>
        <w:sectPr>
          <w:pgSz w:w="11900" w:h="16838" w:orient="portrait"/>
          <w:cols w:equalWidth="0" w:num="1">
            <w:col w:w="10980"/>
          </w:cols>
          <w:pgMar w:left="320" w:top="455" w:right="5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has procedures in place for the review, approval and monitoring of transactions involving the Company and certain persons related to the Company. As a BDC, the Company may be prohibited under the 1940 Act from conducting certain transactions with our affiliates without the prior approval of the independent trustees and, in some cases, the prior approval of the SEC. We, the Adviser and certain of our affiliates have received an exemptive order from the SEC that permits us, among other things, to co-invest with certain other persons, including certain affiliates of the Adviser and certain funds managed and controlled by the Adviser and its affiliates, subject to certain terms and conditions.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and the Adviser have adopted a code of ethics pursuant to Rule 17j-1 under the 1940 Act and Rule 204A-1 under the Advisers Act, respectively, that establishes procedures for personal investments and restricts certain personal securities transactions. Personnel subject to the code are permitted to invest in securities for their personal investment accounts, including securities that may be purchased or held by us, so long as such investments are made in accordance with the code’s requirements. A copy of the code of ethics is available on the SEC’s website at www.sec.gov. Copies of the code of ethics may be obtained, after paying a duplicating fee, by electronic request at the following email address: publicinfo@sec.gov.</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CONTROL PERSONS AND PRINCIPAL SHAREHOLDERS</w:t>
      </w:r>
    </w:p>
    <w:p>
      <w:pPr>
        <w:spacing w:after="0" w:line="189" w:lineRule="exact"/>
        <w:rPr>
          <w:sz w:val="20"/>
          <w:szCs w:val="20"/>
          <w:color w:val="auto"/>
        </w:rPr>
      </w:pPr>
    </w:p>
    <w:p>
      <w:pPr>
        <w:ind w:left="120" w:right="28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October 31, 2024, information with respect to the beneficial ownership of our common shares by:</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expected to beneficially own more than 5% of the outstanding common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trustees and executive officers as a group.</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To our knowledge, as of October 31, 2024, there were no persons that owned 25% or more of our outstanding voting securities and no person would be deemed to control us, as such term is defined in the Investment Company Act.</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Percentage of beneficial ownership is based on 103,879,431 common shares outstanding as of October 31, 2024. There are no common shares subject to options that are currently exercisable or exercisable within 60 days of the offering.</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Ownership information for those persons, if any, who own, control or hold the power to vote, 5% or more of our shares is based upon Schedule 13D or Schedule 13G filings by such persons with the SEC and other information obtained from such persons, if available. Such ownership information is as of the date of the applicable filing and may no longer be accurate.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Type of Ownership</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Beneficial Owners of 5% or more</w:t>
            </w:r>
          </w:p>
        </w:tc>
        <w:tc>
          <w:tcPr>
            <w:tcW w:w="1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State of Michigan Retirement System</w:t>
            </w:r>
            <w:r>
              <w:rPr>
                <w:rFonts w:ascii="Times New Roman" w:cs="Times New Roman" w:eastAsia="Times New Roman" w:hAnsi="Times New Roman"/>
                <w:sz w:val="25"/>
                <w:szCs w:val="25"/>
                <w:color w:val="auto"/>
                <w:vertAlign w:val="superscript"/>
              </w:rPr>
              <w:t>(1)</w:t>
            </w: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8,158,489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6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Sixth Street Lending Partners Note Issuer, LLC</w:t>
            </w:r>
            <w:r>
              <w:rPr>
                <w:rFonts w:ascii="Times New Roman" w:cs="Times New Roman" w:eastAsia="Times New Roman" w:hAnsi="Times New Roman"/>
                <w:sz w:val="25"/>
                <w:szCs w:val="25"/>
                <w:color w:val="auto"/>
                <w:vertAlign w:val="superscript"/>
              </w:rPr>
              <w:t>(2)</w:t>
            </w:r>
          </w:p>
        </w:tc>
        <w:tc>
          <w:tcPr>
            <w:tcW w:w="2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7,851,490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6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Flourish Investment Corporation</w:t>
            </w:r>
            <w:r>
              <w:rPr>
                <w:rFonts w:ascii="Times New Roman" w:cs="Times New Roman" w:eastAsia="Times New Roman" w:hAnsi="Times New Roman"/>
                <w:sz w:val="25"/>
                <w:szCs w:val="25"/>
                <w:color w:val="auto"/>
                <w:vertAlign w:val="superscript"/>
              </w:rPr>
              <w:t>(3)</w:t>
            </w: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6,518,500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6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Public Institution for Social Security</w:t>
            </w:r>
            <w:r>
              <w:rPr>
                <w:rFonts w:ascii="Times New Roman" w:cs="Times New Roman" w:eastAsia="Times New Roman" w:hAnsi="Times New Roman"/>
                <w:sz w:val="25"/>
                <w:szCs w:val="25"/>
                <w:color w:val="auto"/>
                <w:vertAlign w:val="superscript"/>
              </w:rPr>
              <w:t>(4)</w:t>
            </w:r>
          </w:p>
        </w:tc>
        <w:tc>
          <w:tcPr>
            <w:tcW w:w="2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6,526,790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w:t>
            </w:r>
          </w:p>
        </w:tc>
      </w:t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officers and Trustees as a group (16 persons)</w:t>
            </w: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8,382,558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w:t>
            </w:r>
          </w:p>
        </w:tc>
      </w:tr>
    </w:tbl>
    <w:p>
      <w:pPr>
        <w:spacing w:after="0" w:line="81" w:lineRule="exact"/>
        <w:rPr>
          <w:sz w:val="20"/>
          <w:szCs w:val="20"/>
          <w:color w:val="auto"/>
        </w:rPr>
      </w:pPr>
    </w:p>
    <w:p>
      <w:pPr>
        <w:ind w:left="540" w:right="220" w:hanging="424"/>
        <w:spacing w:after="0" w:line="257"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State of Michigan Retirement System (“Michigan”) is 2501 Coolidge Road Suite 400 East Lansing, Michigan 48823. Information obtained from a Schedule 13G filed on January 22, 2024 by Michigan with the SEC reporting share ownership. Based on that filing and other information obtained from such persons, Michigan maintains the sole power to vote or dispose of 8,158,489 shares.</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Sixth Street Lending Partners Note Issuer, LLC (“Note Issuer”) is 2100 McKinney Avenue, Suite 1500, Dallas, Texas 75201. Information obtained from a Schedule 13D filed on June 27, 2024 by Note Issuer with the SEC reporting share ownership. Based on that filing and other information obtained from such persons, Note Issuer maintains the sole power to vote or dispose of 7,851,490 shares.</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Flourish Investment Corporation (“Flourish”) is New Poly Plaza, No.1 Chaoyangmen Beidajie, Dongcheng District, Beijing 100010, People’s Republic of China. Information obtained from a Schedule 13G filed on February 2, 2024 by Flourish with the SEC reporting share ownership. Based on that filing and other information obtained from such persons, Flourish maintains the sole power to vote or dispose of 6,518,500 shares.</w:t>
      </w:r>
    </w:p>
    <w:p>
      <w:pPr>
        <w:spacing w:after="0" w:line="1" w:lineRule="exact"/>
        <w:rPr>
          <w:rFonts w:ascii="Times New Roman" w:cs="Times New Roman" w:eastAsia="Times New Roman" w:hAnsi="Times New Roman"/>
          <w:sz w:val="18"/>
          <w:szCs w:val="18"/>
          <w:color w:val="auto"/>
        </w:rPr>
      </w:pPr>
    </w:p>
    <w:p>
      <w:pPr>
        <w:ind w:left="540" w:right="60" w:hanging="424"/>
        <w:spacing w:after="0" w:line="255"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The Public Institution for Social Security (“PIFSS”) is AlMurqab, Al-Soor St, Ta’aminat Building, Kuwait City 13104 Kuwait. Information obtained from a Schedule 13D filed on September 26, 2024 by PIFSS with the SEC reporting share ownership. Based on that filing and other information obtained from such persons, PIFSS maintains the sole power to vote or dispose of 6,526,790 shares.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dollar range of our equity securities as of October 31, 2024.</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Trustee</w:t>
            </w:r>
          </w:p>
        </w:tc>
        <w:tc>
          <w:tcPr>
            <w:tcW w:w="5280" w:type="dxa"/>
            <w:vAlign w:val="bottom"/>
            <w:vMerge w:val="restart"/>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w:t>
            </w: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118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in the Fund</w:t>
            </w:r>
            <w:r>
              <w:rPr>
                <w:rFonts w:ascii="Times New Roman" w:cs="Times New Roman" w:eastAsia="Times New Roman" w:hAnsi="Times New Roman"/>
                <w:sz w:val="10"/>
                <w:szCs w:val="10"/>
                <w:b w:val="1"/>
                <w:bCs w:val="1"/>
                <w:color w:val="auto"/>
              </w:rPr>
              <w:t>(1)(2)</w:t>
            </w:r>
          </w:p>
        </w:tc>
        <w:tc>
          <w:tcPr>
            <w:tcW w:w="0" w:type="dxa"/>
            <w:vAlign w:val="bottom"/>
          </w:tcPr>
          <w:p>
            <w:pPr>
              <w:spacing w:after="0"/>
              <w:rPr>
                <w:sz w:val="1"/>
                <w:szCs w:val="1"/>
                <w:color w:val="auto"/>
              </w:rPr>
            </w:pPr>
          </w:p>
        </w:tc>
      </w:tr>
      <w:tr>
        <w:trPr>
          <w:trHeight w:val="189"/>
        </w:trPr>
        <w:tc>
          <w:tcPr>
            <w:tcW w:w="6300" w:type="dxa"/>
            <w:vAlign w:val="bottom"/>
            <w:tcBorders>
              <w:top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b w:val="1"/>
                <w:bCs w:val="1"/>
                <w:color w:val="auto"/>
              </w:rPr>
              <w:t>Interested Trustees</w:t>
            </w:r>
            <w:r>
              <w:rPr>
                <w:rFonts w:ascii="Times New Roman" w:cs="Times New Roman" w:eastAsia="Times New Roman" w:hAnsi="Times New Roman"/>
                <w:sz w:val="21"/>
                <w:szCs w:val="21"/>
                <w:b w:val="1"/>
                <w:bCs w:val="1"/>
                <w:color w:val="auto"/>
                <w:vertAlign w:val="superscript"/>
              </w:rPr>
              <w:t>(1)</w:t>
            </w: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Independent Trustees</w:t>
            </w:r>
            <w:r>
              <w:rPr>
                <w:rFonts w:ascii="Times New Roman" w:cs="Times New Roman" w:eastAsia="Times New Roman" w:hAnsi="Times New Roman"/>
                <w:sz w:val="25"/>
                <w:szCs w:val="25"/>
                <w:b w:val="1"/>
                <w:bCs w:val="1"/>
                <w:color w:val="auto"/>
                <w:vertAlign w:val="superscript"/>
              </w:rPr>
              <w:t>(1)</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16a-1(a)(2) of the Exchange Act.</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range of equity securities beneficially owned are: none, $1 – $10,000, $10,001 – $50,000, $50,001 – $100,000 or over $100,000.</w:t>
      </w:r>
    </w:p>
    <w:p>
      <w:pPr>
        <w:spacing w:after="0" w:line="1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600"/>
          </w:cols>
          <w:pgMar w:left="320" w:top="455" w:right="9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SHARES</w:t>
      </w:r>
    </w:p>
    <w:p>
      <w:pPr>
        <w:spacing w:after="0" w:line="227" w:lineRule="exact"/>
        <w:rPr>
          <w:sz w:val="20"/>
          <w:szCs w:val="20"/>
          <w:color w:val="auto"/>
        </w:rPr>
      </w:pPr>
    </w:p>
    <w:p>
      <w:pPr>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is based on relevant portions of Delaware law and on our Declaration of Trust and bylaws. This summary is not necessarily complete, and we refer you to Delaware law, our Declaration of Trust and our bylaws for a more detailed description of the provisions summarized below.</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terms of the Second Amended and Restated Declaration of Trust (the “Declaration of Trust”) authorize an unlimited number of common shares. There is currently no market for the common shares, and there can be no assurance that a market for the common shares will develop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Securities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Held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by Fund</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760" w:type="dxa"/>
            <w:vAlign w:val="bottom"/>
            <w:vMerge w:val="restart"/>
          </w:tcPr>
          <w:p>
            <w:pPr>
              <w:spacing w:after="0"/>
              <w:rPr>
                <w:sz w:val="12"/>
                <w:szCs w:val="12"/>
                <w:color w:val="auto"/>
              </w:rPr>
            </w:pPr>
          </w:p>
        </w:tc>
        <w:tc>
          <w:tcPr>
            <w:tcW w:w="8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for its</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80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520" w:type="dxa"/>
            <w:vAlign w:val="bottom"/>
          </w:tcPr>
          <w:p>
            <w:pPr>
              <w:spacing w:after="0"/>
              <w:rPr>
                <w:sz w:val="15"/>
                <w:szCs w:val="15"/>
                <w:color w:val="auto"/>
              </w:rPr>
            </w:pPr>
          </w:p>
        </w:tc>
        <w:tc>
          <w:tcPr>
            <w:tcW w:w="134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shares of beneficial interest, par value $0.001</w:t>
            </w: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Unlimited</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103,879,431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Company’s Declaration of Trust, all common shares, when they are issued in accordance with the terms of the Declaration of Trust, will be duly authorized, validly issued, fully paid and nonassessable. Dividends and distributions may be paid to shareholders if, as and when authorized by our Board of Trustees and declared by us out of funds legally available therefore. Except as may be provided by our Board of Trustees in setting the terms of classified or reclassified shares, our common shares will have no preemptive, exchange, conversion, appraisal or redemption rights. In the event of our liquidation, dissolution or winding up, each of our common shares would be entitled to share pro rata in all of our assets that are legally available for distribution after we pay all debts and other liabilities and subject to any preferential rights of holders of our preferred shares, if any preferred shares are outstanding at such time. Subject to the rights of holders of any other class or series of shares, each whole share of our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Company’s Declaration of Trust, our Board of Trustees may amend the Declaration of Trust to alter the vote required to elect trustees.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 an asset coverage ratio of total assets to total senior securities, which include all of our borrowings and preferred shares, of at least 150%; and</w:t>
      </w:r>
    </w:p>
    <w:p>
      <w:pPr>
        <w:spacing w:after="0" w:line="27" w:lineRule="exact"/>
        <w:rPr>
          <w:sz w:val="20"/>
          <w:szCs w:val="20"/>
          <w:color w:val="auto"/>
        </w:rPr>
      </w:pPr>
    </w:p>
    <w:p>
      <w:pPr>
        <w:ind w:left="120" w:right="40" w:hanging="4"/>
        <w:spacing w:after="0" w:line="260" w:lineRule="auto"/>
        <w:tabs>
          <w:tab w:leader="none" w:pos="3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Resale Restrictions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prior to an Exchange Listing (or such other time pursuant to any agreements between the Company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Redemptions by the Company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common share is subject to redemption (out of the assets of the Company) by the Company at the redemption price equal to the then current NAV per common share of the Company determined in accordance with the Declaration of Trust at any time if the trustees determine in their sole discretion that a shareholder has breached any of its representations or warranties contained in such shareholder’s subscription agreement with the Company, and upon such redemption the holders of the common shares so redeemed shall have no further right with respect thereto other than to receive payment of such redemption price.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Law and Certain Declaration of Trust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were formed as a Delaware statutory trust and will remain in existence until dissolved in accordance with our Declaration of Trust or pursuant to Delaware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Under the Declaration of Trust, the purpose of the Company is to conduct, operate and carry on the business of a business development company within the meaning of the 1940 Act. In furtherance of the foregoing, it shall be the purpose of the Company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Company shall have the power and authority to engage in the foregoing and may exercise all of the powers conferred by the laws of the State of Delaware upon a Delaware statutory trust.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 to be Bound by the Declaration of Trust; Power of Attorney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Company (and any substitute or successor Trustees or any substitute or successor officer of the Company) (and, if appointed, any liquidator of the Company) a 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Actions by Shareholders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shareholders will only have voting rights as required by the 1940 Act or as otherwise provided for in the Declaration of Trust. Under the Declaration of Trust, the Company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Company holding in the aggregate not less than thirty-three and one-third percent (331/3%) of the outstanding common shares of the Company,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Company holding in the aggregate not less than fifty-one percent (51%) of the outstanding common shares of the Company or class or series of common shares having voting rights on the matter shall be required. These provisions will have the effect of significantly reducing the ability of shareholders being able to have proposals considered at a meeting of shareholders.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w:t>
      </w:r>
    </w:p>
    <w:p>
      <w:pPr>
        <w:spacing w:after="0" w:line="7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the Declaration of Trust; No Approval by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trustees may, without shareholder vote, amend or otherwise supplement the Declaration of Trust. Shareholders shall only have the right to</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vote: (i) on any amendment to the amendment provision of the Declaration of Trust, (ii) on any amendment that would adversely affect the powers, preferences or special rights of the common shares as determined by the trustees in good faith and (iii) on any amendment submitted to them by the trustees. In addition, notwithstanding anything to the contrary in the Declaration of Trust, in connection with an exchange listing, the trustees may, without the approval or vote of the shareholders, amend or supplement the Declaration of Trust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 A proposed amendment to the Declaration of Trust requires the affirmative vote of a majority of the Board of Trustees present (a quorum being present) at a meeting for adoption or, without a meeting, written consent to the amendment by the number of trustees required for approval at a meeting of the trustees at which all of the trustees are present and voted.</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Conversion, Sale or Other Disposition of Assets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Company. For example, upon consummation of an exchange listing, the Board of Trustees is able to cause the Company to reorganize as a Maryland Corporation. The Board of Trustees may also cause the sale of all or substantially all of our assets under a foreclosure or other realization without shareholder approval. Shareholders are not entitled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dissenters’ rights of 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Actions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Company. No shareholder may maintain a derivative action on behalf of the Company unless holders of a certain percentage of the outstanding common shares, as disclosed in our Declaration of Trust, join in the bringing of such action.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requirements set forth in Section 3816 of the Delaware Statutory Trust Statute, a shareholder may bring a derivative action on behalf of the Company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Company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Company or any series or class equally, that is, proportionately based on their number of common shares in the Company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Delaware Jurisdiction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trustee, each officer and, except as otherwise agreed in writing by the Company, the Adviser and/or affiliates of the Adviser, each person legally or beneficially owning a common share or an interest in a common share of the Company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Company, the Delaware Statutory Trust Statute, the Declaration of Trust or the bylaws of the Company (including, without limitation, any claims, suits, actions or proceedings to interpret, apply or enforce (A) the provisions of the Declaration of Trust or the bylaws of the Company, or (B) the duties (including fiduciary duties), obligations or liabilities of the Company to the shareholders or the Board of Trustees, or of officers or the Board of Trustees to the Company, to the shareholders or each other, or (C) the rights or powers of, or restrictions on, the Company, the officers, the Board of Trustees or the shareholders, or (D) any provision of the Delaware Statutory Trust Statute or other laws of the State of Delaware pertaining to trusts made applicable to</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the Company pursuant to Section 3809 of the Delaware Statutory Trust Statute, or (E) any other instrument, document, agreement or certificate contemplated by any provision of the Delaware Statutory Trust Statute, the Declaration of Trust or the bylaws of the Company relating in any way to the Company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w:t>
      </w:r>
    </w:p>
    <w:p>
      <w:pPr>
        <w:spacing w:after="0" w:line="5" w:lineRule="exact"/>
        <w:rPr>
          <w:sz w:val="20"/>
          <w:szCs w:val="20"/>
          <w:color w:val="auto"/>
        </w:rPr>
      </w:pPr>
    </w:p>
    <w:p>
      <w:pPr>
        <w:ind w:left="120" w:right="40" w:hanging="4"/>
        <w:spacing w:after="0" w:line="265" w:lineRule="auto"/>
        <w:tabs>
          <w:tab w:leader="none" w:pos="4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w:t>
      </w:r>
    </w:p>
    <w:p>
      <w:pPr>
        <w:ind w:left="120" w:right="120" w:hanging="4"/>
        <w:spacing w:after="0" w:line="255" w:lineRule="auto"/>
        <w:tabs>
          <w:tab w:leader="none" w:pos="4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of the Company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Company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on an accrual basis in accordance with GAAP.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7" w:lineRule="exact"/>
        <w:rPr>
          <w:sz w:val="20"/>
          <w:szCs w:val="20"/>
          <w:color w:val="auto"/>
        </w:rPr>
      </w:pPr>
    </w:p>
    <w:p>
      <w:pPr>
        <w:ind w:left="120" w:firstLine="440"/>
        <w:spacing w:after="0" w:line="284" w:lineRule="auto"/>
        <w:rPr>
          <w:rFonts w:ascii="Times New Roman" w:cs="Times New Roman" w:eastAsia="Times New Roman" w:hAnsi="Times New Roman"/>
          <w:sz w:val="18"/>
          <w:szCs w:val="18"/>
          <w:i w:val="1"/>
          <w:iCs w:val="1"/>
          <w:color w:val="0000EE"/>
        </w:rPr>
      </w:pPr>
      <w:hyperlink r:id="rId123">
        <w:r>
          <w:rPr>
            <w:rFonts w:ascii="Times New Roman" w:cs="Times New Roman" w:eastAsia="Times New Roman" w:hAnsi="Times New Roman"/>
            <w:sz w:val="18"/>
            <w:szCs w:val="18"/>
            <w:i w:val="1"/>
            <w:iCs w:val="1"/>
            <w:color w:val="auto"/>
          </w:rPr>
          <w:t xml:space="preserve">The information under the heading “Dividend Reinvestment Plan” in Part I, Item I of the Company’s </w:t>
        </w:r>
        <w:r>
          <w:rPr>
            <w:rFonts w:ascii="Times New Roman" w:cs="Times New Roman" w:eastAsia="Times New Roman" w:hAnsi="Times New Roman"/>
            <w:sz w:val="18"/>
            <w:szCs w:val="18"/>
            <w:i w:val="1"/>
            <w:iCs w:val="1"/>
            <w:u w:val="single" w:color="auto"/>
            <w:color w:val="0000EE"/>
          </w:rPr>
          <w:t>Annual Report on Form 10-K for the fiscal</w:t>
        </w:r>
      </w:hyperlink>
      <w:r>
        <w:rPr>
          <w:rFonts w:ascii="Times New Roman" w:cs="Times New Roman" w:eastAsia="Times New Roman" w:hAnsi="Times New Roman"/>
          <w:sz w:val="18"/>
          <w:szCs w:val="18"/>
          <w:i w:val="1"/>
          <w:iCs w:val="1"/>
          <w:color w:val="auto"/>
        </w:rPr>
        <w:t xml:space="preserve"> </w:t>
      </w:r>
      <w:hyperlink r:id="rId123">
        <w:r>
          <w:rPr>
            <w:rFonts w:ascii="Times New Roman" w:cs="Times New Roman" w:eastAsia="Times New Roman" w:hAnsi="Times New Roman"/>
            <w:sz w:val="18"/>
            <w:szCs w:val="18"/>
            <w:i w:val="1"/>
            <w:iCs w:val="1"/>
            <w:u w:val="single" w:color="auto"/>
            <w:color w:val="0000EE"/>
          </w:rPr>
          <w:t xml:space="preserve">year ended December 31, 2023 </w:t>
        </w:r>
      </w:hyperlink>
      <w:hyperlink r:id="rId124">
        <w:r>
          <w:rPr>
            <w:rFonts w:ascii="Times New Roman" w:cs="Times New Roman" w:eastAsia="Times New Roman" w:hAnsi="Times New Roman"/>
            <w:sz w:val="18"/>
            <w:szCs w:val="18"/>
            <w:i w:val="1"/>
            <w:iCs w:val="1"/>
            <w:u w:val="single" w:color="auto"/>
            <w:color w:val="0000EE"/>
          </w:rPr>
          <w:t xml:space="preserve">and Exhibit 10.4 thereto entitled “Dividend Reinvestment Plan” </w:t>
        </w:r>
      </w:hyperlink>
      <w:hyperlink r:id="rId123">
        <w:r>
          <w:rPr>
            <w:rFonts w:ascii="Times New Roman" w:cs="Times New Roman" w:eastAsia="Times New Roman" w:hAnsi="Times New Roman"/>
            <w:sz w:val="18"/>
            <w:szCs w:val="18"/>
            <w:i w:val="1"/>
            <w:iCs w:val="1"/>
            <w:color w:val="000000"/>
          </w:rPr>
          <w:t>are incorporated herein by reference</w:t>
        </w:r>
        <w:r>
          <w:rPr>
            <w:rFonts w:ascii="Times New Roman" w:cs="Times New Roman" w:eastAsia="Times New Roman" w:hAnsi="Times New Roman"/>
            <w:sz w:val="18"/>
            <w:szCs w:val="18"/>
            <w:color w:val="000000"/>
          </w:rPr>
          <w:t>.</w:t>
        </w:r>
      </w:hyperlink>
    </w:p>
    <w:p>
      <w:pPr>
        <w:spacing w:after="0" w:line="93" w:lineRule="exact"/>
        <w:rPr>
          <w:rFonts w:ascii="Times New Roman" w:cs="Times New Roman" w:eastAsia="Times New Roman" w:hAnsi="Times New Roman"/>
          <w:sz w:val="18"/>
          <w:szCs w:val="18"/>
          <w:i w:val="1"/>
          <w:iCs w:val="1"/>
          <w:color w:val="0000EE"/>
        </w:rPr>
      </w:pPr>
    </w:p>
    <w:p>
      <w:pPr>
        <w:jc w:val="center"/>
        <w:ind w:right="-2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320" w:top="455" w:right="6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CUSTODIAN, TRANSFER AND DISTRIBUTION PAYING AGENT AND REGISTRAR</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State Street Bank and Trust Company serves as our transfer agent, distribution paying agent and registrar. The principal business address of State Street Bank and Trust Company is One Lincoln Street, Boston, Massachusetts 02111.</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60"/>
          </w:cols>
          <w:pgMar w:left="320" w:top="455"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Since we will generally acquire and dispose of our investments in privately negotiated transactions, we will infrequently use brokers in the normal course of our business. Subject to policies established by the Board of Trustees, if any, the Adviser will be primarily responsible for the execution of any publicly-traded securities portfolio transactions and the allocation of brokerage commissions. The Adviser does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the Adviser generally will seek reasonably competitive trade execution costs, we will not necessarily pay the lowest spread or commission available. Subject to applicable legal requirements, the Adviser may select a broker based partly upon brokerage or research services provided to it and us and any other clients. In return for such services, we may pay a higher commission than other brokers would charge if the Adviser determines in good faith that such commission is reasonable in relation to the services provided.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Certain legal matters in connection with the common shares have been passed upon for the Company by Morris, Nichols, Arsht &amp; Tunnell LLP, Wilmington, Delaware, as special counsel to the Company. Simpson Thacher &amp; Bartlett LLP, Washington, DC, acts as counsel to the Company.</w:t>
      </w:r>
    </w:p>
    <w:p>
      <w:pPr>
        <w:spacing w:after="0" w:line="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00"/>
          </w:cols>
          <w:pgMar w:left="320" w:top="455" w:right="6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The consolidated financial statements of Sixth Street Lending Partners as of and for the year ended December 31, 2023, and for the period from August 31, 2022 (commencement of operations) to December 31, 2022, incorporated by reference in this registration statement, have been audited by</w:t>
      </w:r>
    </w:p>
    <w:p>
      <w:pPr>
        <w:spacing w:after="0" w:line="1" w:lineRule="exact"/>
        <w:rPr>
          <w:sz w:val="20"/>
          <w:szCs w:val="20"/>
          <w:color w:val="auto"/>
        </w:rPr>
      </w:pPr>
    </w:p>
    <w:p>
      <w:pPr>
        <w:ind w:left="120" w:hanging="4"/>
        <w:spacing w:after="0" w:line="260"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independent registered public accounting firm, located at         . Such financial statements are incorporated by reference in reliance upon the report of such firm given their authority as experts in accounting and auditing.</w:t>
      </w:r>
    </w:p>
    <w:p>
      <w:pPr>
        <w:spacing w:after="0" w:line="1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00"/>
          </w:cols>
          <w:pgMar w:left="320" w:top="455" w:right="6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other information with the SEC. These filings are available to the public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our Annual Reports on Form 10-K; our Quarterly Reports on Form 10-Q; our Current Reports on Form 8-K; Forms 3, 4 and 5, our trustees and our executive officers; and amendments to those documents. Our website also contains additional information with respect to our industry and businesses. The information contained on, or that may be accessed through, our website is not part of, and is not incorporated into, this prospectus (except for SEC filings expressly incorporated herein).</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40"/>
          </w:cols>
          <w:pgMar w:left="320" w:top="455" w:right="5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documents listed below. The information that we incorporate by reference is considered to be part of this prospectus. Specifically, we incorporate by reference:</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w:t>
      </w:r>
      <w:hyperlink r:id="rId131">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16, 2024;</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132">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33">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3, 2024 and August 2, 2024, respectively;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1"/>
        </w:numPr>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5">
        <w:r>
          <w:rPr>
            <w:rFonts w:ascii="Times New Roman" w:cs="Times New Roman" w:eastAsia="Times New Roman" w:hAnsi="Times New Roman"/>
            <w:sz w:val="18"/>
            <w:szCs w:val="18"/>
            <w:u w:val="single" w:color="auto"/>
            <w:color w:val="0000EE"/>
          </w:rPr>
          <w:t>June 14, 2024</w:t>
        </w:r>
      </w:hyperlink>
      <w:hyperlink r:id="rId1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6">
        <w:r>
          <w:rPr>
            <w:rFonts w:ascii="Times New Roman" w:cs="Times New Roman" w:eastAsia="Times New Roman" w:hAnsi="Times New Roman"/>
            <w:sz w:val="18"/>
            <w:szCs w:val="18"/>
            <w:u w:val="single" w:color="auto"/>
            <w:color w:val="0000EE"/>
          </w:rPr>
          <w:t>June 21, 2024</w:t>
        </w:r>
      </w:hyperlink>
      <w:hyperlink r:id="rId1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7">
        <w:r>
          <w:rPr>
            <w:rFonts w:ascii="Times New Roman" w:cs="Times New Roman" w:eastAsia="Times New Roman" w:hAnsi="Times New Roman"/>
            <w:sz w:val="18"/>
            <w:szCs w:val="18"/>
            <w:u w:val="single" w:color="auto"/>
            <w:color w:val="0000EE"/>
          </w:rPr>
          <w:t>June 27, 2024</w:t>
        </w:r>
      </w:hyperlink>
      <w:hyperlink r:id="rId1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8">
        <w:r>
          <w:rPr>
            <w:rFonts w:ascii="Times New Roman" w:cs="Times New Roman" w:eastAsia="Times New Roman" w:hAnsi="Times New Roman"/>
            <w:sz w:val="18"/>
            <w:szCs w:val="18"/>
            <w:u w:val="single" w:color="auto"/>
            <w:color w:val="0000EE"/>
          </w:rPr>
          <w:t xml:space="preserve">September 13, 2024 </w:t>
        </w:r>
      </w:hyperlink>
      <w:hyperlink r:id="rId13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39">
        <w:r>
          <w:rPr>
            <w:rFonts w:ascii="Times New Roman" w:cs="Times New Roman" w:eastAsia="Times New Roman" w:hAnsi="Times New Roman"/>
            <w:sz w:val="18"/>
            <w:szCs w:val="18"/>
            <w:u w:val="single" w:color="auto"/>
            <w:color w:val="0000EE"/>
          </w:rPr>
          <w:t xml:space="preserve">September 20, 2024 </w:t>
        </w:r>
      </w:hyperlink>
      <w:hyperlink r:id="rId13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40">
        <w:r>
          <w:rPr>
            <w:rFonts w:ascii="Times New Roman" w:cs="Times New Roman" w:eastAsia="Times New Roman" w:hAnsi="Times New Roman"/>
            <w:sz w:val="18"/>
            <w:szCs w:val="18"/>
            <w:u w:val="single" w:color="auto"/>
            <w:color w:val="0000EE"/>
          </w:rPr>
          <w:t xml:space="preserve">September 27, 2024 </w:t>
        </w:r>
      </w:hyperlink>
      <w:hyperlink r:id="rId134">
        <w:r>
          <w:rPr>
            <w:rFonts w:ascii="Times New Roman" w:cs="Times New Roman" w:eastAsia="Times New Roman" w:hAnsi="Times New Roman"/>
            <w:sz w:val="18"/>
            <w:szCs w:val="18"/>
            <w:color w:val="000000"/>
          </w:rPr>
          <w:t>(other than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any information furnished rather than filed).</w:t>
      </w:r>
    </w:p>
    <w:p>
      <w:pPr>
        <w:spacing w:after="0" w:line="176" w:lineRule="exact"/>
        <w:rPr>
          <w:rFonts w:ascii="Times New Roman" w:cs="Times New Roman" w:eastAsia="Times New Roman" w:hAnsi="Times New Roman"/>
          <w:sz w:val="18"/>
          <w:szCs w:val="18"/>
          <w:color w:val="0000EE"/>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by reference herein, will be deemed to be modified or superseded for purposes of this prospectus to the extent that a statement contained herein or in any subsequently filed document that also is incorporated by reference herein modifies or supersedes such statement. Any such statements so modified or superseded will not be deemed, except as so modified or superseded, to constitute a part of this prospectus.</w:t>
      </w:r>
    </w:p>
    <w:p>
      <w:pPr>
        <w:spacing w:after="0" w:line="178" w:lineRule="exact"/>
        <w:rPr>
          <w:rFonts w:ascii="Times New Roman" w:cs="Times New Roman" w:eastAsia="Times New Roman" w:hAnsi="Times New Roman"/>
          <w:sz w:val="18"/>
          <w:szCs w:val="18"/>
          <w:color w:val="0000EE"/>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You may obtain copies of these documents, at no cost to you, from our website at </w:t>
      </w:r>
      <w:r>
        <w:rPr>
          <w:rFonts w:ascii="Times New Roman" w:cs="Times New Roman" w:eastAsia="Times New Roman" w:hAnsi="Times New Roman"/>
          <w:sz w:val="18"/>
          <w:szCs w:val="18"/>
          <w:i w:val="1"/>
          <w:iCs w:val="1"/>
          <w:color w:val="auto"/>
        </w:rPr>
        <w:t>https://sixthstreetlendingpartners. com</w:t>
      </w:r>
      <w:r>
        <w:rPr>
          <w:rFonts w:ascii="Times New Roman" w:cs="Times New Roman" w:eastAsia="Times New Roman" w:hAnsi="Times New Roman"/>
          <w:sz w:val="18"/>
          <w:szCs w:val="18"/>
          <w:color w:val="auto"/>
        </w:rPr>
        <w:t>, or by writing or telephoning us at the following address:</w:t>
      </w:r>
    </w:p>
    <w:p>
      <w:pPr>
        <w:spacing w:after="0" w:line="160"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621-3001</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those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60"/>
          </w:cols>
          <w:pgMar w:left="320" w:top="455" w:right="5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9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240" w:type="dxa"/>
            <w:vAlign w:val="bottom"/>
          </w:tcPr>
          <w:p>
            <w:pPr>
              <w:spacing w:after="0"/>
              <w:rPr>
                <w:sz w:val="24"/>
                <w:szCs w:val="24"/>
                <w:color w:val="auto"/>
              </w:rPr>
            </w:pPr>
          </w:p>
        </w:tc>
        <w:tc>
          <w:tcPr>
            <w:tcW w:w="9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Second Amended and Restated Declaration of Trust of the Registrant (incorporated by reference to Exhibit 3.1 to the Registrant’s</w:t>
              </w:r>
            </w:hyperlink>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Registration Statement on Form 10, filed on August 22, 2022)</w:t>
              </w:r>
            </w:hyperlink>
          </w:p>
        </w:tc>
        <w:tc>
          <w:tcPr>
            <w:tcW w:w="4840" w:type="dxa"/>
            <w:vAlign w:val="bottom"/>
          </w:tcPr>
          <w:p>
            <w:pPr>
              <w:spacing w:after="0"/>
              <w:rPr>
                <w:sz w:val="17"/>
                <w:szCs w:val="17"/>
                <w:color w:val="auto"/>
              </w:rPr>
            </w:pPr>
          </w:p>
        </w:tc>
      </w:tr>
    </w:tbl>
    <w:p>
      <w:pPr>
        <w:spacing w:after="0" w:line="117" w:lineRule="exact"/>
        <w:rPr>
          <w:sz w:val="20"/>
          <w:szCs w:val="20"/>
          <w:color w:val="auto"/>
        </w:rPr>
      </w:pPr>
    </w:p>
    <w:p>
      <w:pPr>
        <w:ind w:left="1220" w:hanging="1104"/>
        <w:spacing w:after="0"/>
        <w:tabs>
          <w:tab w:leader="none" w:pos="1220" w:val="left"/>
        </w:tabs>
        <w:numPr>
          <w:ilvl w:val="0"/>
          <w:numId w:val="43"/>
        </w:numPr>
        <w:rPr>
          <w:rFonts w:ascii="Times New Roman" w:cs="Times New Roman" w:eastAsia="Times New Roman" w:hAnsi="Times New Roman"/>
          <w:sz w:val="17"/>
          <w:szCs w:val="17"/>
          <w:u w:val="single" w:color="auto"/>
          <w:color w:val="0000EE"/>
        </w:rPr>
      </w:pPr>
      <w:hyperlink r:id="rId144">
        <w:r>
          <w:rPr>
            <w:rFonts w:ascii="Times New Roman" w:cs="Times New Roman" w:eastAsia="Times New Roman" w:hAnsi="Times New Roman"/>
            <w:sz w:val="17"/>
            <w:szCs w:val="17"/>
            <w:u w:val="single" w:color="auto"/>
            <w:color w:val="0000EE"/>
          </w:rPr>
          <w:t>Bylaws of the Registrant (incorporated by reference to Exhibit 3.2 to the Registrant’s Current Report on Form 10, filed on June 28, 2022)</w:t>
        </w:r>
      </w:hyperlink>
    </w:p>
    <w:p>
      <w:pPr>
        <w:spacing w:after="0" w:line="129" w:lineRule="exact"/>
        <w:rPr>
          <w:sz w:val="20"/>
          <w:szCs w:val="20"/>
          <w:color w:val="auto"/>
        </w:rPr>
      </w:pPr>
    </w:p>
    <w:p>
      <w:pPr>
        <w:ind w:left="1220" w:right="860" w:hanging="1104"/>
        <w:spacing w:after="0" w:line="282" w:lineRule="auto"/>
        <w:tabs>
          <w:tab w:leader="none" w:pos="1220" w:val="left"/>
        </w:tabs>
        <w:numPr>
          <w:ilvl w:val="0"/>
          <w:numId w:val="44"/>
        </w:numPr>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Form of Subscription Agreement (included in the Prospectus as Appendix A) (incorporated by reference to Exhibit 4.1 to the</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Registrant’s Registration Statement on Form 10, filed on June 28, 2022)</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(5)(a)</w:t>
            </w:r>
          </w:p>
        </w:tc>
        <w:tc>
          <w:tcPr>
            <w:tcW w:w="97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Indenture, dated as of March 11, 2024, between Sixth Street Lending Partners and U.S. Bank Trust Company, National Association, as</w:t>
              </w:r>
            </w:hyperlink>
          </w:p>
        </w:tc>
        <w:tc>
          <w:tcPr>
            <w:tcW w:w="16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trustee (incorporated by reference to Exhibit 4.1 to the Registrant’s Current Report on Form 8-K, filed on March 15, 2024)</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(5)(b)</w:t>
            </w:r>
          </w:p>
        </w:tc>
        <w:tc>
          <w:tcPr>
            <w:tcW w:w="9900" w:type="dxa"/>
            <w:vAlign w:val="bottom"/>
            <w:gridSpan w:val="22"/>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First Supplemental Indenture, dated as of March 11, 2024, relating to the 6.500% Notes due 2029, between Sixth Street Lending</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Partners and U.S. Bank Trust Company, National Association, as trustee (incorporated by reference to Exhibit 4.2 to the Registrant’s</w:t>
              </w:r>
            </w:hyperlink>
          </w:p>
        </w:tc>
      </w:tr>
      <w:tr>
        <w:trPr>
          <w:trHeight w:val="196"/>
        </w:trPr>
        <w:tc>
          <w:tcPr>
            <w:tcW w:w="110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Current Report on Form 8-K, filed on March 15, 2024)</w:t>
              </w:r>
            </w:hyperlink>
          </w:p>
        </w:tc>
        <w:tc>
          <w:tcPr>
            <w:tcW w:w="36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(5)(c)</w:t>
            </w:r>
          </w:p>
        </w:tc>
        <w:tc>
          <w:tcPr>
            <w:tcW w:w="9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Second Supplemental Indenture, dated as of June 17, 2024, relating to the 6.500% Notes due 2029, between Sixth Street Lending</w:t>
              </w:r>
            </w:hyperlink>
          </w:p>
        </w:tc>
        <w:tc>
          <w:tcPr>
            <w:tcW w:w="540" w:type="dxa"/>
            <w:vAlign w:val="bottom"/>
            <w:gridSpan w:val="10"/>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Partners and U.S. Bank Trust Company, National Association, as trustee (incorporated by reference to Exhibit 4.3 to the Registrant’s</w:t>
              </w:r>
            </w:hyperlink>
          </w:p>
        </w:tc>
      </w:tr>
      <w:tr>
        <w:trPr>
          <w:trHeight w:val="196"/>
        </w:trPr>
        <w:tc>
          <w:tcPr>
            <w:tcW w:w="110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Current Report on Form 8-K, filed on June 21, 2024)</w:t>
              </w:r>
            </w:hyperlink>
          </w:p>
        </w:tc>
        <w:tc>
          <w:tcPr>
            <w:tcW w:w="36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(5)(d)</w:t>
            </w:r>
          </w:p>
        </w:tc>
        <w:tc>
          <w:tcPr>
            <w:tcW w:w="9900" w:type="dxa"/>
            <w:vAlign w:val="bottom"/>
            <w:gridSpan w:val="22"/>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Third Supplemental Indenture, dated as of September 16, 2024, relating to the 5.750% Notes due 2030, between Sixth Street Lending</w:t>
              </w:r>
            </w:hyperlink>
          </w:p>
        </w:tc>
      </w:tr>
      <w:tr>
        <w:trPr>
          <w:trHeight w:val="196"/>
        </w:trPr>
        <w:tc>
          <w:tcPr>
            <w:tcW w:w="1100" w:type="dxa"/>
            <w:vAlign w:val="bottom"/>
          </w:tcPr>
          <w:p>
            <w:pPr>
              <w:spacing w:after="0"/>
              <w:rPr>
                <w:sz w:val="17"/>
                <w:szCs w:val="17"/>
                <w:color w:val="auto"/>
              </w:rPr>
            </w:pPr>
          </w:p>
        </w:tc>
        <w:tc>
          <w:tcPr>
            <w:tcW w:w="96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Partners and U.S. Bank Trust Company, National Association, as trustee (incorporated by reference to Exhibit 4.2 to the Registrant’s</w:t>
              </w:r>
            </w:hyperlink>
          </w:p>
        </w:tc>
        <w:tc>
          <w:tcPr>
            <w:tcW w:w="24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Current Report on Form 8-K, filed on June 21, 2024)</w:t>
              </w:r>
            </w:hyperlink>
          </w:p>
        </w:tc>
        <w:tc>
          <w:tcPr>
            <w:tcW w:w="36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(5)(e)</w:t>
            </w:r>
          </w:p>
        </w:tc>
        <w:tc>
          <w:tcPr>
            <w:tcW w:w="9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6.500% Notes due 2029 (incorporated by reference to Exhibit 4.3 to the Registrant’s Current Report on Form 8-K, filed on</w:t>
              </w:r>
            </w:hyperlink>
          </w:p>
        </w:tc>
        <w:tc>
          <w:tcPr>
            <w:tcW w:w="44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March 15, 2024)</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(5)(f)</w:t>
            </w:r>
          </w:p>
        </w:tc>
        <w:tc>
          <w:tcPr>
            <w:tcW w:w="9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5.750% Notes due 2030 (incorporated by reference to Exhibit 4.3 to the Registrant’s Current Report on Form 8-K, filed on</w:t>
              </w:r>
            </w:hyperlink>
          </w:p>
        </w:tc>
        <w:tc>
          <w:tcPr>
            <w:tcW w:w="44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September 20, 2024)</w:t>
              </w:r>
            </w:hyperlink>
          </w:p>
        </w:tc>
      </w:tr>
      <w:tr>
        <w:trPr>
          <w:trHeight w:val="20"/>
        </w:trPr>
        <w:tc>
          <w:tcPr>
            <w:tcW w:w="110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(5)(g)</w:t>
            </w:r>
          </w:p>
        </w:tc>
        <w:tc>
          <w:tcPr>
            <w:tcW w:w="9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Registration Rights Agreement, dated as of March 11, 2024, relating to the Notes, by and among Sixth Street Lending Partners and</w:t>
              </w:r>
            </w:hyperlink>
          </w:p>
        </w:tc>
        <w:tc>
          <w:tcPr>
            <w:tcW w:w="42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BofA Securities, Inc., as the representative of the initial purchasers (incorporated by reference to Exhibit 4.4 the Registrant’s Current</w:t>
              </w:r>
            </w:hyperlink>
          </w:p>
        </w:tc>
      </w:tr>
      <w:tr>
        <w:trPr>
          <w:trHeight w:val="196"/>
        </w:trPr>
        <w:tc>
          <w:tcPr>
            <w:tcW w:w="110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Report on Form 8-K, filed on March 15, 2024)</w:t>
              </w:r>
            </w:hyperlink>
          </w:p>
        </w:tc>
        <w:tc>
          <w:tcPr>
            <w:tcW w:w="6180" w:type="dxa"/>
            <w:vAlign w:val="bottom"/>
            <w:tcBorders>
              <w:top w:val="single" w:sz="8" w:color="0000EE"/>
            </w:tcBorders>
            <w:gridSpan w:val="12"/>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(5)(h)</w:t>
            </w:r>
          </w:p>
        </w:tc>
        <w:tc>
          <w:tcPr>
            <w:tcW w:w="98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Registration Rights Agreement, dated as of June 17, 2024, relating to the Notes, by and among Sixth Street Lending Partners and BofA</w:t>
              </w:r>
            </w:hyperlink>
          </w:p>
        </w:tc>
        <w:tc>
          <w:tcPr>
            <w:tcW w:w="10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Securities, Inc., as the representative of the initial purchasers (incorporated by reference to Exhibit 4.5 the Registrant’s Current Report on</w:t>
              </w:r>
            </w:hyperlink>
          </w:p>
        </w:tc>
      </w:tr>
      <w:tr>
        <w:trPr>
          <w:trHeight w:val="196"/>
        </w:trPr>
        <w:tc>
          <w:tcPr>
            <w:tcW w:w="110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8-K, filed on June 21, 2024)</w:t>
              </w:r>
            </w:hyperlink>
          </w:p>
        </w:tc>
        <w:tc>
          <w:tcPr>
            <w:tcW w:w="740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(5)(i)</w:t>
            </w:r>
          </w:p>
        </w:tc>
        <w:tc>
          <w:tcPr>
            <w:tcW w:w="9900" w:type="dxa"/>
            <w:vAlign w:val="bottom"/>
            <w:gridSpan w:val="22"/>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Registration Rights Agreement, dated as of September 16, 2024, relating to the Notes, by and among Sixth Street Lending Partners and</w:t>
              </w:r>
            </w:hyperlink>
          </w:p>
        </w:tc>
      </w:tr>
      <w:tr>
        <w:trPr>
          <w:trHeight w:val="196"/>
        </w:trPr>
        <w:tc>
          <w:tcPr>
            <w:tcW w:w="1100" w:type="dxa"/>
            <w:vAlign w:val="bottom"/>
          </w:tcPr>
          <w:p>
            <w:pPr>
              <w:spacing w:after="0"/>
              <w:rPr>
                <w:sz w:val="17"/>
                <w:szCs w:val="17"/>
                <w:color w:val="auto"/>
              </w:rPr>
            </w:pPr>
          </w:p>
        </w:tc>
        <w:tc>
          <w:tcPr>
            <w:tcW w:w="97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BofA Securities, Inc., as the representative of the initial purchasers (incorporated by reference to Exhibit 4.4 the Registrant’s Current</w:t>
              </w:r>
            </w:hyperlink>
          </w:p>
        </w:tc>
        <w:tc>
          <w:tcPr>
            <w:tcW w:w="12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Report on Form 8-K, filed on September 20, 2024)</w:t>
              </w:r>
            </w:hyperlink>
          </w:p>
        </w:tc>
        <w:tc>
          <w:tcPr>
            <w:tcW w:w="5880" w:type="dxa"/>
            <w:vAlign w:val="bottom"/>
            <w:tcBorders>
              <w:top w:val="single" w:sz="8" w:color="0000EE"/>
            </w:tcBorders>
            <w:gridSpan w:val="11"/>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(6)(a)</w:t>
            </w:r>
          </w:p>
        </w:tc>
        <w:tc>
          <w:tcPr>
            <w:tcW w:w="9900" w:type="dxa"/>
            <w:vAlign w:val="bottom"/>
            <w:gridSpan w:val="22"/>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Investment Advisory and Management Agreement between the Registrant and Adviser, dated June 28, 2022 (incorporated by reference</w:t>
              </w:r>
            </w:hyperlink>
          </w:p>
        </w:tc>
      </w:tr>
      <w:tr>
        <w:trPr>
          <w:trHeight w:val="196"/>
        </w:trPr>
        <w:tc>
          <w:tcPr>
            <w:tcW w:w="110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to Exhibit 10.1 to the Registrant’s Registration Statement on Form 10, filed on June 28, 2022)</w:t>
              </w:r>
            </w:hyperlink>
          </w:p>
        </w:tc>
        <w:tc>
          <w:tcPr>
            <w:tcW w:w="3020" w:type="dxa"/>
            <w:vAlign w:val="bottom"/>
            <w:tcBorders>
              <w:top w:val="single" w:sz="8" w:color="0000EE"/>
            </w:tcBorders>
            <w:gridSpan w:val="10"/>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(6)(b)</w:t>
            </w:r>
          </w:p>
        </w:tc>
        <w:tc>
          <w:tcPr>
            <w:tcW w:w="99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Administration Agreement between the Registrant and the Administrator, dated June 28, 2022 (incorporated by reference to Exhibit 10.2</w:t>
              </w:r>
            </w:hyperlink>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to the Registrant’s Registration Statement on Form 10 filed, on June 28, 2022)</w:t>
              </w:r>
            </w:hyperlink>
          </w:p>
        </w:tc>
      </w:tr>
      <w:tr>
        <w:trPr>
          <w:trHeight w:val="385"/>
        </w:trPr>
        <w:tc>
          <w:tcPr>
            <w:tcW w:w="1100" w:type="dxa"/>
            <w:vAlign w:val="bottom"/>
          </w:tcPr>
          <w:p>
            <w:pPr>
              <w:spacing w:after="0"/>
              <w:rPr>
                <w:sz w:val="24"/>
                <w:szCs w:val="24"/>
                <w:color w:val="auto"/>
              </w:rPr>
            </w:pPr>
          </w:p>
        </w:tc>
        <w:tc>
          <w:tcPr>
            <w:tcW w:w="5640" w:type="dxa"/>
            <w:vAlign w:val="bottom"/>
            <w:tcBorders>
              <w:top w:val="single" w:sz="8" w:color="0000EE"/>
            </w:tcBorders>
            <w:gridSpan w:val="8"/>
          </w:tcPr>
          <w:p>
            <w:pPr>
              <w:ind w:left="432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(11)(a)</w:t>
            </w:r>
          </w:p>
        </w:tc>
        <w:tc>
          <w:tcPr>
            <w:tcW w:w="41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Opinion of Morris, Nichols, Arsht &amp; Tunnell LLP**</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(11)(b)</w:t>
            </w:r>
          </w:p>
        </w:tc>
        <w:tc>
          <w:tcPr>
            <w:tcW w:w="4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Opinion of Simpson Thacher &amp; Bartlett LLP**</w:t>
            </w:r>
          </w:p>
        </w:tc>
      </w:tr>
    </w:tbl>
    <w:p>
      <w:pPr>
        <w:spacing w:after="0" w:line="90" w:lineRule="exact"/>
        <w:rPr>
          <w:sz w:val="20"/>
          <w:szCs w:val="20"/>
          <w:color w:val="auto"/>
        </w:rPr>
      </w:pPr>
    </w:p>
    <w:p>
      <w:pPr>
        <w:ind w:left="1220" w:right="440" w:hanging="1104"/>
        <w:spacing w:after="0" w:line="282" w:lineRule="auto"/>
        <w:tabs>
          <w:tab w:leader="none" w:pos="1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and Consent of Simpson Thacher &amp; Bartlett LLP supporting tax matters and consequences to Noteholders discussed in the prospectus**</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(13)(b)</w:t>
            </w:r>
          </w:p>
        </w:tc>
        <w:tc>
          <w:tcPr>
            <w:tcW w:w="90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Expense Support and Conditional Reimbursement Agreement by and among the Registrant and Adviser, dated June 28, 2022</w:t>
              </w:r>
            </w:hyperlink>
          </w:p>
        </w:tc>
        <w:tc>
          <w:tcPr>
            <w:tcW w:w="84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(incorporated by reference to Exhibit 10.5 to the Registrant’s Registration Statement on Form 10, filed on June 28, 2022)</w:t>
              </w:r>
            </w:hyperlink>
          </w:p>
        </w:tc>
        <w:tc>
          <w:tcPr>
            <w:tcW w:w="1180" w:type="dxa"/>
            <w:vAlign w:val="bottom"/>
            <w:gridSpan w:val="8"/>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(13)(d)</w:t>
            </w:r>
          </w:p>
        </w:tc>
        <w:tc>
          <w:tcPr>
            <w:tcW w:w="9900" w:type="dxa"/>
            <w:vAlign w:val="bottom"/>
            <w:gridSpan w:val="16"/>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Dividend Reinvestment Plan, dated June 28, 2022 (incorporated by reference to Exhibit 10.4 to the Registrant’s Registration Statement</w:t>
              </w:r>
            </w:hyperlink>
          </w:p>
        </w:tc>
      </w:tr>
      <w:tr>
        <w:trPr>
          <w:trHeight w:val="196"/>
        </w:trPr>
        <w:tc>
          <w:tcPr>
            <w:tcW w:w="110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on Form 10 filed on June 28, 2022)</w:t>
              </w:r>
            </w:hyperlink>
          </w:p>
        </w:tc>
        <w:tc>
          <w:tcPr>
            <w:tcW w:w="7200" w:type="dxa"/>
            <w:vAlign w:val="bottom"/>
            <w:tcBorders>
              <w:top w:val="single" w:sz="8" w:color="0000EE"/>
            </w:tcBorders>
            <w:gridSpan w:val="11"/>
          </w:tcPr>
          <w:p>
            <w:pPr>
              <w:spacing w:after="0"/>
              <w:rPr>
                <w:sz w:val="17"/>
                <w:szCs w:val="17"/>
                <w:color w:val="auto"/>
              </w:rPr>
            </w:pPr>
          </w:p>
        </w:tc>
        <w:tc>
          <w:tcPr>
            <w:tcW w:w="1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(13)(e)</w:t>
            </w:r>
          </w:p>
        </w:tc>
        <w:tc>
          <w:tcPr>
            <w:tcW w:w="9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Fund of Funds Agreement between Sixth Street Lending Partners and Cliffwater Corporate Lending Fund, dated June 30, 2022</w:t>
              </w:r>
            </w:hyperlink>
          </w:p>
        </w:tc>
        <w:tc>
          <w:tcPr>
            <w:tcW w:w="70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(incorporated by reference to Exhibit 10.6 to the Registrant’s Registration Statement on Form 10, filed on August 22, 2022)</w:t>
              </w:r>
            </w:hyperlink>
          </w:p>
        </w:tc>
      </w:tr>
      <w:tr>
        <w:trPr>
          <w:trHeight w:val="20"/>
        </w:trPr>
        <w:tc>
          <w:tcPr>
            <w:tcW w:w="110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(13)(f)</w:t>
            </w:r>
          </w:p>
        </w:tc>
        <w:tc>
          <w:tcPr>
            <w:tcW w:w="9900" w:type="dxa"/>
            <w:vAlign w:val="bottom"/>
            <w:gridSpan w:val="16"/>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Revolving Credit Agreement, dated as of September 1, 2022, by and among Sixth Street Lending Partners and Wells Fargo Bank, N.A.</w:t>
              </w:r>
            </w:hyperlink>
          </w:p>
        </w:tc>
      </w:tr>
      <w:tr>
        <w:trPr>
          <w:trHeight w:val="196"/>
        </w:trPr>
        <w:tc>
          <w:tcPr>
            <w:tcW w:w="1100" w:type="dxa"/>
            <w:vAlign w:val="bottom"/>
          </w:tcPr>
          <w:p>
            <w:pPr>
              <w:spacing w:after="0"/>
              <w:rPr>
                <w:sz w:val="17"/>
                <w:szCs w:val="17"/>
                <w:color w:val="auto"/>
              </w:rPr>
            </w:pPr>
          </w:p>
        </w:tc>
        <w:tc>
          <w:tcPr>
            <w:tcW w:w="97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(incorporated by reference to Exhibit 10.1 to the Registrant’s Current Report on Form 8-K, filed on December 22, 2022)</w:t>
              </w:r>
            </w:hyperlink>
          </w:p>
        </w:tc>
        <w:tc>
          <w:tcPr>
            <w:tcW w:w="1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(13)(g)</w:t>
            </w:r>
          </w:p>
        </w:tc>
        <w:tc>
          <w:tcPr>
            <w:tcW w:w="94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Lender Joinder and First Amendment to Revolving Credit Agreement, dated as of December 21, 2022, by and among Sixth Street</w:t>
              </w:r>
            </w:hyperlink>
          </w:p>
        </w:tc>
        <w:tc>
          <w:tcPr>
            <w:tcW w:w="50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Lending Partners and Wells Fargo Bank, N.A. (incorporated by reference to Exhibit 10.1 to the Registrant’s Current Report on Form 8-K,</w:t>
              </w:r>
            </w:hyperlink>
          </w:p>
        </w:tc>
      </w:tr>
      <w:tr>
        <w:trPr>
          <w:trHeight w:val="196"/>
        </w:trPr>
        <w:tc>
          <w:tcPr>
            <w:tcW w:w="1100" w:type="dxa"/>
            <w:vAlign w:val="bottom"/>
          </w:tcPr>
          <w:p>
            <w:pPr>
              <w:spacing w:after="0"/>
              <w:rPr>
                <w:sz w:val="17"/>
                <w:szCs w:val="17"/>
                <w:color w:val="auto"/>
              </w:rPr>
            </w:pPr>
          </w:p>
        </w:tc>
        <w:tc>
          <w:tcPr>
            <w:tcW w:w="2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filed on December 22, 2022)</w:t>
              </w:r>
            </w:hyperlink>
          </w:p>
        </w:tc>
        <w:tc>
          <w:tcPr>
            <w:tcW w:w="7820" w:type="dxa"/>
            <w:vAlign w:val="bottom"/>
            <w:gridSpan w:val="1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(13)(h)</w:t>
            </w:r>
          </w:p>
        </w:tc>
        <w:tc>
          <w:tcPr>
            <w:tcW w:w="95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Senior Secured Revolving Credit Agreement, dated January 19, 2023, by and among Sixth Street Lending Partners, the Lenders and</w:t>
              </w:r>
            </w:hyperlink>
          </w:p>
        </w:tc>
        <w:tc>
          <w:tcPr>
            <w:tcW w:w="34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Issuing Banks party thereto and Truist Bank as Administrative Agent (incorporated by reference to Exhibit 10.1 to the Registrant’s</w:t>
              </w:r>
            </w:hyperlink>
          </w:p>
        </w:tc>
        <w:tc>
          <w:tcPr>
            <w:tcW w:w="48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0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Current Report on Form 8-K, filed on January 24, 2022)</w:t>
              </w:r>
            </w:hyperlink>
          </w:p>
        </w:tc>
        <w:tc>
          <w:tcPr>
            <w:tcW w:w="5840" w:type="dxa"/>
            <w:vAlign w:val="bottom"/>
            <w:gridSpan w:val="11"/>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(13)(i)</w:t>
            </w: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First Amendment to Senior Secured Revolving Credit Agreement, dated as of February 8, 2024, among Sixth Street Lending Partners, as</w:t>
              </w:r>
            </w:hyperlink>
          </w:p>
        </w:tc>
      </w:tr>
      <w:tr>
        <w:trPr>
          <w:trHeight w:val="196"/>
        </w:trPr>
        <w:tc>
          <w:tcPr>
            <w:tcW w:w="1100" w:type="dxa"/>
            <w:vAlign w:val="bottom"/>
          </w:tcPr>
          <w:p>
            <w:pPr>
              <w:spacing w:after="0"/>
              <w:rPr>
                <w:sz w:val="17"/>
                <w:szCs w:val="17"/>
                <w:color w:val="auto"/>
              </w:rPr>
            </w:pPr>
          </w:p>
        </w:tc>
        <w:tc>
          <w:tcPr>
            <w:tcW w:w="94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Borrower, the Lenders and Issuing Banks party thereto and Truist Bank, as Administrative Agent (incorporated by reference to the</w:t>
              </w:r>
            </w:hyperlink>
          </w:p>
        </w:tc>
        <w:tc>
          <w:tcPr>
            <w:tcW w:w="50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Registrant’s Current Report on Form 8-K, filed on February 9, 2024)</w:t>
              </w:r>
            </w:hyperlink>
          </w:p>
        </w:tc>
      </w:tr>
      <w:tr>
        <w:trPr>
          <w:trHeight w:val="3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(14)(a)</w:t>
            </w:r>
          </w:p>
        </w:tc>
        <w:tc>
          <w:tcPr>
            <w:tcW w:w="9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w w:val="87"/>
              </w:rPr>
              <w:t>Consent of  </w:t>
            </w:r>
          </w:p>
        </w:tc>
        <w:tc>
          <w:tcPr>
            <w:tcW w:w="26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3800" w:type="dxa"/>
            <w:vAlign w:val="bottom"/>
            <w:tcBorders>
              <w:top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gridSpan w:val="10"/>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(14)(b)</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6"/>
              </w:rPr>
              <w:t>Report of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874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   regarding the senior securities table**</w:t>
            </w:r>
          </w:p>
        </w:tc>
      </w:tr>
    </w:tbl>
    <w:p>
      <w:pPr>
        <w:spacing w:after="0" w:line="90" w:lineRule="exact"/>
        <w:rPr>
          <w:sz w:val="20"/>
          <w:szCs w:val="20"/>
          <w:color w:val="auto"/>
        </w:rPr>
      </w:pPr>
    </w:p>
    <w:p>
      <w:pPr>
        <w:ind w:left="1220" w:hanging="1104"/>
        <w:spacing w:after="0"/>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 *</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(17)(a)</w:t>
            </w:r>
          </w:p>
        </w:tc>
        <w:tc>
          <w:tcPr>
            <w:tcW w:w="7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Statement of Eligibility on Form T-1 of U.S. Bank Trust Company, National Association, as trustee*</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(17)(b)</w:t>
            </w:r>
          </w:p>
        </w:tc>
        <w:tc>
          <w:tcPr>
            <w:tcW w:w="2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Form of Letter of Transmittal*</w:t>
            </w:r>
          </w:p>
        </w:tc>
        <w:tc>
          <w:tcPr>
            <w:tcW w:w="5020" w:type="dxa"/>
            <w:vAlign w:val="bottom"/>
          </w:tcPr>
          <w:p>
            <w:pPr>
              <w:spacing w:after="0"/>
              <w:rPr>
                <w:sz w:val="24"/>
                <w:szCs w:val="24"/>
                <w:color w:val="auto"/>
              </w:rPr>
            </w:pPr>
          </w:p>
        </w:tc>
      </w:tr>
    </w:tbl>
    <w:p>
      <w:pPr>
        <w:spacing w:after="0" w:line="117" w:lineRule="exact"/>
        <w:rPr>
          <w:sz w:val="20"/>
          <w:szCs w:val="20"/>
          <w:color w:val="auto"/>
        </w:rPr>
      </w:pPr>
    </w:p>
    <w:p>
      <w:pPr>
        <w:ind w:left="1220" w:hanging="1104"/>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56" w:lineRule="exact"/>
        <w:rPr>
          <w:sz w:val="20"/>
          <w:szCs w:val="20"/>
          <w:color w:val="auto"/>
        </w:rPr>
      </w:pPr>
    </w:p>
    <w:p>
      <w:pPr>
        <w:ind w:left="540" w:hanging="424"/>
        <w:spacing w:after="0" w:line="261"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prior to any public reoffering of the securities registered through the use of a prospectus which is a part of this registration statement by any person or party who is deemed to be an underwriter within the meaning of Rule 145(c) of the 1933 Act, the reoffering prospectus will contain the information called for by the applicable registration form for the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540" w:right="160" w:hanging="424"/>
        <w:spacing w:after="0" w:line="261"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every prospectus that is filed under paragraph (1) above will be filed as a part of an amendment to the registration statement and will not be used until the amendment is effective, and that, in determining any liability under the 1933 Act, each post-effective amendment will be deemed to be a new registration statement for the securities offered therein, and the offering of the securities at that time will be deemed to be the initial bona fide offering of them.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on behalf of the Registrant, in New York, New York on the 4th day of November,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required by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2"/>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Easterly</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Trustee and Chairman of the Board of Trustees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Joshua Easterly</w:t>
            </w:r>
          </w:p>
        </w:tc>
        <w:tc>
          <w:tcPr>
            <w:tcW w:w="2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Ian Simmonds</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Graf</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Deputy Chief Financial Officer (Principal Accounting Officer)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Michael Graf</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Judy Slotkin</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 and Chairman of the Audit Committee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Judy Slotkin</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Gordon</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Jennifer Gordon</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 Higginbotham</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Richard A. Higginbotham</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Hurley Doddy</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Hurley Doddy</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Stiepleman</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Stiepleman</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K. Tanemura</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Ronald K. Tanemura</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56"/>
        </w:trPr>
        <w:tc>
          <w:tcPr>
            <w:tcW w:w="3200" w:type="dxa"/>
            <w:vAlign w:val="bottom"/>
          </w:tcPr>
          <w:p>
            <w:pPr>
              <w:spacing w:after="0"/>
              <w:rPr>
                <w:sz w:val="24"/>
                <w:szCs w:val="24"/>
                <w:color w:val="auto"/>
              </w:rPr>
            </w:pPr>
          </w:p>
        </w:tc>
        <w:tc>
          <w:tcPr>
            <w:tcW w:w="5940" w:type="dxa"/>
            <w:vAlign w:val="bottom"/>
            <w:gridSpan w:val="2"/>
          </w:tcPr>
          <w:p>
            <w:pPr>
              <w:jc w:val="right"/>
              <w:ind w:right="3452"/>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KNOW ALL PEOPLE BY THESE PRESENTS, that the undersigned officers and/or trustees of Sixth Street Lending Partners, a Delaware statutory trust (the “Company’’), do hereby constitute and appoint each of Joshua Easterly, Ian Simmonds, David Stiepleman, Jennifer Gordon and Anton Brett as his or her true and lawful attorneys and agents, with full power and authority (acting separately and without the other) to execute in the name and on behalf of the undersigned as such officers and/or trustees, (i) a registration statement on Form N-14 of the Company, including any pre-effective amendments and/or any post-effective amendments thereto, and any other filings in connection therewith, and to file the same under the Securities Act of 1933, as amended, or the Investment Company Act of 1940, as amended, or otherwise, with respect to the registration of the Company or the registration or offering of the Company’s common shares, preferred shares, debt securities, warrants, subscription rights and units, granting to such attorneys and agents and each of them, full power of substitution and revocation in the premises, and ratifying and confirming all that such attorneys and agents, or any of them, may do or cause to be done by virtue of these presents or (ii) any statement of beneficial ownership on Form 3, 4 or 5 to be filed with the United States Securities and Exchange Commission.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an attorney-in-fact in furtherance of the foregoing are hereby ratified and confirmed.</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Power of Attorney may be executed in multiple counterparts, each of which shall be deemed an original, but which taken together shall constitute one instrument.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Power of Attorney shall be valid from the date hereof until revoked by the undersigned.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executed this instrument as of the 4th day of November,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Chief Executive Officer, Trustee and Chairman of the Board</w:t>
            </w:r>
          </w:p>
        </w:tc>
        <w:tc>
          <w:tcPr>
            <w:tcW w:w="0" w:type="dxa"/>
            <w:vAlign w:val="bottom"/>
          </w:tcPr>
          <w:p>
            <w:pPr>
              <w:spacing w:after="0"/>
              <w:rPr>
                <w:sz w:val="1"/>
                <w:szCs w:val="1"/>
                <w:color w:val="auto"/>
              </w:rPr>
            </w:pPr>
          </w:p>
        </w:tc>
      </w:tr>
      <w:tr>
        <w:trPr>
          <w:trHeight w:val="23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Easterly</w:t>
            </w:r>
          </w:p>
        </w:tc>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of Trustees (Principal Executive Officer)</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52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0" w:type="dxa"/>
            <w:vAlign w:val="bottom"/>
          </w:tcPr>
          <w:p>
            <w:pPr>
              <w:spacing w:after="0"/>
              <w:rPr>
                <w:sz w:val="1"/>
                <w:szCs w:val="1"/>
                <w:color w:val="auto"/>
              </w:rPr>
            </w:pPr>
          </w:p>
        </w:tc>
      </w:tr>
      <w:tr>
        <w:trPr>
          <w:trHeight w:val="211"/>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Ian Simmonds</w:t>
            </w:r>
          </w:p>
        </w:tc>
        <w:tc>
          <w:tcPr>
            <w:tcW w:w="5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tcBorders>
              <w:bottom w:val="single" w:sz="8" w:color="auto"/>
            </w:tcBorders>
            <w:vMerge w:val="continue"/>
          </w:tcPr>
          <w:p>
            <w:pPr>
              <w:spacing w:after="0"/>
              <w:rPr>
                <w:sz w:val="18"/>
                <w:szCs w:val="18"/>
                <w:color w:val="auto"/>
              </w:rPr>
            </w:pP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Ian Simmonds</w:t>
            </w: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Graf</w:t>
            </w:r>
          </w:p>
        </w:tc>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Deputy Chief Financial Officer (Principal Accounting Officer)</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Judy Slotkin</w:t>
            </w:r>
          </w:p>
        </w:tc>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Trustee and Chairman of the Audit Committee</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Gordon</w:t>
            </w:r>
          </w:p>
        </w:tc>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Trustee</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 Higginbotham</w:t>
            </w:r>
          </w:p>
        </w:tc>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Trustee</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Richard A. Higginbotham</w:t>
            </w: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Hurley Doddy</w:t>
            </w:r>
          </w:p>
        </w:tc>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Trustee</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Stiepleman</w:t>
            </w:r>
          </w:p>
        </w:tc>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Trustee</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K. Tanemura</w:t>
            </w:r>
          </w:p>
        </w:tc>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Trustee</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Ronald K. Tanemura</w:t>
            </w: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250825</wp:posOffset>
            </wp:positionV>
            <wp:extent cx="14916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STATEMENT OF ELIGIBILITY UNDER THE TRUST INDENTURE ACT OF 1939 OF A CORPORATION DESIGNATED TO ACT AS TRUSTEE</w:t>
      </w:r>
    </w:p>
    <w:p>
      <w:pPr>
        <w:spacing w:after="0" w:line="194" w:lineRule="exact"/>
        <w:rPr>
          <w:sz w:val="20"/>
          <w:szCs w:val="20"/>
          <w:color w:val="auto"/>
        </w:rPr>
      </w:pPr>
    </w:p>
    <w:p>
      <w:pPr>
        <w:ind w:left="460" w:hanging="452"/>
        <w:spacing w:after="0"/>
        <w:tabs>
          <w:tab w:leader="none" w:pos="460" w:val="left"/>
        </w:tabs>
        <w:numPr>
          <w:ilvl w:val="0"/>
          <w:numId w:val="5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253365</wp:posOffset>
            </wp:positionV>
            <wp:extent cx="1491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U.S. BANK TRUST COMPANY, NATIONAL ASSOCIATION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1660" w:type="dxa"/>
        <w:tblCellMar>
          <w:top w:w="0" w:type="dxa"/>
          <w:left w:w="0" w:type="dxa"/>
          <w:bottom w:w="0" w:type="dxa"/>
          <w:right w:w="0" w:type="dxa"/>
        </w:tblCellMar>
      </w:tblPr>
      <w:tr>
        <w:trPr>
          <w:trHeight w:val="214"/>
        </w:trPr>
        <w:tc>
          <w:tcPr>
            <w:tcW w:w="6160" w:type="dxa"/>
            <w:vAlign w:val="bottom"/>
          </w:tcPr>
          <w:p>
            <w:pPr>
              <w:jc w:val="right"/>
              <w:ind w:right="1675"/>
              <w:spacing w:after="0"/>
              <w:rPr>
                <w:sz w:val="20"/>
                <w:szCs w:val="20"/>
                <w:color w:val="auto"/>
              </w:rPr>
            </w:pPr>
            <w:r>
              <w:rPr>
                <w:rFonts w:ascii="Times New Roman" w:cs="Times New Roman" w:eastAsia="Times New Roman" w:hAnsi="Times New Roman"/>
                <w:sz w:val="18"/>
                <w:szCs w:val="18"/>
                <w:b w:val="1"/>
                <w:bCs w:val="1"/>
                <w:color w:val="auto"/>
              </w:rPr>
              <w:t>91-1821036</w:t>
            </w:r>
          </w:p>
        </w:tc>
        <w:tc>
          <w:tcPr>
            <w:tcW w:w="1020" w:type="dxa"/>
            <w:vAlign w:val="bottom"/>
          </w:tcPr>
          <w:p>
            <w:pPr>
              <w:spacing w:after="0"/>
              <w:rPr>
                <w:sz w:val="18"/>
                <w:szCs w:val="18"/>
                <w:color w:val="auto"/>
              </w:rPr>
            </w:pPr>
          </w:p>
        </w:tc>
      </w:tr>
      <w:tr>
        <w:trPr>
          <w:trHeight w:val="190"/>
        </w:trPr>
        <w:tc>
          <w:tcPr>
            <w:tcW w:w="6160" w:type="dxa"/>
            <w:vAlign w:val="bottom"/>
          </w:tcPr>
          <w:p>
            <w:pPr>
              <w:jc w:val="center"/>
              <w:ind w:left="169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1020" w:type="dxa"/>
            <w:vAlign w:val="bottom"/>
          </w:tcPr>
          <w:p>
            <w:pPr>
              <w:spacing w:after="0"/>
              <w:rPr>
                <w:sz w:val="16"/>
                <w:szCs w:val="16"/>
                <w:color w:val="auto"/>
              </w:rPr>
            </w:pPr>
          </w:p>
        </w:tc>
      </w:tr>
      <w:tr>
        <w:trPr>
          <w:trHeight w:val="424"/>
        </w:trPr>
        <w:tc>
          <w:tcPr>
            <w:tcW w:w="6160" w:type="dxa"/>
            <w:vAlign w:val="bottom"/>
          </w:tcPr>
          <w:p>
            <w:pPr>
              <w:jc w:val="center"/>
              <w:ind w:right="3715"/>
              <w:spacing w:after="0"/>
              <w:rPr>
                <w:sz w:val="20"/>
                <w:szCs w:val="20"/>
                <w:color w:val="auto"/>
              </w:rPr>
            </w:pPr>
            <w:r>
              <w:rPr>
                <w:rFonts w:ascii="Times New Roman" w:cs="Times New Roman" w:eastAsia="Times New Roman" w:hAnsi="Times New Roman"/>
                <w:sz w:val="18"/>
                <w:szCs w:val="18"/>
                <w:color w:val="auto"/>
                <w:w w:val="99"/>
              </w:rPr>
              <w:t>800 Nicollet Mall</w:t>
            </w:r>
          </w:p>
        </w:tc>
        <w:tc>
          <w:tcPr>
            <w:tcW w:w="1020" w:type="dxa"/>
            <w:vAlign w:val="bottom"/>
          </w:tcPr>
          <w:p>
            <w:pPr>
              <w:spacing w:after="0"/>
              <w:rPr>
                <w:sz w:val="24"/>
                <w:szCs w:val="24"/>
                <w:color w:val="auto"/>
              </w:rPr>
            </w:pPr>
          </w:p>
        </w:tc>
      </w:tr>
      <w:tr>
        <w:trPr>
          <w:trHeight w:val="223"/>
        </w:trPr>
        <w:tc>
          <w:tcPr>
            <w:tcW w:w="6160" w:type="dxa"/>
            <w:vAlign w:val="bottom"/>
          </w:tcPr>
          <w:p>
            <w:pPr>
              <w:jc w:val="center"/>
              <w:ind w:right="3715"/>
              <w:spacing w:after="0"/>
              <w:rPr>
                <w:sz w:val="20"/>
                <w:szCs w:val="20"/>
                <w:color w:val="auto"/>
              </w:rPr>
            </w:pPr>
            <w:r>
              <w:rPr>
                <w:rFonts w:ascii="Times New Roman" w:cs="Times New Roman" w:eastAsia="Times New Roman" w:hAnsi="Times New Roman"/>
                <w:sz w:val="18"/>
                <w:szCs w:val="18"/>
                <w:color w:val="auto"/>
              </w:rPr>
              <w:t>Minneapolis, Minnesota</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55402</w:t>
            </w:r>
          </w:p>
        </w:tc>
      </w:tr>
      <w:tr>
        <w:trPr>
          <w:trHeight w:val="190"/>
        </w:trPr>
        <w:tc>
          <w:tcPr>
            <w:tcW w:w="6160" w:type="dxa"/>
            <w:vAlign w:val="bottom"/>
          </w:tcPr>
          <w:p>
            <w:pPr>
              <w:jc w:val="center"/>
              <w:ind w:right="369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02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6160" w:type="dxa"/>
            <w:vAlign w:val="bottom"/>
          </w:tcPr>
          <w:p>
            <w:pPr>
              <w:jc w:val="center"/>
              <w:ind w:left="1695"/>
              <w:spacing w:after="0"/>
              <w:rPr>
                <w:sz w:val="20"/>
                <w:szCs w:val="20"/>
                <w:color w:val="auto"/>
              </w:rPr>
            </w:pPr>
            <w:r>
              <w:rPr>
                <w:rFonts w:ascii="Times New Roman" w:cs="Times New Roman" w:eastAsia="Times New Roman" w:hAnsi="Times New Roman"/>
                <w:sz w:val="18"/>
                <w:szCs w:val="18"/>
                <w:b w:val="1"/>
                <w:bCs w:val="1"/>
                <w:color w:val="auto"/>
                <w:w w:val="97"/>
              </w:rPr>
              <w:t>James W. Hall</w:t>
            </w:r>
          </w:p>
        </w:tc>
        <w:tc>
          <w:tcPr>
            <w:tcW w:w="1020" w:type="dxa"/>
            <w:vAlign w:val="bottom"/>
          </w:tcPr>
          <w:p>
            <w:pPr>
              <w:spacing w:after="0"/>
              <w:rPr>
                <w:sz w:val="24"/>
                <w:szCs w:val="24"/>
                <w:color w:val="auto"/>
              </w:rPr>
            </w:pPr>
          </w:p>
        </w:tc>
      </w:tr>
      <w:tr>
        <w:trPr>
          <w:trHeight w:val="216"/>
        </w:trPr>
        <w:tc>
          <w:tcPr>
            <w:tcW w:w="6160" w:type="dxa"/>
            <w:vAlign w:val="bottom"/>
          </w:tcPr>
          <w:p>
            <w:pPr>
              <w:jc w:val="center"/>
              <w:ind w:left="1695"/>
              <w:spacing w:after="0"/>
              <w:rPr>
                <w:sz w:val="20"/>
                <w:szCs w:val="20"/>
                <w:color w:val="auto"/>
              </w:rPr>
            </w:pPr>
            <w:r>
              <w:rPr>
                <w:rFonts w:ascii="Times New Roman" w:cs="Times New Roman" w:eastAsia="Times New Roman" w:hAnsi="Times New Roman"/>
                <w:sz w:val="18"/>
                <w:szCs w:val="18"/>
                <w:b w:val="1"/>
                <w:bCs w:val="1"/>
                <w:color w:val="auto"/>
                <w:w w:val="99"/>
              </w:rPr>
              <w:t>U.S. Bank Trust Company, National Association</w:t>
            </w:r>
          </w:p>
        </w:tc>
        <w:tc>
          <w:tcPr>
            <w:tcW w:w="1020" w:type="dxa"/>
            <w:vAlign w:val="bottom"/>
          </w:tcPr>
          <w:p>
            <w:pPr>
              <w:spacing w:after="0"/>
              <w:rPr>
                <w:sz w:val="18"/>
                <w:szCs w:val="18"/>
                <w:color w:val="auto"/>
              </w:rPr>
            </w:pPr>
          </w:p>
        </w:tc>
      </w:tr>
      <w:tr>
        <w:trPr>
          <w:trHeight w:val="216"/>
        </w:trPr>
        <w:tc>
          <w:tcPr>
            <w:tcW w:w="616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8"/>
              </w:rPr>
              <w:t>100 Wall Street, Suite 600</w:t>
            </w:r>
          </w:p>
        </w:tc>
        <w:tc>
          <w:tcPr>
            <w:tcW w:w="1020" w:type="dxa"/>
            <w:vAlign w:val="bottom"/>
          </w:tcPr>
          <w:p>
            <w:pPr>
              <w:spacing w:after="0"/>
              <w:rPr>
                <w:sz w:val="18"/>
                <w:szCs w:val="18"/>
                <w:color w:val="auto"/>
              </w:rPr>
            </w:pPr>
          </w:p>
        </w:tc>
      </w:tr>
      <w:tr>
        <w:trPr>
          <w:trHeight w:val="216"/>
        </w:trPr>
        <w:tc>
          <w:tcPr>
            <w:tcW w:w="616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8"/>
              </w:rPr>
              <w:t>New York, NY 10005</w:t>
            </w:r>
          </w:p>
        </w:tc>
        <w:tc>
          <w:tcPr>
            <w:tcW w:w="1020" w:type="dxa"/>
            <w:vAlign w:val="bottom"/>
          </w:tcPr>
          <w:p>
            <w:pPr>
              <w:spacing w:after="0"/>
              <w:rPr>
                <w:sz w:val="18"/>
                <w:szCs w:val="18"/>
                <w:color w:val="auto"/>
              </w:rPr>
            </w:pPr>
          </w:p>
        </w:tc>
      </w:tr>
      <w:tr>
        <w:trPr>
          <w:trHeight w:val="214"/>
        </w:trPr>
        <w:tc>
          <w:tcPr>
            <w:tcW w:w="6160" w:type="dxa"/>
            <w:vAlign w:val="bottom"/>
          </w:tcPr>
          <w:p>
            <w:pPr>
              <w:jc w:val="right"/>
              <w:ind w:right="1555"/>
              <w:spacing w:after="0"/>
              <w:rPr>
                <w:sz w:val="20"/>
                <w:szCs w:val="20"/>
                <w:color w:val="auto"/>
              </w:rPr>
            </w:pPr>
            <w:r>
              <w:rPr>
                <w:rFonts w:ascii="Times New Roman" w:cs="Times New Roman" w:eastAsia="Times New Roman" w:hAnsi="Times New Roman"/>
                <w:sz w:val="18"/>
                <w:szCs w:val="18"/>
                <w:b w:val="1"/>
                <w:bCs w:val="1"/>
                <w:color w:val="auto"/>
              </w:rPr>
              <w:t>(551) 427-1335</w:t>
            </w:r>
          </w:p>
        </w:tc>
        <w:tc>
          <w:tcPr>
            <w:tcW w:w="1020" w:type="dxa"/>
            <w:vAlign w:val="bottom"/>
          </w:tcPr>
          <w:p>
            <w:pPr>
              <w:spacing w:after="0"/>
              <w:rPr>
                <w:sz w:val="18"/>
                <w:szCs w:val="18"/>
                <w:color w:val="auto"/>
              </w:rPr>
            </w:pPr>
          </w:p>
        </w:tc>
      </w:tr>
      <w:tr>
        <w:trPr>
          <w:trHeight w:val="190"/>
        </w:trPr>
        <w:tc>
          <w:tcPr>
            <w:tcW w:w="6160" w:type="dxa"/>
            <w:vAlign w:val="bottom"/>
          </w:tcPr>
          <w:p>
            <w:pPr>
              <w:jc w:val="center"/>
              <w:ind w:left="1695"/>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10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212090</wp:posOffset>
            </wp:positionV>
            <wp:extent cx="14916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jc w:val="center"/>
              <w:ind w:left="1159"/>
              <w:spacing w:after="0"/>
              <w:rPr>
                <w:sz w:val="20"/>
                <w:szCs w:val="20"/>
                <w:color w:val="auto"/>
              </w:rPr>
            </w:pPr>
            <w:r>
              <w:rPr>
                <w:rFonts w:ascii="Times New Roman" w:cs="Times New Roman" w:eastAsia="Times New Roman" w:hAnsi="Times New Roman"/>
                <w:sz w:val="18"/>
                <w:szCs w:val="18"/>
                <w:color w:val="auto"/>
                <w:w w:val="98"/>
              </w:rPr>
              <w:t>Delaware</w:t>
            </w:r>
          </w:p>
        </w:tc>
        <w:tc>
          <w:tcPr>
            <w:tcW w:w="6800" w:type="dxa"/>
            <w:vAlign w:val="bottom"/>
            <w:gridSpan w:val="2"/>
          </w:tcPr>
          <w:p>
            <w:pPr>
              <w:jc w:val="right"/>
              <w:ind w:right="2228"/>
              <w:spacing w:after="0"/>
              <w:rPr>
                <w:sz w:val="20"/>
                <w:szCs w:val="20"/>
                <w:color w:val="auto"/>
              </w:rPr>
            </w:pPr>
            <w:r>
              <w:rPr>
                <w:rFonts w:ascii="Times New Roman" w:cs="Times New Roman" w:eastAsia="Times New Roman" w:hAnsi="Times New Roman"/>
                <w:sz w:val="18"/>
                <w:szCs w:val="18"/>
                <w:color w:val="auto"/>
              </w:rPr>
              <w:t>88-1710161</w:t>
            </w:r>
          </w:p>
        </w:tc>
      </w:tr>
      <w:tr>
        <w:trPr>
          <w:trHeight w:val="148"/>
        </w:trPr>
        <w:tc>
          <w:tcPr>
            <w:tcW w:w="4440" w:type="dxa"/>
            <w:vAlign w:val="bottom"/>
          </w:tcPr>
          <w:p>
            <w:pPr>
              <w:jc w:val="center"/>
              <w:ind w:left="11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60" w:type="dxa"/>
            <w:vAlign w:val="bottom"/>
          </w:tcPr>
          <w:p>
            <w:pPr>
              <w:spacing w:after="0"/>
              <w:rPr>
                <w:sz w:val="12"/>
                <w:szCs w:val="12"/>
                <w:color w:val="auto"/>
              </w:rPr>
            </w:pPr>
          </w:p>
        </w:tc>
        <w:tc>
          <w:tcPr>
            <w:tcW w:w="4440" w:type="dxa"/>
            <w:vAlign w:val="bottom"/>
          </w:tcPr>
          <w:p>
            <w:pPr>
              <w:jc w:val="center"/>
              <w:ind w:righ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4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60" w:type="dxa"/>
            <w:vAlign w:val="bottom"/>
          </w:tcPr>
          <w:p>
            <w:pPr>
              <w:spacing w:after="0"/>
              <w:rPr>
                <w:sz w:val="16"/>
                <w:szCs w:val="16"/>
                <w:color w:val="auto"/>
              </w:rPr>
            </w:pPr>
          </w:p>
        </w:tc>
        <w:tc>
          <w:tcPr>
            <w:tcW w:w="444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7"/>
        </w:trPr>
        <w:tc>
          <w:tcPr>
            <w:tcW w:w="4440" w:type="dxa"/>
            <w:vAlign w:val="bottom"/>
          </w:tcPr>
          <w:p>
            <w:pPr>
              <w:jc w:val="center"/>
              <w:ind w:left="1159"/>
              <w:spacing w:after="0"/>
              <w:rPr>
                <w:sz w:val="20"/>
                <w:szCs w:val="20"/>
                <w:color w:val="auto"/>
              </w:rPr>
            </w:pPr>
            <w:r>
              <w:rPr>
                <w:rFonts w:ascii="Times New Roman" w:cs="Times New Roman" w:eastAsia="Times New Roman" w:hAnsi="Times New Roman"/>
                <w:sz w:val="18"/>
                <w:szCs w:val="18"/>
                <w:color w:val="auto"/>
                <w:w w:val="99"/>
              </w:rPr>
              <w:t>2100 McKinney Avenue, Suite 1500</w:t>
            </w:r>
          </w:p>
        </w:tc>
        <w:tc>
          <w:tcPr>
            <w:tcW w:w="23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23"/>
        </w:trPr>
        <w:tc>
          <w:tcPr>
            <w:tcW w:w="4440" w:type="dxa"/>
            <w:vAlign w:val="bottom"/>
          </w:tcPr>
          <w:p>
            <w:pPr>
              <w:jc w:val="center"/>
              <w:ind w:left="1159"/>
              <w:spacing w:after="0"/>
              <w:rPr>
                <w:sz w:val="20"/>
                <w:szCs w:val="20"/>
                <w:color w:val="auto"/>
              </w:rPr>
            </w:pPr>
            <w:r>
              <w:rPr>
                <w:rFonts w:ascii="Times New Roman" w:cs="Times New Roman" w:eastAsia="Times New Roman" w:hAnsi="Times New Roman"/>
                <w:sz w:val="18"/>
                <w:szCs w:val="18"/>
                <w:color w:val="auto"/>
                <w:w w:val="97"/>
              </w:rPr>
              <w:t>Dallas, Texas</w:t>
            </w:r>
          </w:p>
        </w:tc>
        <w:tc>
          <w:tcPr>
            <w:tcW w:w="6800" w:type="dxa"/>
            <w:vAlign w:val="bottom"/>
            <w:gridSpan w:val="2"/>
          </w:tcPr>
          <w:p>
            <w:pPr>
              <w:jc w:val="right"/>
              <w:ind w:right="2428"/>
              <w:spacing w:after="0"/>
              <w:rPr>
                <w:sz w:val="20"/>
                <w:szCs w:val="20"/>
                <w:color w:val="auto"/>
              </w:rPr>
            </w:pPr>
            <w:r>
              <w:rPr>
                <w:rFonts w:ascii="Times New Roman" w:cs="Times New Roman" w:eastAsia="Times New Roman" w:hAnsi="Times New Roman"/>
                <w:sz w:val="18"/>
                <w:szCs w:val="18"/>
                <w:color w:val="auto"/>
              </w:rPr>
              <w:t>75201</w:t>
            </w:r>
          </w:p>
        </w:tc>
      </w:tr>
      <w:tr>
        <w:trPr>
          <w:trHeight w:val="190"/>
        </w:trPr>
        <w:tc>
          <w:tcPr>
            <w:tcW w:w="4440" w:type="dxa"/>
            <w:vAlign w:val="bottom"/>
          </w:tcPr>
          <w:p>
            <w:pPr>
              <w:jc w:val="center"/>
              <w:ind w:left="1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444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8"/>
        </w:trPr>
        <w:tc>
          <w:tcPr>
            <w:tcW w:w="444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440" w:type="dxa"/>
            <w:vAlign w:val="bottom"/>
          </w:tcPr>
          <w:p>
            <w:pPr>
              <w:spacing w:after="0"/>
              <w:rPr>
                <w:sz w:val="24"/>
                <w:szCs w:val="24"/>
                <w:color w:val="auto"/>
              </w:rPr>
            </w:pPr>
          </w:p>
        </w:tc>
      </w:tr>
      <w:tr>
        <w:trPr>
          <w:trHeight w:val="403"/>
        </w:trPr>
        <w:tc>
          <w:tcPr>
            <w:tcW w:w="4440" w:type="dxa"/>
            <w:vAlign w:val="bottom"/>
          </w:tcPr>
          <w:p>
            <w:pPr>
              <w:spacing w:after="0"/>
              <w:rPr>
                <w:sz w:val="24"/>
                <w:szCs w:val="24"/>
                <w:color w:val="auto"/>
              </w:rPr>
            </w:pPr>
          </w:p>
        </w:tc>
        <w:tc>
          <w:tcPr>
            <w:tcW w:w="6800" w:type="dxa"/>
            <w:vAlign w:val="bottom"/>
            <w:gridSpan w:val="2"/>
          </w:tcPr>
          <w:p>
            <w:pPr>
              <w:jc w:val="center"/>
              <w:ind w:right="4368"/>
              <w:spacing w:after="0"/>
              <w:rPr>
                <w:sz w:val="20"/>
                <w:szCs w:val="20"/>
                <w:color w:val="auto"/>
              </w:rPr>
            </w:pPr>
            <w:r>
              <w:rPr>
                <w:rFonts w:ascii="Times New Roman" w:cs="Times New Roman" w:eastAsia="Times New Roman" w:hAnsi="Times New Roman"/>
                <w:sz w:val="18"/>
                <w:szCs w:val="18"/>
                <w:b w:val="1"/>
                <w:bCs w:val="1"/>
                <w:color w:val="auto"/>
              </w:rPr>
              <w:t>6.500% Notes due 2029</w:t>
            </w:r>
          </w:p>
        </w:tc>
      </w:tr>
      <w:tr>
        <w:trPr>
          <w:trHeight w:val="214"/>
        </w:trPr>
        <w:tc>
          <w:tcPr>
            <w:tcW w:w="4440" w:type="dxa"/>
            <w:vAlign w:val="bottom"/>
          </w:tcPr>
          <w:p>
            <w:pPr>
              <w:spacing w:after="0"/>
              <w:rPr>
                <w:sz w:val="18"/>
                <w:szCs w:val="18"/>
                <w:color w:val="auto"/>
              </w:rPr>
            </w:pPr>
          </w:p>
        </w:tc>
        <w:tc>
          <w:tcPr>
            <w:tcW w:w="6800" w:type="dxa"/>
            <w:vAlign w:val="bottom"/>
            <w:gridSpan w:val="2"/>
          </w:tcPr>
          <w:p>
            <w:pPr>
              <w:jc w:val="center"/>
              <w:ind w:right="4368"/>
              <w:spacing w:after="0"/>
              <w:rPr>
                <w:sz w:val="20"/>
                <w:szCs w:val="20"/>
                <w:color w:val="auto"/>
              </w:rPr>
            </w:pPr>
            <w:r>
              <w:rPr>
                <w:rFonts w:ascii="Times New Roman" w:cs="Times New Roman" w:eastAsia="Times New Roman" w:hAnsi="Times New Roman"/>
                <w:sz w:val="18"/>
                <w:szCs w:val="18"/>
                <w:b w:val="1"/>
                <w:bCs w:val="1"/>
                <w:color w:val="auto"/>
              </w:rPr>
              <w:t>5.750% Notes due 2030</w:t>
            </w:r>
          </w:p>
        </w:tc>
      </w:tr>
      <w:tr>
        <w:trPr>
          <w:trHeight w:val="190"/>
        </w:trPr>
        <w:tc>
          <w:tcPr>
            <w:tcW w:w="4440" w:type="dxa"/>
            <w:vAlign w:val="bottom"/>
          </w:tcPr>
          <w:p>
            <w:pPr>
              <w:spacing w:after="0"/>
              <w:rPr>
                <w:sz w:val="16"/>
                <w:szCs w:val="16"/>
                <w:color w:val="auto"/>
              </w:rPr>
            </w:pPr>
          </w:p>
        </w:tc>
        <w:tc>
          <w:tcPr>
            <w:tcW w:w="6800" w:type="dxa"/>
            <w:vAlign w:val="bottom"/>
            <w:gridSpan w:val="2"/>
          </w:tcPr>
          <w:p>
            <w:pPr>
              <w:jc w:val="center"/>
              <w:ind w:right="4368"/>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r>
      <w:tr>
        <w:trPr>
          <w:trHeight w:val="213"/>
        </w:trPr>
        <w:tc>
          <w:tcPr>
            <w:tcW w:w="44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r>
      <w:tr>
        <w:trPr>
          <w:trHeight w:val="48"/>
        </w:trPr>
        <w:tc>
          <w:tcPr>
            <w:tcW w:w="444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7" w:right="339" w:bottom="144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T-1</w:t>
            </w:r>
          </w:p>
        </w:tc>
      </w:tr>
      <w:tr>
        <w:trPr>
          <w:trHeight w:val="20"/>
        </w:trPr>
        <w:tc>
          <w:tcPr>
            <w:tcW w:w="114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479"/>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01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GENERAL INFORMATION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the following information as to the Trustee.</w:t>
            </w:r>
          </w:p>
        </w:tc>
      </w:tr>
      <w:tr>
        <w:trPr>
          <w:trHeight w:val="338"/>
        </w:trPr>
        <w:tc>
          <w:tcPr>
            <w:tcW w:w="11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Name and address of each examining or supervising authority to which it is subject.</w:t>
            </w:r>
          </w:p>
        </w:tc>
      </w:tr>
      <w:tr>
        <w:trPr>
          <w:trHeight w:val="306"/>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Comptroller of the Currency</w:t>
            </w:r>
          </w:p>
        </w:tc>
      </w:tr>
      <w:tr>
        <w:trPr>
          <w:trHeight w:val="234"/>
        </w:trPr>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Washington, D.C.</w:t>
            </w:r>
          </w:p>
        </w:tc>
      </w:tr>
      <w:tr>
        <w:trPr>
          <w:trHeight w:val="338"/>
        </w:trPr>
        <w:tc>
          <w:tcPr>
            <w:tcW w:w="11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Whether it is authorized to exercise corporate trust powers.</w:t>
            </w:r>
          </w:p>
        </w:tc>
      </w:tr>
      <w:tr>
        <w:trPr>
          <w:trHeight w:val="324"/>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Yes</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101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AFFILIATIONS WITH THE OBLIGOR. </w:t>
            </w:r>
            <w:r>
              <w:rPr>
                <w:rFonts w:ascii="Times New Roman" w:cs="Times New Roman" w:eastAsia="Times New Roman" w:hAnsi="Times New Roman"/>
                <w:sz w:val="18"/>
                <w:szCs w:val="18"/>
                <w:i w:val="1"/>
                <w:iCs w:val="1"/>
                <w:color w:val="auto"/>
              </w:rPr>
              <w:t>If the obligor is an affiliate of the Trustee, describe each such affiliation.</w:t>
            </w:r>
          </w:p>
        </w:tc>
      </w:tr>
      <w:tr>
        <w:trPr>
          <w:trHeight w:val="324"/>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None</w:t>
            </w: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3-15</w:t>
            </w:r>
          </w:p>
        </w:tc>
        <w:tc>
          <w:tcPr>
            <w:tcW w:w="10100" w:type="dxa"/>
            <w:vAlign w:val="bottom"/>
            <w:gridSpan w:val="4"/>
          </w:tcPr>
          <w:p>
            <w:pPr>
              <w:ind w:left="320"/>
              <w:spacing w:after="0"/>
              <w:rPr>
                <w:sz w:val="20"/>
                <w:szCs w:val="20"/>
                <w:color w:val="auto"/>
              </w:rPr>
            </w:pPr>
            <w:r>
              <w:rPr>
                <w:rFonts w:ascii="Times New Roman" w:cs="Times New Roman" w:eastAsia="Times New Roman" w:hAnsi="Times New Roman"/>
                <w:sz w:val="18"/>
                <w:szCs w:val="18"/>
                <w:i w:val="1"/>
                <w:iCs w:val="1"/>
                <w:color w:val="auto"/>
                <w:w w:val="99"/>
              </w:rPr>
              <w:t>Items 3-15 are not applicable because to the best of the Trustee’s knowledge, the obligor is not in default under any Indenture for which</w:t>
            </w:r>
          </w:p>
        </w:tc>
      </w:tr>
      <w:tr>
        <w:trPr>
          <w:trHeight w:val="236"/>
        </w:trPr>
        <w:tc>
          <w:tcPr>
            <w:tcW w:w="1140" w:type="dxa"/>
            <w:vAlign w:val="bottom"/>
          </w:tcPr>
          <w:p>
            <w:pPr>
              <w:spacing w:after="0"/>
              <w:rPr>
                <w:sz w:val="20"/>
                <w:szCs w:val="20"/>
                <w:color w:val="auto"/>
              </w:rPr>
            </w:pPr>
          </w:p>
        </w:tc>
        <w:tc>
          <w:tcPr>
            <w:tcW w:w="10100" w:type="dxa"/>
            <w:vAlign w:val="bottom"/>
            <w:gridSpan w:val="4"/>
          </w:tcPr>
          <w:p>
            <w:pPr>
              <w:ind w:left="320"/>
              <w:spacing w:after="0"/>
              <w:rPr>
                <w:sz w:val="20"/>
                <w:szCs w:val="20"/>
                <w:color w:val="auto"/>
              </w:rPr>
            </w:pPr>
            <w:r>
              <w:rPr>
                <w:rFonts w:ascii="Times New Roman" w:cs="Times New Roman" w:eastAsia="Times New Roman" w:hAnsi="Times New Roman"/>
                <w:sz w:val="18"/>
                <w:szCs w:val="18"/>
                <w:i w:val="1"/>
                <w:iCs w:val="1"/>
                <w:color w:val="auto"/>
              </w:rPr>
              <w:t>the Trustee acts as Trustee.</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1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LIST OF EXHIBITS: </w:t>
            </w:r>
            <w:r>
              <w:rPr>
                <w:rFonts w:ascii="Times New Roman" w:cs="Times New Roman" w:eastAsia="Times New Roman" w:hAnsi="Times New Roman"/>
                <w:sz w:val="18"/>
                <w:szCs w:val="18"/>
                <w:i w:val="1"/>
                <w:iCs w:val="1"/>
                <w:color w:val="auto"/>
              </w:rPr>
              <w:t>List below all exhibits filed as a part of this statement of eligibility and qualification.</w:t>
            </w:r>
          </w:p>
        </w:tc>
      </w:tr>
      <w:tr>
        <w:trPr>
          <w:trHeight w:val="338"/>
        </w:trPr>
        <w:tc>
          <w:tcPr>
            <w:tcW w:w="11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 copy of the Articles of Association of the Trustee, attached as Exhibit 1.</w:t>
            </w:r>
          </w:p>
        </w:tc>
      </w:tr>
      <w:tr>
        <w:trPr>
          <w:trHeight w:val="338"/>
        </w:trPr>
        <w:tc>
          <w:tcPr>
            <w:tcW w:w="11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tc>
      </w:tr>
      <w:tr>
        <w:trPr>
          <w:trHeight w:val="338"/>
        </w:trPr>
        <w:tc>
          <w:tcPr>
            <w:tcW w:w="11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 copy of the authorization of the Trustee to exercise corporate trust powers, included as Exhibit 2.</w:t>
            </w:r>
          </w:p>
        </w:tc>
      </w:tr>
      <w:tr>
        <w:trPr>
          <w:trHeight w:val="338"/>
        </w:trPr>
        <w:tc>
          <w:tcPr>
            <w:tcW w:w="11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 copy of the existing bylaws of the Trustee, attached as Exhibit 4.</w:t>
            </w:r>
          </w:p>
        </w:tc>
      </w:tr>
      <w:tr>
        <w:trPr>
          <w:trHeight w:val="338"/>
        </w:trPr>
        <w:tc>
          <w:tcPr>
            <w:tcW w:w="11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 copy of each Indenture referred to in Item 4. Not applicable.</w:t>
            </w:r>
          </w:p>
        </w:tc>
      </w:tr>
      <w:tr>
        <w:trPr>
          <w:trHeight w:val="338"/>
        </w:trPr>
        <w:tc>
          <w:tcPr>
            <w:tcW w:w="11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tc>
      </w:tr>
      <w:tr>
        <w:trPr>
          <w:trHeight w:val="319"/>
        </w:trPr>
        <w:tc>
          <w:tcPr>
            <w:tcW w:w="11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Report of Condition of the Trustee as of June 30, 2024, published pursuant to law or the requirements of its supervising or</w:t>
            </w:r>
          </w:p>
        </w:tc>
      </w:tr>
      <w:tr>
        <w:trPr>
          <w:trHeight w:val="234"/>
        </w:trPr>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examining authority, attached as Exhibit 7.</w:t>
            </w:r>
          </w:p>
        </w:tc>
      </w:tr>
    </w:tbl>
    <w:p>
      <w:pPr>
        <w:sectPr>
          <w:pgSz w:w="11900" w:h="16838" w:orient="portrait"/>
          <w:cols w:equalWidth="0" w:num="1">
            <w:col w:w="11240"/>
          </w:cols>
          <w:pgMar w:left="320" w:top="257" w:right="339" w:bottom="1440" w:gutter="0" w:footer="0" w:header="0"/>
        </w:sectPr>
      </w:pPr>
    </w:p>
    <w:bookmarkStart w:id="87" w:name="page88"/>
    <w:bookmarkEnd w:id="8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New York, State of New York on the 17th of October, 2024.</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James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James W. Hall</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140"/>
          </w:cols>
          <w:pgMar w:left="320" w:top="266" w:right="43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 S. BANK TRUST COMPANY,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organizing an association (the “Association”) to perform any lawful activities of national banks, the undersigned enter into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title of this Association shall be U. S. Bank Trust Company, National Association.</w:t>
      </w:r>
    </w:p>
    <w:p>
      <w:pPr>
        <w:spacing w:after="0" w:line="22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main office of the Association shall be in the city of Portland, county of Multnomah, state of Oregon. The business of the Association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220"/>
          </w:cols>
          <w:pgMar w:left="320" w:top="266" w:right="359" w:bottom="1440" w:gutter="0" w:footer="0" w:header="0"/>
        </w:sectPr>
      </w:pPr>
    </w:p>
    <w:bookmarkStart w:id="89" w:name="page90"/>
    <w:bookmarkEnd w:id="89"/>
    <w:p>
      <w:pPr>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FOURTH. </w:t>
      </w:r>
      <w:r>
        <w:rPr>
          <w:rFonts w:ascii="Times New Roman" w:cs="Times New Roman" w:eastAsia="Times New Roman" w:hAnsi="Times New Roman"/>
          <w:sz w:val="18"/>
          <w:szCs w:val="18"/>
          <w:color w:val="auto"/>
        </w:rPr>
        <w:t>There shall be an annual meeting of the shareholders to elect directors and transact whatever other business may be brought before the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7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said capital stock may be increased or decreased from time to time, according to the provisions of the laws of the United States. The Association shall have only one class of capital stock.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66" w:right="339" w:bottom="1440" w:gutter="0" w:footer="0" w:header="0"/>
        </w:sectPr>
      </w:pPr>
    </w:p>
    <w:bookmarkStart w:id="90" w:name="page91"/>
    <w:bookmarkEnd w:id="90"/>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SIXTH. </w:t>
      </w:r>
      <w:r>
        <w:rPr>
          <w:rFonts w:ascii="Times New Roman" w:cs="Times New Roman" w:eastAsia="Times New Roman" w:hAnsi="Times New Roman"/>
          <w:sz w:val="17"/>
          <w:szCs w:val="17"/>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131"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60" w:right="680" w:hanging="452"/>
        <w:spacing w:after="0" w:line="282"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employment contracts with its officers and employees upon reasonable terms and conditions consistent with applicable law.</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130"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270" w:right="359" w:bottom="1440" w:gutter="0" w:footer="0" w:header="0"/>
        </w:sectPr>
      </w:pPr>
    </w:p>
    <w:bookmarkStart w:id="91" w:name="page92"/>
    <w:bookmarkEnd w:id="91"/>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 and administer the business and affairs of the Association.</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initial Bylaws, not inconsistent with law or the Articles of Association, for managing the business and regulating the affairs of the Association.</w:t>
      </w:r>
    </w:p>
    <w:p>
      <w:pPr>
        <w:spacing w:after="0" w:line="142" w:lineRule="exact"/>
        <w:rPr>
          <w:rFonts w:ascii="Times New Roman" w:cs="Times New Roman" w:eastAsia="Times New Roman" w:hAnsi="Times New Roman"/>
          <w:sz w:val="17"/>
          <w:szCs w:val="17"/>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the shareholders.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2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board of directors shall have the power to change the location of the main office to any authorized branch within the limits of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The corporate existence of this Association shall continue until termination according to the laws of the United States.</w:t>
      </w:r>
    </w:p>
    <w:p>
      <w:pPr>
        <w:spacing w:after="0" w:line="2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220"/>
          </w:cols>
          <w:pgMar w:left="320" w:top="270" w:right="359"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we have hereunto set our hands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June, 1997.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T. Grubb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D. Sznewajs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Dwight V.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K. Chatterjee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Lane</w:t>
      </w:r>
    </w:p>
    <w:p>
      <w:pPr>
        <w:sectPr>
          <w:pgSz w:w="11900" w:h="16838" w:orient="portrait"/>
          <w:cols w:equalWidth="0" w:num="1">
            <w:col w:w="10139"/>
          </w:cols>
          <w:pgMar w:left="320" w:top="270"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402590" cy="420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40259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Washington, DC 20219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CORPORATE EXISTENCE AND FIDUCIARY POWERS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Hsu, Acting Comptroller of the Currency, do hereby certify that:</w:t>
      </w:r>
    </w:p>
    <w:p>
      <w:pPr>
        <w:spacing w:after="0" w:line="117" w:lineRule="exact"/>
        <w:rPr>
          <w:sz w:val="20"/>
          <w:szCs w:val="20"/>
          <w:color w:val="auto"/>
        </w:rPr>
      </w:pPr>
    </w:p>
    <w:p>
      <w:pPr>
        <w:ind w:right="12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53" w:lineRule="exact"/>
        <w:rPr>
          <w:rFonts w:ascii="Times New Roman" w:cs="Times New Roman" w:eastAsia="Times New Roman" w:hAnsi="Times New Roman"/>
          <w:sz w:val="18"/>
          <w:szCs w:val="18"/>
          <w:color w:val="auto"/>
        </w:rPr>
      </w:pPr>
    </w:p>
    <w:p>
      <w:pPr>
        <w:ind w:right="30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 Trust National Association, “ Wilmington, Delaware (Charter No. 24090), is a national banking Association formed under the laws of the United States and is authorized thereunder to transact the business of banking and exercise fiduciary powers on the date of this certificate.</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TESTIMONY WHEREOF, today, February 20, 2024,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131445</wp:posOffset>
            </wp:positionV>
            <wp:extent cx="2520315" cy="2682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252031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2024-00560-C</w:t>
      </w:r>
    </w:p>
    <w:p>
      <w:pPr>
        <w:sectPr>
          <w:pgSz w:w="11900" w:h="16838" w:orient="portrait"/>
          <w:cols w:equalWidth="0" w:num="1">
            <w:col w:w="11240"/>
          </w:cols>
          <w:pgMar w:left="320" w:top="266"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Meetings of Shareholders</w:t>
      </w:r>
    </w:p>
    <w:p>
      <w:pPr>
        <w:spacing w:after="0" w:line="207"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election to the Board may be made by the Board or by any shareholder.</w:t>
      </w:r>
    </w:p>
    <w:p>
      <w:pPr>
        <w:spacing w:after="0" w:line="225"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2"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11240"/>
          </w:cols>
          <w:pgMar w:left="320" w:top="266" w:right="339" w:bottom="1440" w:gutter="0" w:footer="0" w:header="0"/>
        </w:sectPr>
      </w:pPr>
    </w:p>
    <w:bookmarkStart w:id="95" w:name="page96"/>
    <w:bookmarkEnd w:id="95"/>
    <w:p>
      <w:pPr>
        <w:ind w:right="260"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and Consent</w:t>
      </w:r>
      <w:r>
        <w:rPr>
          <w:rFonts w:ascii="Times New Roman" w:cs="Times New Roman" w:eastAsia="Times New Roman" w:hAnsi="Times New Roman"/>
          <w:sz w:val="18"/>
          <w:szCs w:val="18"/>
          <w:color w:val="auto"/>
        </w:rPr>
        <w:t>. The shareholders may act without notice or a meeting by a unanimous written consent by all shareholders.</w:t>
      </w:r>
    </w:p>
    <w:p>
      <w:pPr>
        <w:spacing w:after="0" w:line="225"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7"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2"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The directors of this Association shall hold office for one year and until their successors are duly elected and qualified, or until their earlier resignation or removal.</w:t>
      </w:r>
    </w:p>
    <w:p>
      <w:pPr>
        <w:spacing w:after="0" w:line="162"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In addition to the foregoing, the Board shall have and may exercise all of the powers granted to or conferred upon it by the Articles of Association, the Bylaws and by law.</w:t>
      </w:r>
    </w:p>
    <w:p>
      <w:pPr>
        <w:spacing w:after="0" w:line="16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ectPr>
          <w:pgSz w:w="11900" w:h="16838" w:orient="portrait"/>
          <w:cols w:equalWidth="0" w:num="1">
            <w:col w:w="11240"/>
          </w:cols>
          <w:pgMar w:left="320" w:top="270" w:right="339" w:bottom="1440" w:gutter="0" w:footer="0" w:header="0"/>
        </w:sectPr>
      </w:pPr>
    </w:p>
    <w:bookmarkStart w:id="96" w:name="page97"/>
    <w:bookmarkEnd w:id="96"/>
    <w:p>
      <w:pPr>
        <w:ind w:right="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6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 Meeting</w:t>
      </w:r>
      <w:r>
        <w:rPr>
          <w:rFonts w:ascii="Times New Roman" w:cs="Times New Roman" w:eastAsia="Times New Roman" w:hAnsi="Times New Roman"/>
          <w:sz w:val="18"/>
          <w:szCs w:val="18"/>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0"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meetings of the Board shall be held, without notice, as the Chairman or President may designate and deem suitable.</w:t>
      </w:r>
    </w:p>
    <w:p>
      <w:pPr>
        <w:spacing w:after="0" w:line="16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83"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Quorum and Necessary Vote</w:t>
      </w:r>
      <w:r>
        <w:rPr>
          <w:rFonts w:ascii="Times New Roman" w:cs="Times New Roman" w:eastAsia="Times New Roman" w:hAnsi="Times New Roman"/>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ectPr>
          <w:pgSz w:w="11900" w:h="16838" w:orient="portrait"/>
          <w:cols w:equalWidth="0" w:num="1">
            <w:col w:w="11240"/>
          </w:cols>
          <w:pgMar w:left="320" w:top="270" w:right="339" w:bottom="1440" w:gutter="0" w:footer="0" w:header="0"/>
        </w:sectPr>
      </w:pPr>
    </w:p>
    <w:bookmarkStart w:id="97" w:name="page98"/>
    <w:bookmarkEnd w:id="97"/>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62"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Advisory Board of Directors</w:t>
      </w:r>
      <w:r>
        <w:rPr>
          <w:rFonts w:ascii="Times New Roman" w:cs="Times New Roman" w:eastAsia="Times New Roman" w:hAnsi="Times New Roman"/>
          <w:sz w:val="18"/>
          <w:szCs w:val="18"/>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Trust Audit Committee</w:t>
      </w:r>
      <w:r>
        <w:rPr>
          <w:rFonts w:ascii="Times New Roman" w:cs="Times New Roman" w:eastAsia="Times New Roman" w:hAnsi="Times New Roman"/>
          <w:sz w:val="18"/>
          <w:szCs w:val="18"/>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ectPr>
          <w:pgSz w:w="11900" w:h="16838" w:orient="portrait"/>
          <w:cols w:equalWidth="0" w:num="1">
            <w:col w:w="11240"/>
          </w:cols>
          <w:pgMar w:left="320" w:top="27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Audit Committee of the financial holding company that is the ultimate parent of this Association, fulfilling the function of the trust audit committee:</w:t>
      </w:r>
    </w:p>
    <w:p>
      <w:pPr>
        <w:spacing w:after="0" w:line="117" w:lineRule="exact"/>
        <w:rPr>
          <w:sz w:val="20"/>
          <w:szCs w:val="20"/>
          <w:color w:val="auto"/>
        </w:rPr>
      </w:pPr>
    </w:p>
    <w:p>
      <w:pPr>
        <w:ind w:left="460" w:right="180" w:hanging="3"/>
        <w:spacing w:after="0" w:line="282" w:lineRule="auto"/>
        <w:tabs>
          <w:tab w:leader="none" w:pos="7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include any officers of the Association or an affiliate who participate significantly in the administration of the Association’s fiduciary activities; and</w:t>
      </w:r>
    </w:p>
    <w:p>
      <w:pPr>
        <w:spacing w:after="0" w:line="53" w:lineRule="exact"/>
        <w:rPr>
          <w:rFonts w:ascii="Times New Roman" w:cs="Times New Roman" w:eastAsia="Times New Roman" w:hAnsi="Times New Roman"/>
          <w:sz w:val="18"/>
          <w:szCs w:val="18"/>
          <w:color w:val="auto"/>
        </w:rPr>
      </w:pPr>
    </w:p>
    <w:p>
      <w:pPr>
        <w:ind w:left="460" w:right="420" w:hanging="3"/>
        <w:spacing w:after="0" w:line="282" w:lineRule="auto"/>
        <w:tabs>
          <w:tab w:leader="none" w:pos="7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consist of a majority of members who are not also members of any committee to which the Board has delegated power to manage and control the fiduciary activities of the Association.</w:t>
      </w:r>
    </w:p>
    <w:p>
      <w:pPr>
        <w:spacing w:after="0" w:line="16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76" w:lineRule="exact"/>
        <w:rPr>
          <w:sz w:val="20"/>
          <w:szCs w:val="20"/>
          <w:color w:val="auto"/>
        </w:rPr>
      </w:pPr>
    </w:p>
    <w:p>
      <w:pPr>
        <w:jc w:val="both"/>
        <w:ind w:right="20" w:firstLine="449"/>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Trust Management Committee</w:t>
      </w:r>
      <w:r>
        <w:rPr>
          <w:rFonts w:ascii="Times New Roman" w:cs="Times New Roman" w:eastAsia="Times New Roman" w:hAnsi="Times New Roman"/>
          <w:sz w:val="18"/>
          <w:szCs w:val="18"/>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87"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Meetings, Minutes and Rules</w:t>
      </w:r>
      <w:r>
        <w:rPr>
          <w:rFonts w:ascii="Times New Roman" w:cs="Times New Roman" w:eastAsia="Times New Roman" w:hAnsi="Times New Roman"/>
          <w:sz w:val="18"/>
          <w:szCs w:val="18"/>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ectPr>
          <w:pgSz w:w="11900" w:h="16838" w:orient="portrait"/>
          <w:cols w:equalWidth="0" w:num="1">
            <w:col w:w="11180"/>
          </w:cols>
          <w:pgMar w:left="320" w:top="270" w:right="39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0" w:lineRule="exact"/>
        <w:rPr>
          <w:sz w:val="20"/>
          <w:szCs w:val="20"/>
          <w:color w:val="auto"/>
        </w:rPr>
      </w:pPr>
    </w:p>
    <w:p>
      <w:pPr>
        <w:jc w:val="both"/>
        <w:ind w:right="20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ectPr>
          <w:pgSz w:w="11900" w:h="16838" w:orient="portrait"/>
          <w:cols w:equalWidth="0" w:num="1">
            <w:col w:w="11220"/>
          </w:cols>
          <w:pgMar w:left="320" w:top="270" w:right="359" w:bottom="1440" w:gutter="0" w:footer="0" w:header="0"/>
        </w:sectPr>
      </w:pPr>
    </w:p>
    <w:bookmarkStart w:id="100" w:name="page101"/>
    <w:bookmarkEnd w:id="100"/>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Tenure of Office</w:t>
      </w:r>
      <w:r>
        <w:rPr>
          <w:rFonts w:ascii="Times New Roman" w:cs="Times New Roman" w:eastAsia="Times New Roman" w:hAnsi="Times New Roman"/>
          <w:sz w:val="18"/>
          <w:szCs w:val="18"/>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7"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200" w:lineRule="exact"/>
        <w:rPr>
          <w:sz w:val="20"/>
          <w:szCs w:val="20"/>
          <w:color w:val="auto"/>
        </w:rPr>
      </w:pPr>
    </w:p>
    <w:p>
      <w:pPr>
        <w:spacing w:after="0" w:line="20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207" w:lineRule="exact"/>
        <w:rPr>
          <w:sz w:val="20"/>
          <w:szCs w:val="20"/>
          <w:color w:val="auto"/>
        </w:rPr>
      </w:pPr>
    </w:p>
    <w:p>
      <w:pPr>
        <w:jc w:val="both"/>
        <w:ind w:right="240" w:firstLine="449"/>
        <w:spacing w:after="0" w:line="266" w:lineRule="auto"/>
        <w:rPr>
          <w:sz w:val="20"/>
          <w:szCs w:val="20"/>
          <w:color w:val="auto"/>
        </w:rPr>
      </w:pPr>
      <w:r>
        <w:rPr>
          <w:rFonts w:ascii="Times New Roman" w:cs="Times New Roman" w:eastAsia="Times New Roman" w:hAnsi="Times New Roman"/>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ectPr>
          <w:pgSz w:w="11900" w:h="16838" w:orient="portrait"/>
          <w:cols w:equalWidth="0" w:num="1">
            <w:col w:w="11220"/>
          </w:cols>
          <w:pgMar w:left="320" w:top="270" w:right="35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9" w:lineRule="exact"/>
        <w:rPr>
          <w:sz w:val="20"/>
          <w:szCs w:val="20"/>
          <w:color w:val="auto"/>
        </w:rPr>
      </w:pPr>
    </w:p>
    <w:p>
      <w:pPr>
        <w:jc w:val="both"/>
        <w:ind w:right="28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76"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Trust Files</w:t>
      </w:r>
      <w:r>
        <w:rPr>
          <w:rFonts w:ascii="Times New Roman" w:cs="Times New Roman" w:eastAsia="Times New Roman" w:hAnsi="Times New Roman"/>
          <w:sz w:val="18"/>
          <w:szCs w:val="18"/>
          <w:color w:val="auto"/>
        </w:rPr>
        <w:t>. There shall be maintained in the Association files all fiduciary records necessary to assure that its fiduciary responsibilities have been properly undertaken and discharged.</w:t>
      </w:r>
    </w:p>
    <w:p>
      <w:pPr>
        <w:spacing w:after="0" w:line="162" w:lineRule="exact"/>
        <w:rPr>
          <w:sz w:val="20"/>
          <w:szCs w:val="20"/>
          <w:color w:val="auto"/>
        </w:rPr>
      </w:pPr>
    </w:p>
    <w:p>
      <w:pPr>
        <w:ind w:firstLine="449"/>
        <w:spacing w:after="0" w:line="289" w:lineRule="auto"/>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u w:val="single" w:color="auto"/>
          <w:color w:val="auto"/>
        </w:rPr>
        <w:t>Trust Investments</w:t>
      </w:r>
      <w:r>
        <w:rPr>
          <w:rFonts w:ascii="Times New Roman" w:cs="Times New Roman" w:eastAsia="Times New Roman" w:hAnsi="Times New Roman"/>
          <w:sz w:val="17"/>
          <w:szCs w:val="17"/>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58"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Except where specified otherwise in these Bylaws, prior notice shall be proper if given not more than 30 days nor less than 10 days prior to the event for which notice is given.</w:t>
      </w:r>
    </w:p>
    <w:p>
      <w:pPr>
        <w:sectPr>
          <w:pgSz w:w="11900" w:h="16838" w:orient="portrait"/>
          <w:cols w:equalWidth="0" w:num="1">
            <w:col w:w="11200"/>
          </w:cols>
          <w:pgMar w:left="320" w:top="270" w:right="379" w:bottom="1440" w:gutter="0" w:footer="0" w:header="0"/>
        </w:sectPr>
      </w:pPr>
    </w:p>
    <w:bookmarkStart w:id="102" w:name="page103"/>
    <w:bookmarkEnd w:id="102"/>
    <w:p>
      <w:pPr>
        <w:ind w:left="50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Bylaws: Interpretation and Amendment</w:t>
      </w:r>
    </w:p>
    <w:p>
      <w:pPr>
        <w:spacing w:after="0" w:line="207"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6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ectPr>
          <w:pgSz w:w="11900" w:h="16838" w:orient="portrait"/>
          <w:cols w:equalWidth="0" w:num="1">
            <w:col w:w="11080"/>
          </w:cols>
          <w:pgMar w:left="320" w:top="270" w:right="4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Association shall begin on the first day of January in each year and shall end on the thirty-first day of December following.</w:t>
      </w:r>
    </w:p>
    <w:p>
      <w:pPr>
        <w:spacing w:after="0" w:line="162" w:lineRule="exact"/>
        <w:rPr>
          <w:sz w:val="20"/>
          <w:szCs w:val="20"/>
          <w:color w:val="auto"/>
        </w:rPr>
      </w:pPr>
    </w:p>
    <w:p>
      <w:pPr>
        <w:ind w:right="160" w:firstLine="449"/>
        <w:spacing w:after="0" w:line="312"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2021)</w:t>
      </w:r>
    </w:p>
    <w:p>
      <w:pPr>
        <w:sectPr>
          <w:pgSz w:w="11900" w:h="16838" w:orient="portrait"/>
          <w:cols w:equalWidth="0" w:num="1">
            <w:col w:w="11240"/>
          </w:cols>
          <w:pgMar w:left="320" w:top="270" w:right="339" w:bottom="1440" w:gutter="0" w:footer="0" w:header="0"/>
        </w:sectPr>
      </w:pPr>
    </w:p>
    <w:bookmarkStart w:id="104" w:name="page105"/>
    <w:bookmarkEnd w:id="104"/>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6</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17, 2024</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James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James W. Hall</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0940"/>
          </w:cols>
          <w:pgMar w:left="320" w:top="266" w:right="6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6/30/2024</w:t>
      </w: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500" w:type="dxa"/>
            <w:vAlign w:val="bottom"/>
            <w:gridSpan w:val="2"/>
          </w:tcPr>
          <w:p>
            <w:pPr>
              <w:jc w:val="right"/>
              <w:ind w:right="2720"/>
              <w:spacing w:after="0"/>
              <w:rPr>
                <w:sz w:val="20"/>
                <w:szCs w:val="20"/>
                <w:color w:val="auto"/>
              </w:rPr>
            </w:pPr>
            <w:r>
              <w:rPr>
                <w:rFonts w:ascii="Times New Roman" w:cs="Times New Roman" w:eastAsia="Times New Roman" w:hAnsi="Times New Roman"/>
                <w:sz w:val="18"/>
                <w:szCs w:val="18"/>
                <w:b w:val="1"/>
                <w:bCs w:val="1"/>
                <w:color w:val="auto"/>
              </w:rPr>
              <w:t>($000’s)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6/30/2024</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Balances Due From</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1,420,557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Depository Institutions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Funds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577,338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153,812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2,157,264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 Funds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Demand Notes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Trading Liabilities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Borrowed Money</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Acceptances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215,138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215,138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Surplus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1,171,635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Undivided Profits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770,291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1,942,126</w:t>
            </w:r>
          </w:p>
        </w:tc>
        <w:tc>
          <w:tcPr>
            <w:tcW w:w="4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2,157,264</w:t>
            </w:r>
          </w:p>
        </w:tc>
        <w:tc>
          <w:tcPr>
            <w:tcW w:w="40" w:type="dxa"/>
            <w:vAlign w:val="bottom"/>
          </w:tcPr>
          <w:p>
            <w:pPr>
              <w:spacing w:after="0"/>
              <w:rPr>
                <w:sz w:val="20"/>
                <w:szCs w:val="20"/>
                <w:color w:val="auto"/>
              </w:rPr>
            </w:pPr>
          </w:p>
        </w:tc>
      </w:tr>
    </w:tbl>
    <w:p>
      <w:pPr>
        <w:sectPr>
          <w:pgSz w:w="11900" w:h="16838" w:orient="portrait"/>
          <w:cols w:equalWidth="0" w:num="1">
            <w:col w:w="9019"/>
          </w:cols>
          <w:pgMar w:left="1440" w:top="266"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(17)(b)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w:t>
      </w:r>
    </w:p>
    <w:p>
      <w:pPr>
        <w:spacing w:after="0" w:line="225" w:lineRule="exact"/>
        <w:rPr>
          <w:sz w:val="20"/>
          <w:szCs w:val="20"/>
          <w:color w:val="auto"/>
        </w:rPr>
      </w:pPr>
    </w:p>
    <w:p>
      <w:pPr>
        <w:ind w:left="2380" w:right="2360"/>
        <w:spacing w:after="0" w:line="317" w:lineRule="auto"/>
        <w:rPr>
          <w:sz w:val="20"/>
          <w:szCs w:val="20"/>
          <w:color w:val="auto"/>
        </w:rPr>
      </w:pPr>
      <w:r>
        <w:rPr>
          <w:rFonts w:ascii="Times New Roman" w:cs="Times New Roman" w:eastAsia="Times New Roman" w:hAnsi="Times New Roman"/>
          <w:sz w:val="17"/>
          <w:szCs w:val="17"/>
          <w:b w:val="1"/>
          <w:bCs w:val="1"/>
          <w:color w:val="auto"/>
        </w:rPr>
        <w:t>$750,000,000 AGGREGATE PRINCIPAL AMOUNT OF 6.500% NOTES DUE 2029 $600,000,000 AGGREGATE PRINCIPAL AMOUNT OF 5.750% NOTES DUE 2030</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ind w:left="2380" w:right="2360" w:firstLine="5"/>
        <w:spacing w:after="0" w:line="317" w:lineRule="auto"/>
        <w:rPr>
          <w:sz w:val="20"/>
          <w:szCs w:val="20"/>
          <w:color w:val="auto"/>
        </w:rPr>
      </w:pPr>
      <w:r>
        <w:rPr>
          <w:rFonts w:ascii="Times New Roman" w:cs="Times New Roman" w:eastAsia="Times New Roman" w:hAnsi="Times New Roman"/>
          <w:sz w:val="17"/>
          <w:szCs w:val="17"/>
          <w:b w:val="1"/>
          <w:bCs w:val="1"/>
          <w:color w:val="auto"/>
        </w:rPr>
        <w:t>$750,000,000 AGGREGATE PRINCIPAL AMOUNT OF 6.500% NOTES DUE 2029 $600,000,000 AGGREGATE PRINCIPAL AMOUNT OF 5.750% NOTES DUE 2030</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THAT HAVE BEEN REGISTERED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 AS AMENDED</w:t>
      </w:r>
    </w:p>
    <w:p>
      <w:pPr>
        <w:spacing w:after="0" w:line="203" w:lineRule="exact"/>
        <w:rPr>
          <w:sz w:val="20"/>
          <w:szCs w:val="20"/>
          <w:color w:val="auto"/>
        </w:rPr>
      </w:pPr>
    </w:p>
    <w:p>
      <w:pPr>
        <w:jc w:val="center"/>
        <w:ind w:left="340"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EXCHANGE OFFER WILL EXPIRE AT 11:59 P.M., NEW YORK CITY TIME, ON            , 2024, UNLESS EXTENDED (SUCH TIME AND DATE, OR THE LATEST TIME AND DATE TO WHICH THE EXCHANGE OFFER HAS BEEN EXTENDED, THE “EXPIRATION DATE”). TENDERS OF NOTES MAY BE WITHDRAWN AT ANY TIME AT OR PRIOR TO THE EXPIRATION DATE.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Exchange Agent for the Exchange Offer is: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Actions</w:t>
      </w:r>
    </w:p>
    <w:p>
      <w:pPr>
        <w:spacing w:after="0" w:line="9" w:lineRule="exact"/>
        <w:rPr>
          <w:sz w:val="20"/>
          <w:szCs w:val="20"/>
          <w:color w:val="auto"/>
        </w:rPr>
      </w:pPr>
    </w:p>
    <w:p>
      <w:pPr>
        <w:ind w:left="4700" w:right="4680" w:firstLine="173"/>
        <w:spacing w:after="0" w:line="250" w:lineRule="auto"/>
        <w:tabs>
          <w:tab w:leader="none" w:pos="51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Fillmore Avenue St. Paul, MN 55107-1402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(800) 934-6802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cts.specfinance@usbank.com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Facsimile: (651) 466-7367</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acknowledges that he or she has received the prospectus, dated        , 2024 (the “Prospectus”), of Sixth Street Lending Partners, a Delaware statutory trust (the “Company”), and this Letter of Transmittal (the “Letter of Transmittal”), which together constitute the Company’s offer to exchange (the “Exchange Offer”) an aggregate principal amount of up to $750,000,000 of the Company’s outstanding 6.500% Notes due 2029 (the “6.500% Restricted Notes”) and an aggregate principal amount of up to $600,000,000 of the Company’s 5.750% Notes due 2030 (the “5.750% Restricted Notes” and, together with the 6.500% Restricted Notes, the “Restricted Notes”) for an aggregate principal amount of up to $750,000,000 of the Company’s outstanding 6.500% Notes due 2029 (the “6.500% Exchange Notes”) and an aggregate principal amount of up to $600,000,000 of the Company’s outstanding 5.750% Notes due 2030 (the “5.750% Exchange Notes” and, together with the 6.500% Exchange Notes, the “Exchange Notes”), respectively, that have been registered under the Securities Act of 1933, as amended (the “1933 Act”).</w:t>
      </w:r>
    </w:p>
    <w:p>
      <w:pPr>
        <w:spacing w:after="0" w:line="192"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The terms of the Exchange Notes are substantially identical to the terms (including principal amount, interest rate and maturity) of the Restricted Notes except that the Exchange Notes have been registered under the 1933 Act and, therefore, are freely transferable. For each Restricted Note accepted for exchange, the holder of such Restricted Note will receive an Exchange Note having a principal amount equal to that of the surrendered Restricted Note.</w:t>
      </w:r>
    </w:p>
    <w:p>
      <w:pPr>
        <w:spacing w:after="0" w:line="15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Capitalized terms used herein but not defined herein shall have the same meanings given to them in the Prospectus. The Exchange Offer is subject to all of the terms and conditions set forth in the Prospectus. In the event of any conflict between the Letter of Transmittal and the Prospectus, the Prospectus shall govern.</w:t>
      </w:r>
    </w:p>
    <w:p>
      <w:pPr>
        <w:sectPr>
          <w:pgSz w:w="11900" w:h="16838" w:orient="portrait"/>
          <w:cols w:equalWidth="0" w:num="1">
            <w:col w:w="11240"/>
          </w:cols>
          <w:pgMar w:left="320" w:top="117" w:right="339" w:bottom="1440" w:gutter="0" w:footer="0" w:header="0"/>
        </w:sectPr>
      </w:pPr>
    </w:p>
    <w:bookmarkStart w:id="107" w:name="page108"/>
    <w:bookmarkEnd w:id="10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reserves the right to extend the Exchange Offer at its discretion, in which case the term “Expiration Date” shall mean the latest time and date to which the Exchange Offer is extended. If the Company extends the Exchange Offer, it will give oral (any such oral notice to be promptly confirmed in writing) or written notice of the extension to the Exchange Agent and give each registered holder of Restricted Notes notice by means of a press release or other public announcement of any extension prior to 9:00 a.m., New York City time, on the next business day after the scheduled expiration date.</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Restricted Notes are represented by global securities in fully registered form without coupons. Beneficial interest in the Restricted Notes are held by direct or indirect participants in The Depository Trust Company (“DTC”) through certificateless depository interests and are shown on, and transfers of the Restricted Notes can be made only through, records maintained in book-entry form by DTC with respect to its participants. Accordingly, tenders of Restricted Notes in the Exchange Offer may only be made using the Automated Tender Offer Program (“ATOP”) of DTC pursuant to the procedures set forth in the Prospectus under the caption “The Exchange Offer – Procedures For Tendering Restricted Notes.” If you wish to exchange your Restricted Notes for Exchange Notes pursuant to Exchange Offer, you must transmit to the Exchange Agent, prior to the expiration of the Exchange Offer, a computer-generated message transmitted through DTC’s ATOP system and received by the Exchange Agent and forming a part of a confirmation of book-entry transfer in which you acknowledge and agree to be bound by the terms of this Letter of Transmittal.</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By using the ATOP procedures to tender the Restricted Notes, you will not be required to deliver this Letter of Transmittal to the Exchange Agent. However, you will be bound by its terms, and you will be deemed to have made the acknowledgements and the representations and warranties set forth herein.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PLEASE READ THIS ENTIRE LETTER OF TRANSMITTAL AND THE PROSPECTUS CAREFULLY. THE INSTRUCTIONS INCLUDED IN THIS LETTER OF TRANSMITTAL MUST BE FOLLOWED. QUESTIONS AND REQUESTS FOR ASSISTANCE OR FOR ADDITIONAL COPIES OF THE PROSPECTUS AND THIS LETTER OF TRANSMITTAL MAY BE DIRECTED TO THE EXCHANGE AGENT.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270" w:right="379" w:bottom="1440" w:gutter="0" w:footer="0" w:header="0"/>
        </w:sectPr>
      </w:pPr>
    </w:p>
    <w:bookmarkStart w:id="108" w:name="page109"/>
    <w:bookmarkEnd w:id="10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READ THE ACCOMPANYING INSTRUCTIONS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Exchange Offer, the undersigned hereby tenders to the Company the aggregate principal amount of Restricted Notes credited by the tendering holder to the Exchange Agent’s account at DTC using ATOP. Subject to, and effective upon, the acceptance for exchange of the Restricted Notes tendered hereby, the undersigned hereby sells, assigns and transfers to, or upon the order of, the Company all right, title and interest in and to such Restricted Notes as are being tendered hereby.</w:t>
      </w:r>
    </w:p>
    <w:p>
      <w:pPr>
        <w:spacing w:after="0" w:line="1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undersigned hereby represents that the undersigned has full power and authority to tender, sell, assign and transfer the Restricted Notes tendered hereby and that the Company will acquire good and unencumbered title thereto, free and clear of all liens, restrictions, charges and encumbrances and not subject to any adverse claim when the same are accepted by the Company. The undersigned further represents that: (i) any Exchange Notes acquired by the undersigned pursuant to the Exchange Offer are being acquired in the ordinary course of the undersigned’s business, (ii) the undersigned is not engaging in and does not intend to engage in a distribution (within the meaning of the 1933 Act) of the Exchange Notes, (iii) the undersigned does not have an arrangement or understanding with any person or entity to participate in the distribution (within the meaning of the 1933 Act) of the Exchange Notes,</w:t>
      </w:r>
    </w:p>
    <w:p>
      <w:pPr>
        <w:spacing w:after="0" w:line="5"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an “affiliate” of the Company, as defined under Rule 405 under the 1933 Act, (v) the undersigned is not a broker-dealer</w:t>
      </w:r>
    </w:p>
    <w:p>
      <w:pPr>
        <w:spacing w:after="0" w:line="9" w:lineRule="exact"/>
        <w:rPr>
          <w:rFonts w:ascii="Times New Roman" w:cs="Times New Roman" w:eastAsia="Times New Roman" w:hAnsi="Times New Roman"/>
          <w:sz w:val="18"/>
          <w:szCs w:val="18"/>
          <w:color w:val="auto"/>
        </w:rPr>
      </w:pPr>
    </w:p>
    <w:p>
      <w:pPr>
        <w:ind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Restricted Notes acquired directly from the Company for its own account, and (vi) the undersigned is not acting on behalf of any person that could not truthfully make these representations.</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the undersigned is a broker-dealer that will receive Exchange Notes for its own account in exchange for Restricted Notes, where the Restricted Notes were acquired by such broker-dealer as a result of market-making activities or other trading activities, it acknowledges that it will comply with the prospectus delivery requirements of the 1933 Act in connection with any sale or other transfer of the Exchange Notes received in the Exchange Offer. However, by so acknowledging and by delivering a prospectus, the undersigned will not be deemed to admit that it is an “underwriter” within the meaning of the 1933 Act.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undersigned hereby irrevocably constitutes and appoints the Exchange Agent as the true and lawful agent and attorney-in-fact of the undersigned with respect to the tendered Restricted Notes, with full power of substitution (such power of attorney being deemed to be an irrevocable power coupled with an interest), to assign, transfer and deliver the Restricted Notes, or cause the Restricted Notes to be assigned, transferred and delivered to the Company, and to deliver all accompanying evidences of transfer and authenticity, and present such Restricted Notes for transfer on the books of the registrar for the Restricted Notes, and to receive all benefits and otherwise exercise all rights of beneficial ownership of the tendered Restricted Notes, all in accordance with the terms of the Exchange Offer.</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undersigned will, upon request, execute and deliver any additional documents deemed by the Company to be necessary or desirable to complete the sale, assignment and transfer of the Restricted Notes tendered hereby. All authority conferred or agreed to be conferred in this Letter of Transmittal and every obligation of the undersigned hereunder shall be binding upon the successors, assigns, heirs, personal representatives, executors, administrators, trustees in bankruptcy and other legal representatives of the undersigned and shall not be affected by, and shall survive, the death or incapacity of the undersigned. This tender may be withdrawn only in accordance with the procedures set forth in “The Exchange Offer—Withdrawal Rights” section of the Prospectus.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By crediting the Restricted Notes to the Exchange Agent’s account at DTC using ATOP and by complying with the applicable ATOP procedures with respect to the Exchange Offer, the participant in DTC confirms on behalf of itself and the beneficial owners of such Restricted Notes all provisions of this Letter of Transmittal (including all representations of warranties) applicable to it and such beneficial owners as fully as if it had completed the information required herein and executed and transmitted this Letter of Transmittal to the Exchange Agent.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20" w:top="266" w:right="399" w:bottom="1440" w:gutter="0" w:footer="0" w:header="0"/>
        </w:sectPr>
      </w:pPr>
    </w:p>
    <w:bookmarkStart w:id="109" w:name="page110"/>
    <w:bookmarkEnd w:id="10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acknowledges that the Exchange Notes will be issued in full exchange for the Restricted Notes in the Exchange Offer, if consummated, and will be delivered in book-entry form by credit to the account of the applicable participant at DTC.</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320" w:top="270" w:right="599" w:bottom="1440" w:gutter="0" w:footer="0" w:header="0"/>
        </w:sectPr>
      </w:pPr>
    </w:p>
    <w:bookmarkStart w:id="110" w:name="page111"/>
    <w:bookmarkEnd w:id="11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 TO LETTER OF TRANSMITTAL</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EXCHANGE OFFER</w:t>
      </w:r>
    </w:p>
    <w:p>
      <w:pPr>
        <w:spacing w:after="0" w:line="117" w:lineRule="exact"/>
        <w:rPr>
          <w:sz w:val="20"/>
          <w:szCs w:val="20"/>
          <w:color w:val="auto"/>
        </w:rPr>
      </w:pPr>
    </w:p>
    <w:p>
      <w:pPr>
        <w:ind w:left="-8" w:right="100" w:firstLine="8"/>
        <w:spacing w:after="0" w:line="262" w:lineRule="auto"/>
        <w:tabs>
          <w:tab w:leader="none" w:pos="17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Procedures for Tendering; Beneficial Holders. </w:t>
      </w:r>
      <w:r>
        <w:rPr>
          <w:rFonts w:ascii="Times New Roman" w:cs="Times New Roman" w:eastAsia="Times New Roman" w:hAnsi="Times New Roman"/>
          <w:sz w:val="18"/>
          <w:szCs w:val="18"/>
          <w:color w:val="auto"/>
        </w:rPr>
        <w:t>Restricted Notes may be tendered in the Exchange Offer only through DTC’s ATOP system. If you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beneficial owner of Restricted Notes that are held in the name of a broker, dealer, commercial bank, trust company, other financial institution or other nominee, and you wish to tender your Restricted Notes in the Exchange Offer, you should promptly contact the person in whose name your Restricted Notes are held and instruct that person to tender on your behalf.</w:t>
      </w:r>
    </w:p>
    <w:p>
      <w:pPr>
        <w:spacing w:after="0" w:line="68"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Partial Tenders. </w:t>
      </w:r>
      <w:r>
        <w:rPr>
          <w:rFonts w:ascii="Times New Roman" w:cs="Times New Roman" w:eastAsia="Times New Roman" w:hAnsi="Times New Roman"/>
          <w:sz w:val="18"/>
          <w:szCs w:val="18"/>
          <w:color w:val="auto"/>
        </w:rPr>
        <w:t>Tenders of Restricted Notes will be accepted only in denominations of $2,000 and integral multiples of $1,000 in excess thereof.</w:t>
      </w:r>
    </w:p>
    <w:p>
      <w:pPr>
        <w:spacing w:after="0" w:line="117"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Conditional Tenders. </w:t>
      </w:r>
      <w:r>
        <w:rPr>
          <w:rFonts w:ascii="Times New Roman" w:cs="Times New Roman" w:eastAsia="Times New Roman" w:hAnsi="Times New Roman"/>
          <w:sz w:val="18"/>
          <w:szCs w:val="18"/>
          <w:color w:val="auto"/>
        </w:rPr>
        <w:t>No alternative, conditional, irregular or contingent tender or transmittal of this Letter of Transmittal will be accepted.</w:t>
      </w:r>
    </w:p>
    <w:p>
      <w:pPr>
        <w:spacing w:after="0" w:line="117" w:lineRule="exact"/>
        <w:rPr>
          <w:rFonts w:ascii="Times New Roman" w:cs="Times New Roman" w:eastAsia="Times New Roman" w:hAnsi="Times New Roman"/>
          <w:sz w:val="18"/>
          <w:szCs w:val="18"/>
          <w:b w:val="1"/>
          <w:bCs w:val="1"/>
          <w:color w:val="auto"/>
        </w:rPr>
      </w:pPr>
    </w:p>
    <w:p>
      <w:pPr>
        <w:ind w:left="-8" w:firstLine="8"/>
        <w:spacing w:after="0" w:line="253" w:lineRule="auto"/>
        <w:tabs>
          <w:tab w:leader="none" w:pos="17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Validity of Tenders. </w:t>
      </w:r>
      <w:r>
        <w:rPr>
          <w:rFonts w:ascii="Times New Roman" w:cs="Times New Roman" w:eastAsia="Times New Roman" w:hAnsi="Times New Roman"/>
          <w:sz w:val="18"/>
          <w:szCs w:val="18"/>
          <w:color w:val="auto"/>
        </w:rPr>
        <w:t>All questions as to the validity, form, eligibility (including time of receipt), acceptance and withdrawal of tendered Restricted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determined by the Company, which determination will be final and binding. The Company reserves the absolute right to reject any and all tenders of Restricted Notes not in proper form or the acceptance of which for exchange may, in the opinion of the Company’s counsel, be unlawful. The Company also reserves the absolute right to waive any conditions of the Exchange Offer or any defect or irregularity in the tender of Restricted Notes. The interpretation of the terms and conditions of the Exchange Offer (including this Letter of Transmittal and the instructions hereto) by the Company shall be final and binding on all parties. Unless waived, any defects or irregularities in connection with tenders of Restricted Notes must be cured within such time as the Company shall determine. Neither the Company, nor the Exchange Agent, nor any other person shall be under any duty to give notification of defects or irregularities to holders of Restricted Notes or incur any liability for failure to give such notification. Tenders of Restricted Notes will not be deemed to have been made until such defects or irregularities have been cured or waived. Any Restricted Notes received by the Exchange Agent that are not properly tendered and as to which the defects or irregularities have not been cured or waived, or if Restricted Notes are submitted in principal amount greater than the principal amount of Restricted Notes being tendered, such unaccepted or non-exchanged Restricted Notes will be returned by the Exchange Agent to the tendering holders by credit to the DTC accounts of the applicable DTC participants, as soon as practicable following the Expiration Date.</w:t>
      </w:r>
    </w:p>
    <w:p>
      <w:pPr>
        <w:spacing w:after="0" w:line="81" w:lineRule="exact"/>
        <w:rPr>
          <w:rFonts w:ascii="Times New Roman" w:cs="Times New Roman" w:eastAsia="Times New Roman" w:hAnsi="Times New Roman"/>
          <w:sz w:val="18"/>
          <w:szCs w:val="18"/>
          <w:b w:val="1"/>
          <w:bCs w:val="1"/>
          <w:color w:val="auto"/>
        </w:rPr>
      </w:pPr>
    </w:p>
    <w:p>
      <w:pPr>
        <w:ind w:left="-8" w:right="540" w:firstLine="8"/>
        <w:spacing w:after="0" w:line="286" w:lineRule="auto"/>
        <w:tabs>
          <w:tab w:leader="none" w:pos="169"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Conditions. </w:t>
      </w:r>
      <w:r>
        <w:rPr>
          <w:rFonts w:ascii="Times New Roman" w:cs="Times New Roman" w:eastAsia="Times New Roman" w:hAnsi="Times New Roman"/>
          <w:sz w:val="18"/>
          <w:szCs w:val="18"/>
          <w:color w:val="auto"/>
        </w:rPr>
        <w:t>The Company reserved the absolute right to waive any of the conditions in the Exchange Offer in the case of any tendered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Notes.</w:t>
      </w:r>
    </w:p>
    <w:p>
      <w:pPr>
        <w:spacing w:after="0" w:line="46" w:lineRule="exact"/>
        <w:rPr>
          <w:rFonts w:ascii="Times New Roman" w:cs="Times New Roman" w:eastAsia="Times New Roman" w:hAnsi="Times New Roman"/>
          <w:sz w:val="18"/>
          <w:szCs w:val="18"/>
          <w:b w:val="1"/>
          <w:bCs w:val="1"/>
          <w:color w:val="auto"/>
        </w:rPr>
      </w:pPr>
    </w:p>
    <w:p>
      <w:pPr>
        <w:jc w:val="both"/>
        <w:ind w:left="-8" w:right="100" w:firstLine="8"/>
        <w:spacing w:after="0" w:line="268" w:lineRule="auto"/>
        <w:tabs>
          <w:tab w:leader="none" w:pos="17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Requests for Assistance or Additional Copies. </w:t>
      </w:r>
      <w:r>
        <w:rPr>
          <w:rFonts w:ascii="Times New Roman" w:cs="Times New Roman" w:eastAsia="Times New Roman" w:hAnsi="Times New Roman"/>
          <w:sz w:val="18"/>
          <w:szCs w:val="18"/>
          <w:color w:val="auto"/>
        </w:rPr>
        <w:t>Questions and requests for assistance and requests for additional copies of the Prospectus or this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Transmittal may be directed to the Exchange Agent at the address and telephone number indicated herein. Holders may also contact their broker, dealer, commercial bank, trust company or other nominee for assistance concerning the Exchange Offer.</w:t>
      </w:r>
    </w:p>
    <w:p>
      <w:pPr>
        <w:spacing w:after="0" w:line="1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32"/>
          </w:cols>
          <w:pgMar w:left="328" w:top="26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(18)</w:t>
      </w:r>
    </w:p>
    <w:p>
      <w:pPr>
        <w:spacing w:after="0" w:line="200" w:lineRule="exact"/>
        <w:rPr>
          <w:sz w:val="20"/>
          <w:szCs w:val="20"/>
          <w:color w:val="auto"/>
        </w:rPr>
      </w:pPr>
    </w:p>
    <w:p>
      <w:pPr>
        <w:spacing w:after="0" w:line="24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FEE TABLE FOR</w:t>
      </w:r>
    </w:p>
    <w:p>
      <w:pPr>
        <w:spacing w:after="0" w:line="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FORM N-14</w:t>
      </w:r>
    </w:p>
    <w:p>
      <w:pPr>
        <w:spacing w:after="0" w:line="203"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N-148C</w:t>
      </w:r>
    </w:p>
    <w:p>
      <w:pPr>
        <w:spacing w:after="0" w:line="2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(Exact Name of Registrant as Specified in Governing Instruments)</w:t>
      </w:r>
    </w:p>
    <w:p>
      <w:pPr>
        <w:spacing w:after="0" w:line="2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440" w:type="dxa"/>
            <w:vAlign w:val="bottom"/>
            <w:tcBorders>
              <w:top w:val="single" w:sz="8" w:color="auto"/>
              <w:left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11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4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2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1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60" w:type="dxa"/>
            <w:vAlign w:val="bottom"/>
            <w:tcBorders>
              <w:right w:val="single" w:sz="8" w:color="auto"/>
            </w:tcBorders>
          </w:tcPr>
          <w:p>
            <w:pPr>
              <w:jc w:val="center"/>
              <w:ind w:left="7"/>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4"/>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66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3"/>
                <w:szCs w:val="13"/>
                <w:color w:val="auto"/>
                <w:w w:val="94"/>
              </w:rPr>
              <w:t>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Price (1)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Fee(1)</w:t>
            </w:r>
          </w:p>
        </w:tc>
        <w:tc>
          <w:tcPr>
            <w:tcW w:w="0" w:type="dxa"/>
            <w:vAlign w:val="bottom"/>
          </w:tcPr>
          <w:p>
            <w:pPr>
              <w:spacing w:after="0"/>
              <w:rPr>
                <w:sz w:val="1"/>
                <w:szCs w:val="1"/>
                <w:color w:val="auto"/>
              </w:rPr>
            </w:pPr>
          </w:p>
        </w:tc>
      </w:tr>
      <w:tr>
        <w:trPr>
          <w:trHeight w:val="206"/>
        </w:trPr>
        <w:tc>
          <w:tcPr>
            <w:tcW w:w="1440" w:type="dxa"/>
            <w:vAlign w:val="bottom"/>
            <w:tcBorders>
              <w:left w:val="single" w:sz="8" w:color="auto"/>
              <w:right w:val="single" w:sz="8" w:color="auto"/>
            </w:tcBorders>
          </w:tcPr>
          <w:p>
            <w:pPr>
              <w:jc w:val="center"/>
              <w:ind w:left="30"/>
              <w:spacing w:after="0" w:line="206" w:lineRule="exact"/>
              <w:rPr>
                <w:sz w:val="20"/>
                <w:szCs w:val="20"/>
                <w:color w:val="auto"/>
              </w:rPr>
            </w:pPr>
            <w:r>
              <w:rPr>
                <w:rFonts w:ascii="Times New Roman" w:cs="Times New Roman" w:eastAsia="Times New Roman" w:hAnsi="Times New Roman"/>
                <w:sz w:val="18"/>
                <w:szCs w:val="18"/>
                <w:color w:val="auto"/>
                <w:w w:val="98"/>
              </w:rPr>
              <w:t>Fees to be</w:t>
            </w:r>
          </w:p>
        </w:tc>
        <w:tc>
          <w:tcPr>
            <w:tcW w:w="5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6.500% Notes</w:t>
            </w:r>
          </w:p>
        </w:tc>
        <w:tc>
          <w:tcPr>
            <w:tcW w:w="76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 2029</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457(a)</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$750,000,000</w:t>
            </w:r>
          </w:p>
        </w:tc>
        <w:tc>
          <w:tcPr>
            <w:tcW w:w="66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$114,825</w:t>
            </w:r>
          </w:p>
        </w:tc>
        <w:tc>
          <w:tcPr>
            <w:tcW w:w="0" w:type="dxa"/>
            <w:vAlign w:val="bottom"/>
          </w:tcPr>
          <w:p>
            <w:pPr>
              <w:spacing w:after="0"/>
              <w:rPr>
                <w:sz w:val="1"/>
                <w:szCs w:val="1"/>
                <w:color w:val="auto"/>
              </w:rPr>
            </w:pPr>
          </w:p>
        </w:tc>
      </w:tr>
      <w:tr>
        <w:trPr>
          <w:trHeight w:val="211"/>
        </w:trPr>
        <w:tc>
          <w:tcPr>
            <w:tcW w:w="144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5.750% Notes</w:t>
            </w:r>
          </w:p>
        </w:tc>
        <w:tc>
          <w:tcPr>
            <w:tcW w:w="7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 2030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457(a)</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$600,000,000</w:t>
            </w:r>
          </w:p>
        </w:tc>
        <w:tc>
          <w:tcPr>
            <w:tcW w:w="66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$91,860</w:t>
            </w:r>
          </w:p>
        </w:tc>
        <w:tc>
          <w:tcPr>
            <w:tcW w:w="0" w:type="dxa"/>
            <w:vAlign w:val="bottom"/>
          </w:tcPr>
          <w:p>
            <w:pPr>
              <w:spacing w:after="0"/>
              <w:rPr>
                <w:sz w:val="1"/>
                <w:szCs w:val="1"/>
                <w:color w:val="auto"/>
              </w:rPr>
            </w:pPr>
          </w:p>
        </w:tc>
      </w:tr>
      <w:tr>
        <w:trPr>
          <w:trHeight w:val="211"/>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6"/>
              </w:rPr>
              <w:t>Fees</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Previously</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300" w:type="dxa"/>
            <w:vAlign w:val="bottom"/>
            <w:tcBorders>
              <w:bottom w:val="single" w:sz="8" w:color="auto"/>
              <w:right w:val="single" w:sz="8" w:color="auto"/>
            </w:tcBorders>
            <w:gridSpan w:val="3"/>
          </w:tcPr>
          <w:p>
            <w:pPr>
              <w:jc w:val="center"/>
              <w:ind w:right="441"/>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6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$1,350,000,000</w:t>
            </w:r>
          </w:p>
        </w:tc>
        <w:tc>
          <w:tcPr>
            <w:tcW w:w="11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$206,685</w:t>
            </w: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300" w:type="dxa"/>
            <w:vAlign w:val="bottom"/>
            <w:tcBorders>
              <w:bottom w:val="single" w:sz="8" w:color="auto"/>
              <w:right w:val="single" w:sz="8" w:color="auto"/>
            </w:tcBorders>
            <w:gridSpan w:val="3"/>
          </w:tcPr>
          <w:p>
            <w:pPr>
              <w:jc w:val="center"/>
              <w:ind w:right="421"/>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6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left="637"/>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2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left="617"/>
              <w:spacing w:after="0"/>
              <w:rPr>
                <w:sz w:val="20"/>
                <w:szCs w:val="20"/>
                <w:color w:val="auto"/>
              </w:rPr>
            </w:pPr>
            <w:r>
              <w:rPr>
                <w:rFonts w:ascii="Times New Roman" w:cs="Times New Roman" w:eastAsia="Times New Roman" w:hAnsi="Times New Roman"/>
                <w:sz w:val="18"/>
                <w:szCs w:val="18"/>
                <w:color w:val="auto"/>
                <w:w w:val="98"/>
              </w:rPr>
              <w:t>Net Fee Due</w:t>
            </w:r>
          </w:p>
        </w:tc>
        <w:tc>
          <w:tcPr>
            <w:tcW w:w="12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$206,685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60" w:hanging="453"/>
        <w:spacing w:after="0" w:line="282"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required by Section 6(b) of the Securities Act of 1933 and computed pursuant to Rule 457(a) and 457(f)(2) of the Securities Act of 1933.</w:t>
      </w:r>
    </w:p>
    <w:sectPr>
      <w:pgSz w:w="11900" w:h="16838" w:orient="portrait"/>
      <w:cols w:equalWidth="0" w:num="1">
        <w:col w:w="10320"/>
      </w:cols>
      <w:pgMar w:left="124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469"/>
    </w:lvl>
  </w:abstractNum>
  <w:abstractNum w:abstractNumId="1">
    <w:nsid w:val="1E7FF521"/>
    <w:multiLevelType w:val="hybridMultilevel"/>
    <w:lvl w:ilvl="0">
      <w:lvlJc w:val="left"/>
      <w:lvlText w:val="(%1)"/>
      <w:numFmt w:val="decimal"/>
      <w:start w:val="5"/>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3"/>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2"/>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lowerRoman"/>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5"/>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lowerRoman"/>
      <w:start w:val="2"/>
    </w:lvl>
  </w:abstractNum>
  <w:abstractNum w:abstractNumId="38">
    <w:nsid w:val="684A481A"/>
    <w:multiLevelType w:val="hybridMultilevel"/>
    <w:lvl w:ilvl="0">
      <w:lvlJc w:val="left"/>
      <w:lvlText w:val="(%1)"/>
      <w:numFmt w:val="lowerRoman"/>
      <w:start w:val="3"/>
    </w:lvl>
  </w:abstractNum>
  <w:abstractNum w:abstractNumId="39">
    <w:nsid w:val="579478FE"/>
    <w:multiLevelType w:val="hybridMultilevel"/>
    <w:lvl w:ilvl="0">
      <w:lvlJc w:val="left"/>
      <w:lvlText w:val=" "/>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469"/>
    </w:lvl>
  </w:abstractNum>
  <w:abstractNum w:abstractNumId="42">
    <w:nsid w:val="1BA026FA"/>
    <w:multiLevelType w:val="hybridMultilevel"/>
    <w:lvl w:ilvl="0">
      <w:lvlJc w:val="left"/>
      <w:lvlText w:val="(%1)"/>
      <w:numFmt w:val="decimal"/>
      <w:start w:val="2"/>
    </w:lvl>
  </w:abstractNum>
  <w:abstractNum w:abstractNumId="43">
    <w:nsid w:val="79A1DEAA"/>
    <w:multiLevelType w:val="hybridMultilevel"/>
    <w:lvl w:ilvl="0">
      <w:lvlJc w:val="left"/>
      <w:lvlText w:val="(%1)"/>
      <w:numFmt w:val="decimal"/>
      <w:start w:val="4"/>
    </w:lvl>
  </w:abstractNum>
  <w:abstractNum w:abstractNumId="44">
    <w:nsid w:val="75C6C33A"/>
    <w:multiLevelType w:val="hybridMultilevel"/>
    <w:lvl w:ilvl="0">
      <w:lvlJc w:val="left"/>
      <w:lvlText w:val="(%1)"/>
      <w:numFmt w:val="decimal"/>
      <w:start w:val="12"/>
    </w:lvl>
  </w:abstractNum>
  <w:abstractNum w:abstractNumId="45">
    <w:nsid w:val="12E685FB"/>
    <w:multiLevelType w:val="hybridMultilevel"/>
    <w:lvl w:ilvl="0">
      <w:lvlJc w:val="left"/>
      <w:lvlText w:val="(%1)"/>
      <w:numFmt w:val="decimal"/>
      <w:start w:val="16"/>
    </w:lvl>
  </w:abstractNum>
  <w:abstractNum w:abstractNumId="46">
    <w:nsid w:val="70C6A529"/>
    <w:multiLevelType w:val="hybridMultilevel"/>
    <w:lvl w:ilvl="0">
      <w:lvlJc w:val="left"/>
      <w:lvlText w:val="(%1)"/>
      <w:numFmt w:val="decimal"/>
      <w:start w:val="18"/>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8"/>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11"/>
    </w:lvl>
  </w:abstractNum>
  <w:abstractNum w:abstractNumId="56">
    <w:nsid w:val="235BA861"/>
    <w:multiLevelType w:val="hybridMultilevel"/>
    <w:lvl w:ilvl="0">
      <w:lvlJc w:val="left"/>
      <w:lvlText w:val="(%1)"/>
      <w:numFmt w:val="lowerRoman"/>
      <w:start w:val="4"/>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56"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jpeg"/><Relationship Id="rId190" Type="http://schemas.openxmlformats.org/officeDocument/2006/relationships/image" Target="media/image152.png"/><Relationship Id="rId191" Type="http://schemas.openxmlformats.org/officeDocument/2006/relationships/image" Target="media/image153.jpe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123" Type="http://schemas.openxmlformats.org/officeDocument/2006/relationships/hyperlink" Target="http://www.sec.gov/ix?doc=/Archives/edgar/data/1925309/000095017024016336/ck0001925309-20231231.htm" TargetMode="External"/><Relationship Id="rId124" Type="http://schemas.openxmlformats.org/officeDocument/2006/relationships/hyperlink" Target="http://www.sec.gov/Archives/edgar/data/1925309/000119312522183512/d260658dex104.htm" TargetMode="External"/><Relationship Id="rId131" Type="http://schemas.openxmlformats.org/officeDocument/2006/relationships/hyperlink" Target="http://www.sec.gov/ix?doc=/Archives/edgar/data/0001925309/000095017024016336/ck0001925309-20231231.htm" TargetMode="External"/><Relationship Id="rId132" Type="http://schemas.openxmlformats.org/officeDocument/2006/relationships/hyperlink" Target="http://www.sec.gov/ix?doc=/Archives/edgar/data/1925309/000095017024052859/ck0001925309-20240331.htm" TargetMode="External"/><Relationship Id="rId133" Type="http://schemas.openxmlformats.org/officeDocument/2006/relationships/hyperlink" Target="http://www.sec.gov/ix?doc=/Archives/edgar/data/0001925309/000095017024089930/ck0001925309-20240630.htm" TargetMode="External"/><Relationship Id="rId134" Type="http://schemas.openxmlformats.org/officeDocument/2006/relationships/hyperlink" Target="http://www.sec.gov/ix?doc=/Archives/edgar/data/0001925309/000119312524082069/d804794d8k.htm" TargetMode="External"/><Relationship Id="rId135" Type="http://schemas.openxmlformats.org/officeDocument/2006/relationships/hyperlink" Target="http://www.sec.gov/ix?doc=/Archives/edgar/data/0001925309/000119312524161615/d835430d8k.htm" TargetMode="External"/><Relationship Id="rId136" Type="http://schemas.openxmlformats.org/officeDocument/2006/relationships/hyperlink" Target="http://www.sec.gov/ix?doc=/Archives/edgar/data/0001925309/000119312524165652/d859581d8k.htm" TargetMode="External"/><Relationship Id="rId137" Type="http://schemas.openxmlformats.org/officeDocument/2006/relationships/hyperlink" Target="http://www.sec.gov/ix?doc=/Archives/edgar/data/0001925309/000119312524170514/d856505d8k.htm" TargetMode="External"/><Relationship Id="rId138" Type="http://schemas.openxmlformats.org/officeDocument/2006/relationships/hyperlink" Target="http://www.sec.gov/ix?doc=/Archives/edgar/data/0001925309/000119312524218844/d896815d8k.htm" TargetMode="External"/><Relationship Id="rId139" Type="http://schemas.openxmlformats.org/officeDocument/2006/relationships/hyperlink" Target="http://www.sec.gov/ix?doc=/Archives/edgar/data/0001925309/000119312524222899/d887743d8k.htm" TargetMode="External"/><Relationship Id="rId140" Type="http://schemas.openxmlformats.org/officeDocument/2006/relationships/hyperlink" Target="http://www.sec.gov/ix?doc=/Archives/edgar/data/1925309/000119312524227951/d872329d8k.htm" TargetMode="External"/><Relationship Id="rId143" Type="http://schemas.openxmlformats.org/officeDocument/2006/relationships/hyperlink" Target="http://www.sec.gov/Archives/edgar/data/1925309/000119312522226504/d260658dex31.htm" TargetMode="External"/><Relationship Id="rId144" Type="http://schemas.openxmlformats.org/officeDocument/2006/relationships/hyperlink" Target="http://www.sec.gov/Archives/edgar/data/1925309/000119312522183512/d260658dex32.htm" TargetMode="External"/><Relationship Id="rId145" Type="http://schemas.openxmlformats.org/officeDocument/2006/relationships/hyperlink" Target="http://www.sec.gov/Archives/edgar/data/1925309/000119312522183512/d260658dex41.htm" TargetMode="External"/><Relationship Id="rId146" Type="http://schemas.openxmlformats.org/officeDocument/2006/relationships/hyperlink" Target="http://www.sec.gov/Archives/edgar/data/1925309/000119312524069137/d813134dex41.htm" TargetMode="External"/><Relationship Id="rId147" Type="http://schemas.openxmlformats.org/officeDocument/2006/relationships/hyperlink" Target="http://www.sec.gov/Archives/edgar/data/1837532/000119312524074150/d735221dex42.htm" TargetMode="External"/><Relationship Id="rId148" Type="http://schemas.openxmlformats.org/officeDocument/2006/relationships/hyperlink" Target="http://www.sec.gov/Archives/edgar/data/1925309/000119312524165652/d859581dex43.htm" TargetMode="External"/><Relationship Id="rId149" Type="http://schemas.openxmlformats.org/officeDocument/2006/relationships/hyperlink" Target="http://www.sec.gov/Archives/edgar/data/0001925309/000119312524222899/d887743dex42.htm" TargetMode="External"/><Relationship Id="rId150" Type="http://schemas.openxmlformats.org/officeDocument/2006/relationships/hyperlink" Target="http://www.sec.gov/Archives/edgar/data/0001925309/000119312524069137/d813134dex42.htm" TargetMode="External"/><Relationship Id="rId151" Type="http://schemas.openxmlformats.org/officeDocument/2006/relationships/hyperlink" Target="http://www.sec.gov/Archives/edgar/data/0001925309/000119312524069137/d813134dex44.htm" TargetMode="External"/><Relationship Id="rId152" Type="http://schemas.openxmlformats.org/officeDocument/2006/relationships/hyperlink" Target="http://www.sec.gov/Archives/edgar/data/0001925309/000119312524165652/d859581dex45.htm" TargetMode="External"/><Relationship Id="rId153" Type="http://schemas.openxmlformats.org/officeDocument/2006/relationships/hyperlink" Target="http://www.sec.gov/Archives/edgar/data/1925309/000119312524222899/d887743dex44.htm" TargetMode="External"/><Relationship Id="rId154" Type="http://schemas.openxmlformats.org/officeDocument/2006/relationships/hyperlink" Target="http://www.sec.gov/Archives/edgar/data/1925309/000119312522183512/d260658dex101.htm" TargetMode="External"/><Relationship Id="rId155" Type="http://schemas.openxmlformats.org/officeDocument/2006/relationships/hyperlink" Target="http://www.sec.gov/Archives/edgar/data/1925309/000119312522183512/d260658dex102.htm" TargetMode="External"/><Relationship Id="rId157" Type="http://schemas.openxmlformats.org/officeDocument/2006/relationships/hyperlink" Target="http://www.sec.gov/Archives/edgar/data/1925309/000119312522183512/d260658dex105.htm" TargetMode="External"/><Relationship Id="rId158" Type="http://schemas.openxmlformats.org/officeDocument/2006/relationships/hyperlink" Target="http://www.sec.gov/Archives/edgar/data/1925309/000119312522226504/d260658dex106.htm" TargetMode="External"/><Relationship Id="rId159" Type="http://schemas.openxmlformats.org/officeDocument/2006/relationships/hyperlink" Target="http://www.sec.gov/Archives/edgar/data/1925309/000119312522239007/d304088dex101.htm" TargetMode="External"/><Relationship Id="rId160" Type="http://schemas.openxmlformats.org/officeDocument/2006/relationships/hyperlink" Target="http://www.sec.gov/Archives/edgar/data/1925309/000119312522311034/d413255dex101.htm" TargetMode="External"/><Relationship Id="rId161" Type="http://schemas.openxmlformats.org/officeDocument/2006/relationships/hyperlink" Target="http://www.sec.gov/Archives/edgar/data/1925309/000119312523014261/d426575dex101.htm" TargetMode="External"/><Relationship Id="rId162" Type="http://schemas.openxmlformats.org/officeDocument/2006/relationships/hyperlink" Target="http://www.sec.gov/Archives/edgar/data/1925309/000119312524030209/d73465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2024-11-04T05:41:10Z</dcterms:created>
  <dcterms:modified xsi:type="dcterms:W3CDTF">2024-11-04T05:41:10Z</dcterms:modified>
</cp:coreProperties>
</file>