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925309-20240630.htm"/>
      <w:bookmarkStart w:id="1" w:name="ksck00019253092024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814-01543</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Lending Partners</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88-1710161</w:t>
            </w:r>
          </w:p>
        </w:tc>
      </w:tr>
      <w:tr>
        <w:trPr/>
        <w:tc>
          <w:tcPr>
            <w:tcW w:w="316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6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pPr>
            <w:r>
              <w:rPr/>
              <w:t> </w:t>
            </w:r>
          </w:p>
        </w:tc>
      </w:tr>
      <w:tr>
        <w:trPr/>
        <w:tc>
          <w:tcPr>
            <w:tcW w:w="31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6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Not applicable</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Former name, former address and former fiscal year, if changed since last report,</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Securities registered pursuant to Section 12(b) of the Act:</w:t>
      </w:r>
    </w:p>
    <w:tbl>
      <w:tblPr>
        <w:tblW w:w="5988" w:type="dxa"/>
        <w:jc w:val="left"/>
        <w:tblInd w:w="0" w:type="dxa"/>
        <w:tblLayout w:type="fixed"/>
        <w:tblCellMar>
          <w:top w:w="28" w:type="dxa"/>
          <w:left w:w="28" w:type="dxa"/>
          <w:bottom w:w="28" w:type="dxa"/>
          <w:right w:w="28" w:type="dxa"/>
        </w:tblCellMar>
      </w:tblPr>
      <w:tblGrid>
        <w:gridCol w:w="1396"/>
        <w:gridCol w:w="1276"/>
        <w:gridCol w:w="3316"/>
      </w:tblGrid>
      <w:tr>
        <w:trPr/>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316" w:type="dxa"/>
            <w:tcBorders/>
            <w:shd w:fill="FFFFFF" w:val="clear"/>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c>
          <w:tcPr>
            <w:tcW w:w="127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c>
          <w:tcPr>
            <w:tcW w:w="33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r>
    </w:tbl>
    <w:p>
      <w:pPr>
        <w:pStyle w:val="TextBody"/>
        <w:bidi w:val="0"/>
        <w:jc w:val="center"/>
        <w:rPr/>
      </w:pPr>
      <w:r>
        <w:rPr/>
        <w:t> </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4" w:type="dxa"/>
        <w:jc w:val="left"/>
        <w:tblInd w:w="0" w:type="dxa"/>
        <w:tblLayout w:type="fixed"/>
        <w:tblCellMar>
          <w:top w:w="28" w:type="dxa"/>
          <w:left w:w="28" w:type="dxa"/>
          <w:bottom w:w="28" w:type="dxa"/>
          <w:right w:w="28" w:type="dxa"/>
        </w:tblCellMar>
      </w:tblPr>
      <w:tblGrid>
        <w:gridCol w:w="1666"/>
        <w:gridCol w:w="376"/>
        <w:gridCol w:w="2071"/>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vAlign w:val="center"/>
          </w:tcPr>
          <w:p>
            <w:pPr>
              <w:pStyle w:val="TableContents"/>
              <w:bidi w:val="0"/>
              <w:spacing w:before="0" w:after="283"/>
              <w:jc w:val="left"/>
              <w:rPr>
                <w:color w:val="000000"/>
              </w:rPr>
            </w:pPr>
            <w:r>
              <w:rPr>
                <w:color w:val="000000"/>
              </w:rPr>
              <w:t>☐</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42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vAlign w:val="center"/>
          </w:tcPr>
          <w:p>
            <w:pPr>
              <w:pStyle w:val="TableContents"/>
              <w:bidi w:val="0"/>
              <w:spacing w:before="0" w:after="283"/>
              <w:jc w:val="left"/>
              <w:rPr>
                <w:color w:val="000000"/>
              </w:rPr>
            </w:pPr>
            <w:r>
              <w:rPr>
                <w:color w:val="000000"/>
              </w:rPr>
              <w:t xml:space="preserve">☒ </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42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421" w:type="dxa"/>
            <w:tcBorders/>
            <w:vAlign w:val="center"/>
          </w:tcPr>
          <w:p>
            <w:pPr>
              <w:pStyle w:val="TableContents"/>
              <w:bidi w:val="0"/>
              <w:spacing w:before="0" w:after="283"/>
              <w:jc w:val="left"/>
              <w:rPr>
                <w:color w:val="000000"/>
              </w:rPr>
            </w:pPr>
            <w:r>
              <w:rPr>
                <w:color w:val="000000"/>
              </w:rPr>
              <w:t xml:space="preserve">☒ </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The number of common shares of beneficial interest, $.001 par value per share, outstanding at August 2, 2024 was 94,644,720.</w:t>
      </w:r>
      <w:r>
        <w:rPr>
          <w:rFonts w:ascii="Times New Roman" w:hAnsi="Times New Roman"/>
          <w:color w:val="000000"/>
          <w:sz w:val="20"/>
        </w:rPr>
        <w:t xml:space="preserve"> </w:t>
      </w:r>
    </w:p>
    <w:p>
      <w:pPr>
        <w:pStyle w:val="TextBody"/>
        <w:bidi w:val="0"/>
        <w:jc w:val="left"/>
        <w:rPr/>
      </w:pPr>
      <w:r>
        <w:rPr/>
        <w: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88"/>
        <w:gridCol w:w="146"/>
        <w:gridCol w:w="8508"/>
        <w:gridCol w:w="146"/>
        <w:gridCol w:w="617"/>
      </w:tblGrid>
      <w:tr>
        <w:trP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2024</w:t>
              </w:r>
            </w:hyperlink>
            <w:hyperlink w:anchor="consolidated_balance_sheets">
              <w:r>
                <w:rPr>
                  <w:rStyle w:val="InternetLink"/>
                  <w:rFonts w:ascii="Times New Roman" w:hAnsi="Times New Roman"/>
                  <w:color w:val="0000FF"/>
                  <w:sz w:val="20"/>
                </w:rPr>
                <w:t xml:space="preserve"> </w:t>
              </w:r>
            </w:hyperlink>
            <w:hyperlink w:anchor="consolidated_balance_sheets">
              <w:r>
                <w:rPr>
                  <w:rStyle w:val="InternetLink"/>
                  <w:rFonts w:ascii="Times New Roman" w:hAnsi="Times New Roman"/>
                  <w:color w:val="0000FF"/>
                  <w:sz w:val="20"/>
                  <w:u w:val="single"/>
                </w:rPr>
                <w:t>(Unaudited)</w:t>
              </w:r>
            </w:hyperlink>
            <w:hyperlink w:anchor="consolidated_balance_sheets">
              <w:r>
                <w:rPr>
                  <w:rStyle w:val="InternetLink"/>
                  <w:rFonts w:ascii="Times New Roman" w:hAnsi="Times New Roman"/>
                  <w:color w:val="0000FF"/>
                  <w:sz w:val="20"/>
                </w:rPr>
                <w:t xml:space="preserve"> </w:t>
              </w:r>
            </w:hyperlink>
            <w:hyperlink w:anchor="consolidated_balance_sheets">
              <w:r>
                <w:rPr>
                  <w:rStyle w:val="InternetLink"/>
                  <w:rFonts w:ascii="Times New Roman" w:hAnsi="Times New Roman"/>
                  <w:color w:val="0000FF"/>
                  <w:sz w:val="20"/>
                  <w:u w:val="single"/>
                </w:rPr>
                <w:t>and December 31, 2023</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three and six months ended June 30, 2024 and 2023</w:t>
              </w:r>
            </w:hyperlink>
            <w:r>
              <w:rPr>
                <w:rFonts w:ascii="Times New Roman" w:hAnsi="Times New Roman"/>
                <w:color w:val="000000"/>
                <w:sz w:val="20"/>
              </w:rPr>
              <w:t xml:space="preserve"> </w:t>
            </w:r>
            <w:hyperlink w:anchor="consolidated_statements_operations">
              <w:r>
                <w:rPr>
                  <w:rStyle w:val="InternetLink"/>
                  <w:rFonts w:ascii="Times New Roman" w:hAnsi="Times New Roman"/>
                  <w:color w:val="0000FF"/>
                  <w:sz w:val="20"/>
                  <w:u w:val="single"/>
                </w:rPr>
                <w:t>(Unaudited)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consolidated_schedule_investments_as_mar">
              <w:r>
                <w:rPr>
                  <w:rStyle w:val="InternetLink"/>
                  <w:rFonts w:ascii="Times New Roman" w:hAnsi="Times New Roman"/>
                  <w:color w:val="000080"/>
                  <w:sz w:val="20"/>
                  <w:u w:val="single"/>
                </w:rPr>
                <w:t>Consolidated Schedules of Investments as of June 30, 2024 (Unaudited)</w:t>
              </w:r>
            </w:hyperlink>
            <w:r>
              <w:rPr>
                <w:rFonts w:ascii="Times New Roman" w:hAnsi="Times New Roman"/>
                <w:color w:val="0000FF"/>
                <w:sz w:val="20"/>
                <w:u w:val="single"/>
              </w:rPr>
              <w:t> and December 31, 2023</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consolidated_statements_changes_in_net_a">
              <w:r>
                <w:rPr>
                  <w:rStyle w:val="InternetLink"/>
                  <w:rFonts w:ascii="Times New Roman" w:hAnsi="Times New Roman"/>
                  <w:color w:val="0000FF"/>
                  <w:sz w:val="20"/>
                  <w:u w:val="single"/>
                </w:rPr>
                <w:t>Consolidated Statements of Changes in Net Assets for the three and six months ended June 30, 2024 and 2023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six months ended June 30, 2024 and 2023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9442"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factors previously identified elsewhere in the reports and other documents Sixth Street Lending Partners (the “Company”, “we”, “us” or “our”), has filed with the U.S. Securities and Exchange Commission, or “SEC”, the following factors, among others, could cause actual results to differ materially from forward-looking statements or historical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economic downturn, which could impair our portfolio companies’ abilities to continue to operate and could lead to the loss of some or all of our investments in those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also impact availability and pricing of our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could negatively impact our business, including our ability to access the debt markets on favorable terms, or could negatively impact our portfolio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uncertainties and other factors we identify in the section entitled “Risk Factors” in this report, in our Annual Report on Form 10-K for the year ended December 31, 2023, filed with the SEC on February 16, 2024, and elsewhere in our filings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81"/>
        <w:gridCol w:w="146"/>
        <w:gridCol w:w="196"/>
        <w:gridCol w:w="826"/>
        <w:gridCol w:w="146"/>
        <w:gridCol w:w="146"/>
        <w:gridCol w:w="205"/>
        <w:gridCol w:w="866"/>
        <w:gridCol w:w="593"/>
      </w:tblGrid>
      <w:tr>
        <w:trPr/>
        <w:tc>
          <w:tcPr>
            <w:tcW w:w="7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vAlign w:val="center"/>
          </w:tcPr>
          <w:p>
            <w:pPr>
              <w:pStyle w:val="TableContents"/>
              <w:bidi w:val="0"/>
              <w:spacing w:before="0" w:after="283"/>
              <w:jc w:val="center"/>
              <w:rPr/>
            </w:pPr>
            <w:r>
              <w:rPr/>
              <w:t> </w:t>
            </w:r>
          </w:p>
        </w:tc>
      </w:tr>
      <w:tr>
        <w:trPr/>
        <w:tc>
          <w:tcPr>
            <w:tcW w:w="7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righ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71" w:type="dxa"/>
            <w:gridSpan w:val="2"/>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righ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1"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8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Non-controlled, non-affiliated investments (amortized cost of $4,910,340</w:t>
            </w:r>
            <w:r>
              <w:rPr>
                <w:rFonts w:ascii="Times New Roman" w:hAnsi="Times New Roman"/>
                <w:color w:val="000000"/>
                <w:sz w:val="20"/>
              </w:rPr>
              <w:t> </w:t>
            </w:r>
            <w:r>
              <w:rPr>
                <w:rFonts w:ascii="Times New Roman" w:hAnsi="Times New Roman"/>
                <w:color w:val="000000"/>
                <w:sz w:val="16"/>
              </w:rPr>
              <w:t>and $3,037,826, respectively)</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5,006,147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3,099,151</w:t>
            </w:r>
          </w:p>
        </w:tc>
        <w:tc>
          <w:tcPr>
            <w:tcW w:w="593" w:type="dxa"/>
            <w:tcBorders/>
            <w:shd w:fill="CFF0FC" w:val="cle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(restricted cash of $32,662</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8,813</w:t>
            </w:r>
          </w:p>
        </w:tc>
        <w:tc>
          <w:tcPr>
            <w:tcW w:w="593" w:type="dxa"/>
            <w:tcBorders/>
            <w:shd w:fill="FFFFFF" w:val="clear"/>
            <w:vAlign w:val="center"/>
          </w:tcPr>
          <w:p>
            <w:pPr>
              <w:pStyle w:val="TableContents"/>
              <w:bidi w:val="0"/>
              <w:spacing w:before="0" w:after="283"/>
              <w:jc w:val="lef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27,938</w:t>
            </w:r>
          </w:p>
        </w:tc>
        <w:tc>
          <w:tcPr>
            <w:tcW w:w="593" w:type="dxa"/>
            <w:tcBorders/>
            <w:shd w:fill="CFF0FC" w:val="cle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5,483,002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3,138,265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vAlign w:val="center"/>
          </w:tcPr>
          <w:p>
            <w:pPr>
              <w:pStyle w:val="TableContents"/>
              <w:bidi w:val="0"/>
              <w:spacing w:before="0" w:after="283"/>
              <w:jc w:val="righ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1"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Debt (net of deferred financing costs of $19,651</w:t>
            </w:r>
            <w:r>
              <w:rPr>
                <w:rFonts w:ascii="Times New Roman" w:hAnsi="Times New Roman"/>
                <w:color w:val="000000"/>
                <w:sz w:val="20"/>
              </w:rPr>
              <w:t> </w:t>
            </w:r>
            <w:r>
              <w:rPr>
                <w:rFonts w:ascii="Times New Roman" w:hAnsi="Times New Roman"/>
                <w:color w:val="000000"/>
                <w:sz w:val="16"/>
              </w:rPr>
              <w:t>and $8,153, respectively)</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2,602,886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1,239,862</w:t>
            </w:r>
          </w:p>
        </w:tc>
        <w:tc>
          <w:tcPr>
            <w:tcW w:w="593" w:type="dxa"/>
            <w:tcBorders/>
            <w:shd w:fill="CFF0FC" w:val="cle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w:t>
            </w:r>
          </w:p>
        </w:tc>
        <w:tc>
          <w:tcPr>
            <w:tcW w:w="593" w:type="dxa"/>
            <w:tcBorders/>
            <w:shd w:fill="FFFFFF" w:val="clear"/>
            <w:vAlign w:val="center"/>
          </w:tcPr>
          <w:p>
            <w:pPr>
              <w:pStyle w:val="TableContents"/>
              <w:bidi w:val="0"/>
              <w:spacing w:before="0" w:after="283"/>
              <w:jc w:val="lef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7,183</w:t>
            </w:r>
          </w:p>
        </w:tc>
        <w:tc>
          <w:tcPr>
            <w:tcW w:w="593" w:type="dxa"/>
            <w:tcBorders/>
            <w:shd w:fill="CFF0FC" w:val="cle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6,746</w:t>
            </w:r>
          </w:p>
        </w:tc>
        <w:tc>
          <w:tcPr>
            <w:tcW w:w="593" w:type="dxa"/>
            <w:tcBorders/>
            <w:shd w:fill="FFFFFF" w:val="clear"/>
            <w:vAlign w:val="center"/>
          </w:tcPr>
          <w:p>
            <w:pPr>
              <w:pStyle w:val="TableContents"/>
              <w:bidi w:val="0"/>
              <w:spacing w:before="0" w:after="283"/>
              <w:jc w:val="lef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w:t>
            </w:r>
          </w:p>
        </w:tc>
        <w:tc>
          <w:tcPr>
            <w:tcW w:w="593" w:type="dxa"/>
            <w:tcBorders/>
            <w:shd w:fill="CFF0FC" w:val="cle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payable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43,871</w:t>
            </w:r>
          </w:p>
        </w:tc>
        <w:tc>
          <w:tcPr>
            <w:tcW w:w="593" w:type="dxa"/>
            <w:tcBorders/>
            <w:shd w:fill="FFFFFF" w:val="clear"/>
            <w:vAlign w:val="center"/>
          </w:tcPr>
          <w:p>
            <w:pPr>
              <w:pStyle w:val="TableContents"/>
              <w:bidi w:val="0"/>
              <w:spacing w:before="0" w:after="283"/>
              <w:jc w:val="lef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18,235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2,733,495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1,321,198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vAlign w:val="center"/>
          </w:tcPr>
          <w:p>
            <w:pPr>
              <w:pStyle w:val="TableContents"/>
              <w:bidi w:val="0"/>
              <w:spacing w:before="0" w:after="283"/>
              <w:jc w:val="righ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71"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vAlign w:val="center"/>
          </w:tcPr>
          <w:p>
            <w:pPr>
              <w:pStyle w:val="TableContents"/>
              <w:bidi w:val="0"/>
              <w:spacing w:before="0" w:after="283"/>
              <w:jc w:val="righ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1"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shares, $0.001</w:t>
            </w:r>
            <w:r>
              <w:rPr>
                <w:rFonts w:ascii="Times New Roman" w:hAnsi="Times New Roman"/>
                <w:color w:val="000000"/>
                <w:sz w:val="20"/>
              </w:rPr>
              <w:t> </w:t>
            </w:r>
            <w:r>
              <w:rPr>
                <w:rFonts w:ascii="Times New Roman" w:hAnsi="Times New Roman"/>
                <w:color w:val="000000"/>
                <w:sz w:val="16"/>
              </w:rPr>
              <w:t>par value; unlimited shares authorized (94,644,720</w:t>
            </w:r>
            <w:r>
              <w:rPr>
                <w:rFonts w:ascii="Times New Roman" w:hAnsi="Times New Roman"/>
                <w:color w:val="000000"/>
                <w:sz w:val="20"/>
              </w:rPr>
              <w:t> </w:t>
            </w:r>
            <w:r>
              <w:rPr>
                <w:rFonts w:ascii="Times New Roman" w:hAnsi="Times New Roman"/>
                <w:color w:val="000000"/>
                <w:sz w:val="16"/>
              </w:rPr>
              <w:t>and 65,478,775, shares issued and outstanding, respectively)</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593" w:type="dxa"/>
            <w:tcBorders/>
            <w:shd w:fill="CFF0FC" w:val="cle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2,580,957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1,734,426</w:t>
            </w:r>
          </w:p>
        </w:tc>
        <w:tc>
          <w:tcPr>
            <w:tcW w:w="593" w:type="dxa"/>
            <w:tcBorders/>
            <w:shd w:fill="FFFFFF" w:val="clear"/>
            <w:vAlign w:val="center"/>
          </w:tcPr>
          <w:p>
            <w:pPr>
              <w:pStyle w:val="TableContents"/>
              <w:bidi w:val="0"/>
              <w:spacing w:before="0" w:after="283"/>
              <w:jc w:val="lef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82,576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2,749,507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1,817,067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5,483,002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3,138,265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99"/>
        <w:gridCol w:w="197"/>
        <w:gridCol w:w="922"/>
        <w:gridCol w:w="166"/>
        <w:gridCol w:w="146"/>
        <w:gridCol w:w="197"/>
        <w:gridCol w:w="922"/>
        <w:gridCol w:w="166"/>
        <w:gridCol w:w="146"/>
        <w:gridCol w:w="197"/>
        <w:gridCol w:w="922"/>
        <w:gridCol w:w="166"/>
        <w:gridCol w:w="146"/>
        <w:gridCol w:w="197"/>
        <w:gridCol w:w="922"/>
        <w:gridCol w:w="994"/>
      </w:tblGrid>
      <w:tr>
        <w:trPr/>
        <w:tc>
          <w:tcPr>
            <w:tcW w:w="37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3799" w:type="dxa"/>
            <w:tcBorders/>
            <w:shd w:fill="FFFFFF" w:val="clear"/>
            <w:vAlign w:val="center"/>
          </w:tcPr>
          <w:p>
            <w:pPr>
              <w:pStyle w:val="TableContents"/>
              <w:bidi w:val="0"/>
              <w:spacing w:before="0" w:after="283"/>
              <w:jc w:val="left"/>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9" w:type="dxa"/>
            <w:tcBorders/>
            <w:shd w:fill="FFFFFF" w:val="cle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994" w:type="dxa"/>
            <w:tcBorders/>
            <w:shd w:fill="CFF0FC" w:val="clear"/>
            <w:vAlign w:val="center"/>
          </w:tcPr>
          <w:p>
            <w:pPr>
              <w:pStyle w:val="TableContents"/>
              <w:bidi w:val="0"/>
              <w:spacing w:before="0" w:after="283"/>
              <w:jc w:val="righ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994" w:type="dxa"/>
            <w:tcBorders/>
            <w:shd w:fill="FFFFFF" w:val="clear"/>
            <w:vAlign w:val="center"/>
          </w:tcPr>
          <w:p>
            <w:pPr>
              <w:pStyle w:val="TableContents"/>
              <w:bidi w:val="0"/>
              <w:spacing w:before="0" w:after="283"/>
              <w:ind w:left="0" w:right="0" w:firstLine="200"/>
              <w:jc w:val="right"/>
              <w:rPr/>
            </w:pPr>
            <w:r>
              <w:rPr/>
              <w:t> </w:t>
            </w:r>
          </w:p>
        </w:tc>
      </w:tr>
      <w:tr>
        <w:trPr/>
        <w:tc>
          <w:tcPr>
            <w:tcW w:w="379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79,835</w:t>
            </w:r>
          </w:p>
        </w:tc>
        <w:tc>
          <w:tcPr>
            <w:tcW w:w="994" w:type="dxa"/>
            <w:tcBorders/>
            <w:shd w:fill="CFF0FC" w:val="clear"/>
            <w:vAlign w:val="center"/>
          </w:tcPr>
          <w:p>
            <w:pPr>
              <w:pStyle w:val="TableContents"/>
              <w:bidi w:val="0"/>
              <w:spacing w:before="0" w:after="283"/>
              <w:ind w:left="0" w:right="0" w:firstLine="200"/>
              <w:jc w:val="left"/>
              <w:rPr/>
            </w:pPr>
            <w:r>
              <w:rPr/>
              <w:t> </w:t>
            </w:r>
          </w:p>
        </w:tc>
      </w:tr>
      <w:tr>
        <w:trPr/>
        <w:tc>
          <w:tcPr>
            <w:tcW w:w="379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Arranger fees</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994" w:type="dxa"/>
            <w:tcBorders/>
            <w:shd w:fill="FFFFFF" w:val="clear"/>
            <w:vAlign w:val="center"/>
          </w:tcPr>
          <w:p>
            <w:pPr>
              <w:pStyle w:val="TableContents"/>
              <w:bidi w:val="0"/>
              <w:spacing w:before="0" w:after="283"/>
              <w:ind w:left="0" w:right="0" w:firstLine="200"/>
              <w:jc w:val="left"/>
              <w:rPr/>
            </w:pPr>
            <w:r>
              <w:rPr/>
              <w:t> </w:t>
            </w:r>
          </w:p>
        </w:tc>
      </w:tr>
      <w:tr>
        <w:trPr/>
        <w:tc>
          <w:tcPr>
            <w:tcW w:w="379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3,765</w:t>
            </w:r>
          </w:p>
        </w:tc>
        <w:tc>
          <w:tcPr>
            <w:tcW w:w="994" w:type="dxa"/>
            <w:tcBorders/>
            <w:shd w:fill="CFF0FC" w:val="clear"/>
            <w:vAlign w:val="center"/>
          </w:tcPr>
          <w:p>
            <w:pPr>
              <w:pStyle w:val="TableContents"/>
              <w:bidi w:val="0"/>
              <w:spacing w:before="0" w:after="283"/>
              <w:ind w:left="0" w:right="0" w:firstLine="200"/>
              <w:jc w:val="left"/>
              <w:rPr/>
            </w:pPr>
            <w:r>
              <w:rPr/>
              <w:t> </w:t>
            </w:r>
          </w:p>
        </w:tc>
      </w:tr>
      <w:tr>
        <w:trPr/>
        <w:tc>
          <w:tcPr>
            <w:tcW w:w="379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5,209</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99"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289,055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88,809</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994" w:type="dxa"/>
            <w:tcBorders/>
            <w:shd w:fill="FFFFFF" w:val="clear"/>
            <w:vAlign w:val="center"/>
          </w:tcPr>
          <w:p>
            <w:pPr>
              <w:pStyle w:val="TableContents"/>
              <w:bidi w:val="0"/>
              <w:spacing w:before="0" w:after="283"/>
              <w:jc w:val="righ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25,245</w:t>
            </w:r>
          </w:p>
        </w:tc>
        <w:tc>
          <w:tcPr>
            <w:tcW w:w="994" w:type="dxa"/>
            <w:tcBorders/>
            <w:shd w:fill="CFF0FC" w:val="clear"/>
            <w:vAlign w:val="center"/>
          </w:tcPr>
          <w:p>
            <w:pPr>
              <w:pStyle w:val="TableContents"/>
              <w:bidi w:val="0"/>
              <w:spacing w:before="0" w:after="283"/>
              <w:jc w:val="lef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9,518</w:t>
            </w:r>
          </w:p>
        </w:tc>
        <w:tc>
          <w:tcPr>
            <w:tcW w:w="994" w:type="dxa"/>
            <w:tcBorders/>
            <w:shd w:fill="FFFFFF" w:val="cle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994" w:type="dxa"/>
            <w:tcBorders/>
            <w:shd w:fill="CFF0FC" w:val="clear"/>
            <w:vAlign w:val="center"/>
          </w:tcPr>
          <w:p>
            <w:pPr>
              <w:pStyle w:val="TableContents"/>
              <w:bidi w:val="0"/>
              <w:spacing w:before="0" w:after="283"/>
              <w:jc w:val="lef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(losses)</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1,471</w:t>
            </w:r>
          </w:p>
        </w:tc>
        <w:tc>
          <w:tcPr>
            <w:tcW w:w="994" w:type="dxa"/>
            <w:tcBorders/>
            <w:shd w:fill="FFFFFF" w:val="cle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Organizational expense</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994" w:type="dxa"/>
            <w:tcBorders/>
            <w:shd w:fill="CFF0FC" w:val="clear"/>
            <w:vAlign w:val="center"/>
          </w:tcPr>
          <w:p>
            <w:pPr>
              <w:pStyle w:val="TableContents"/>
              <w:bidi w:val="0"/>
              <w:spacing w:before="0" w:after="283"/>
              <w:jc w:val="lef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Offering expense</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994" w:type="dxa"/>
            <w:tcBorders/>
            <w:shd w:fill="FFFFFF" w:val="cle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w:t>
            </w:r>
          </w:p>
        </w:tc>
        <w:tc>
          <w:tcPr>
            <w:tcW w:w="994" w:type="dxa"/>
            <w:tcBorders/>
            <w:shd w:fill="CFF0FC" w:val="clear"/>
            <w:vAlign w:val="center"/>
          </w:tcPr>
          <w:p>
            <w:pPr>
              <w:pStyle w:val="TableContents"/>
              <w:bidi w:val="0"/>
              <w:spacing w:before="0" w:after="283"/>
              <w:jc w:val="lef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Trustees’ fees</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994" w:type="dxa"/>
            <w:tcBorders/>
            <w:shd w:fill="FFFFFF" w:val="cle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9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expenses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46,768</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waived (Note 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(6,159</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799"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Net Expenses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40,609</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48,200</w:t>
            </w:r>
          </w:p>
        </w:tc>
        <w:tc>
          <w:tcPr>
            <w:tcW w:w="994" w:type="dxa"/>
            <w:tcBorders/>
            <w:shd w:fill="CFF0FC" w:val="clear"/>
            <w:vAlign w:val="center"/>
          </w:tcPr>
          <w:p>
            <w:pPr>
              <w:pStyle w:val="TableContents"/>
              <w:bidi w:val="0"/>
              <w:spacing w:before="0" w:after="283"/>
              <w:jc w:val="lef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47,536</w:t>
            </w:r>
          </w:p>
        </w:tc>
        <w:tc>
          <w:tcPr>
            <w:tcW w:w="994" w:type="dxa"/>
            <w:tcBorders/>
            <w:shd w:fill="CFF0FC" w:val="clear"/>
            <w:vAlign w:val="center"/>
          </w:tcPr>
          <w:p>
            <w:pPr>
              <w:pStyle w:val="TableContents"/>
              <w:bidi w:val="0"/>
              <w:spacing w:before="0" w:after="283"/>
              <w:jc w:val="lef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9" w:type="dxa"/>
            <w:gridSpan w:val="2"/>
            <w:tcBorders/>
            <w:shd w:fill="FFFFFF" w:val="clear"/>
            <w:vAlign w:val="center"/>
          </w:tcPr>
          <w:p>
            <w:pPr>
              <w:pStyle w:val="TableContents"/>
              <w:bidi w:val="0"/>
              <w:spacing w:before="0" w:after="283"/>
              <w:jc w:val="right"/>
              <w:rPr/>
            </w:pPr>
            <w:r>
              <w:rPr/>
              <w:t> </w:t>
            </w:r>
          </w:p>
        </w:tc>
        <w:tc>
          <w:tcPr>
            <w:tcW w:w="994" w:type="dxa"/>
            <w:tcBorders/>
            <w:shd w:fill="FFFFFF" w:val="clear"/>
            <w:vAlign w:val="center"/>
          </w:tcPr>
          <w:p>
            <w:pPr>
              <w:pStyle w:val="TableContents"/>
              <w:bidi w:val="0"/>
              <w:spacing w:before="0" w:after="283"/>
              <w:jc w:val="righ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994" w:type="dxa"/>
            <w:tcBorders/>
            <w:shd w:fill="CFF0FC" w:val="clear"/>
            <w:vAlign w:val="center"/>
          </w:tcPr>
          <w:p>
            <w:pPr>
              <w:pStyle w:val="TableContents"/>
              <w:bidi w:val="0"/>
              <w:spacing w:before="0" w:after="283"/>
              <w:ind w:left="0" w:right="0" w:firstLine="200"/>
              <w:jc w:val="right"/>
              <w:rPr/>
            </w:pPr>
            <w:r>
              <w:rPr/>
              <w:t> </w:t>
            </w:r>
          </w:p>
        </w:tc>
      </w:tr>
      <w:tr>
        <w:trPr/>
        <w:tc>
          <w:tcPr>
            <w:tcW w:w="379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14,633</w:t>
            </w:r>
          </w:p>
        </w:tc>
        <w:tc>
          <w:tcPr>
            <w:tcW w:w="994" w:type="dxa"/>
            <w:tcBorders/>
            <w:shd w:fill="FFFFFF" w:val="clear"/>
            <w:vAlign w:val="center"/>
          </w:tcPr>
          <w:p>
            <w:pPr>
              <w:pStyle w:val="TableContents"/>
              <w:bidi w:val="0"/>
              <w:spacing w:before="0" w:after="283"/>
              <w:ind w:left="0" w:right="0" w:firstLine="200"/>
              <w:jc w:val="left"/>
              <w:rPr/>
            </w:pPr>
            <w:r>
              <w:rPr/>
              <w:t> </w:t>
            </w:r>
          </w:p>
        </w:tc>
      </w:tr>
      <w:tr>
        <w:trPr/>
        <w:tc>
          <w:tcPr>
            <w:tcW w:w="379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w:t>
            </w:r>
          </w:p>
        </w:tc>
        <w:tc>
          <w:tcPr>
            <w:tcW w:w="994" w:type="dxa"/>
            <w:tcBorders/>
            <w:shd w:fill="CFF0FC"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79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13,470</w:t>
            </w:r>
          </w:p>
        </w:tc>
        <w:tc>
          <w:tcPr>
            <w:tcW w:w="9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9" w:type="dxa"/>
            <w:gridSpan w:val="2"/>
            <w:tcBorders/>
            <w:shd w:fill="CFF0FC" w:val="clear"/>
            <w:vAlign w:val="center"/>
          </w:tcPr>
          <w:p>
            <w:pPr>
              <w:pStyle w:val="TableContents"/>
              <w:bidi w:val="0"/>
              <w:spacing w:before="0" w:after="283"/>
              <w:jc w:val="right"/>
              <w:rPr/>
            </w:pPr>
            <w:r>
              <w:rPr/>
              <w:t> </w:t>
            </w:r>
          </w:p>
        </w:tc>
        <w:tc>
          <w:tcPr>
            <w:tcW w:w="994" w:type="dxa"/>
            <w:tcBorders/>
            <w:shd w:fill="CFF0FC" w:val="clear"/>
            <w:vAlign w:val="center"/>
          </w:tcPr>
          <w:p>
            <w:pPr>
              <w:pStyle w:val="TableContents"/>
              <w:bidi w:val="0"/>
              <w:spacing w:before="0" w:after="283"/>
              <w:ind w:left="0" w:right="0" w:firstLine="200"/>
              <w:jc w:val="right"/>
              <w:rPr/>
            </w:pPr>
            <w:r>
              <w:rPr/>
              <w:t> </w:t>
            </w:r>
          </w:p>
        </w:tc>
      </w:tr>
      <w:tr>
        <w:trPr/>
        <w:tc>
          <w:tcPr>
            <w:tcW w:w="379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994" w:type="dxa"/>
            <w:tcBorders/>
            <w:shd w:fill="FFFFFF" w:val="clear"/>
            <w:vAlign w:val="center"/>
          </w:tcPr>
          <w:p>
            <w:pPr>
              <w:pStyle w:val="TableContents"/>
              <w:bidi w:val="0"/>
              <w:spacing w:before="0" w:after="283"/>
              <w:ind w:left="0" w:right="0" w:firstLine="200"/>
              <w:jc w:val="left"/>
              <w:rPr/>
            </w:pPr>
            <w:r>
              <w:rPr/>
              <w:t> </w:t>
            </w:r>
          </w:p>
        </w:tc>
      </w:tr>
      <w:tr>
        <w:trPr/>
        <w:tc>
          <w:tcPr>
            <w:tcW w:w="379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9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799"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13,513</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799"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61,049</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shares outstanding—basic and diluted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84,817,784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31,830,160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77,232,840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27,469,663</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Lending Partners</w:t>
      </w:r>
    </w:p>
    <w:p>
      <w:pPr>
        <w:pStyle w:val="TextBody"/>
        <w:bidi w:val="0"/>
        <w:spacing w:before="240" w:after="283"/>
        <w:jc w:val="center"/>
        <w:rPr>
          <w:rFonts w:ascii="Times New Roman" w:hAnsi="Times New Roman"/>
          <w:b/>
          <w:color w:val="000000"/>
          <w:sz w:val="20"/>
        </w:rPr>
      </w:pPr>
      <w:bookmarkStart w:id="6" w:name="consolidated_schedule_investments_as_mar"/>
      <w:bookmarkEnd w:id="6"/>
      <w:r>
        <w:rPr>
          <w:rFonts w:ascii="Times New Roman" w:hAnsi="Times New Roman"/>
          <w:b/>
          <w:color w:val="000000"/>
          <w:sz w:val="20"/>
        </w:rPr>
        <w:t>Consolidated Schedule of Investments as of June 30, 2024</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2"/>
        <w:gridCol w:w="146"/>
        <w:gridCol w:w="1805"/>
        <w:gridCol w:w="146"/>
        <w:gridCol w:w="796"/>
        <w:gridCol w:w="146"/>
        <w:gridCol w:w="158"/>
        <w:gridCol w:w="646"/>
        <w:gridCol w:w="146"/>
        <w:gridCol w:w="146"/>
        <w:gridCol w:w="174"/>
        <w:gridCol w:w="521"/>
        <w:gridCol w:w="211"/>
        <w:gridCol w:w="146"/>
        <w:gridCol w:w="181"/>
        <w:gridCol w:w="691"/>
        <w:gridCol w:w="146"/>
        <w:gridCol w:w="146"/>
        <w:gridCol w:w="190"/>
        <w:gridCol w:w="728"/>
        <w:gridCol w:w="146"/>
        <w:gridCol w:w="146"/>
        <w:gridCol w:w="227"/>
        <w:gridCol w:w="564"/>
        <w:gridCol w:w="261"/>
      </w:tblGrid>
      <w:tr>
        <w:trPr/>
        <w:tc>
          <w:tcPr>
            <w:tcW w:w="1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2"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1"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92"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1"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Bestpass,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($59,650</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11.09</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Truck-Lite Co.,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($282,352</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2/13/2024</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11.07</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($1,020</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2/13/2024</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342,873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1"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Bidco, Inc.</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($112,010</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12.33</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52,125</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55,585</w:t>
              <w:br/>
              <w:t> (EUR 51,864)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Azurite Intermediate Holdings,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($160,312</w:t>
            </w:r>
            <w:r>
              <w:rPr>
                <w:rFonts w:ascii="Times New Roman" w:hAnsi="Times New Roman"/>
                <w:color w:val="000000"/>
                <w:sz w:val="20"/>
              </w:rPr>
              <w:t> </w:t>
            </w:r>
            <w:r>
              <w:rPr>
                <w:rFonts w:ascii="Times New Roman" w:hAnsi="Times New Roman"/>
                <w:color w:val="000000"/>
                <w:sz w:val="14"/>
              </w:rPr>
              <w:t>par, due 3/2031)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Ignition Purchaser,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holdco loan ($113,110</w:t>
            </w:r>
            <w:r>
              <w:rPr>
                <w:rFonts w:ascii="Times New Roman" w:hAnsi="Times New Roman"/>
                <w:color w:val="000000"/>
                <w:sz w:val="20"/>
              </w:rPr>
              <w:t> </w:t>
            </w:r>
            <w:r>
              <w:rPr>
                <w:rFonts w:ascii="Times New Roman" w:hAnsi="Times New Roman"/>
                <w:color w:val="000000"/>
                <w:sz w:val="14"/>
              </w:rPr>
              <w:t>par, due 10/2030)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5"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14.33%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Crewline Buyer,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($147,310</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Dye &amp; Durham Corp. </w:t>
            </w:r>
            <w:r>
              <w:rPr>
                <w:rFonts w:ascii="Times New Roman" w:hAnsi="Times New Roman"/>
                <w:color w:val="000000"/>
                <w:sz w:val="9"/>
              </w:rPr>
              <w:t>(3)(4)(12)</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($1,000</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Elements Finco Limited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($45,917</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10.09</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80,058</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100,102</w:t>
              <w:br/>
              <w:t> (GBP 79,188)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Galileo Parent,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($150,306</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($14,135</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12.59</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OutSystems Luxco SARL</w:t>
            </w:r>
            <w:r>
              <w:rPr>
                <w:rFonts w:ascii="Times New Roman" w:hAnsi="Times New Roman"/>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3,004</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12/8/2022</w:t>
            </w:r>
          </w:p>
        </w:tc>
        <w:tc>
          <w:tcPr>
            <w:tcW w:w="146"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3,286</w:t>
              <w:br/>
              <w:t> (EUR 3,066)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Price Fx Inc.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10.86</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w:t>
              <w:br/>
              <w:t> (EUR 905)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USA DeBusk,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($99,618</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($2,702</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Wrangler TopCo,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($93,847</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12.83</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1,097,809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1"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Erling Lux Bidco SARL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7,239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7,986</w:t>
              <w:br/>
              <w:t> (EUR 7,452)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13,388</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17,135</w:t>
              <w:br/>
              <w:t> (GBP 13,555)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312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w:t>
              <w:br/>
              <w:t> (GBP 316)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(NOK 7,427</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 + 6.75%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w:t>
              <w:br/>
              <w:t> (NOK 7,520)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1"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Aurelia Netherlands MidCo 2 B.V.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201,909</w:t>
            </w:r>
            <w:r>
              <w:rPr>
                <w:rFonts w:ascii="Times New Roman" w:hAnsi="Times New Roman"/>
                <w:color w:val="000000"/>
                <w:sz w:val="20"/>
              </w:rPr>
              <w:t> </w:t>
            </w:r>
            <w:r>
              <w:rPr>
                <w:rFonts w:ascii="Times New Roman" w:hAnsi="Times New Roman"/>
                <w:color w:val="000000"/>
                <w:sz w:val="14"/>
              </w:rPr>
              <w:t>par, due 5/2031)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5/22/2024</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213,150</w:t>
              <w:br/>
              <w:t> (EUR 198,880)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Babylon Finco Limited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($89,521</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1/26/2024</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Banyan Software Holdings, LLC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($79,171</w:t>
            </w:r>
            <w:r>
              <w:rPr>
                <w:rFonts w:ascii="Times New Roman" w:hAnsi="Times New Roman"/>
                <w:color w:val="000000"/>
                <w:sz w:val="20"/>
              </w:rPr>
              <w:t> </w:t>
            </w:r>
            <w:r>
              <w:rPr>
                <w:rFonts w:ascii="Times New Roman" w:hAnsi="Times New Roman"/>
                <w:color w:val="000000"/>
                <w:sz w:val="14"/>
              </w:rPr>
              <w:t>par, due 10/2026)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12.69</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($7,600</w:t>
            </w:r>
            <w:r>
              <w:rPr>
                <w:rFonts w:ascii="Times New Roman" w:hAnsi="Times New Roman"/>
                <w:color w:val="000000"/>
                <w:sz w:val="20"/>
              </w:rPr>
              <w:t> </w:t>
            </w:r>
            <w:r>
              <w:rPr>
                <w:rFonts w:ascii="Times New Roman" w:hAnsi="Times New Roman"/>
                <w:color w:val="000000"/>
                <w:sz w:val="14"/>
              </w:rPr>
              <w:t>par, due 10/2026)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1/26/2024</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1"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Kangaroo Bidco AS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($157,500</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12.54</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1"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Alaska Bidco Oy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5/30/2023</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787</w:t>
              <w:br/>
              <w:t> (EUR 734)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Bluebill Buyer,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($7,676</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7/20/2023</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12.59</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BTRS Holdings,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($144,037</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($5,422</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CLGF HoldCo 2, LLC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($97,902</w:t>
            </w:r>
            <w:r>
              <w:rPr>
                <w:rFonts w:ascii="Times New Roman" w:hAnsi="Times New Roman"/>
                <w:color w:val="000000"/>
                <w:sz w:val="20"/>
              </w:rPr>
              <w:t> </w:t>
            </w:r>
            <w:r>
              <w:rPr>
                <w:rFonts w:ascii="Times New Roman" w:hAnsi="Times New Roman"/>
                <w:color w:val="000000"/>
                <w:sz w:val="14"/>
              </w:rPr>
              <w:t>par, due 11/2027)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($83,916</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80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+ 12.00%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Fullsteam Operations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($83,388</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CFF0FC" w:val="clear"/>
            <w:vAlign w:val="center"/>
          </w:tcPr>
          <w:p>
            <w:pPr>
              <w:pStyle w:val="TableContents"/>
              <w:bidi w:val="0"/>
              <w:spacing w:before="0" w:after="283"/>
              <w:jc w:val="right"/>
              <w:rPr/>
            </w:pPr>
            <w:r>
              <w:rPr/>
              <w:t> </w:t>
            </w:r>
          </w:p>
        </w:tc>
        <w:tc>
          <w:tcPr>
            <w:tcW w:w="80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9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GreenShoot BidCo B.V.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5,107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5/28/2024</w:t>
            </w:r>
          </w:p>
        </w:tc>
        <w:tc>
          <w:tcPr>
            <w:tcW w:w="146"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5,356</w:t>
              <w:br/>
              <w:t> (EUR 4,997)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0"/>
        <w:gridCol w:w="146"/>
        <w:gridCol w:w="1938"/>
        <w:gridCol w:w="146"/>
        <w:gridCol w:w="592"/>
        <w:gridCol w:w="146"/>
        <w:gridCol w:w="166"/>
        <w:gridCol w:w="662"/>
        <w:gridCol w:w="211"/>
        <w:gridCol w:w="146"/>
        <w:gridCol w:w="260"/>
        <w:gridCol w:w="782"/>
        <w:gridCol w:w="211"/>
        <w:gridCol w:w="146"/>
        <w:gridCol w:w="146"/>
        <w:gridCol w:w="586"/>
        <w:gridCol w:w="146"/>
        <w:gridCol w:w="146"/>
        <w:gridCol w:w="163"/>
        <w:gridCol w:w="656"/>
        <w:gridCol w:w="146"/>
        <w:gridCol w:w="146"/>
        <w:gridCol w:w="146"/>
        <w:gridCol w:w="361"/>
        <w:gridCol w:w="261"/>
      </w:tblGrid>
      <w:tr>
        <w:trPr/>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Ping Identity Holding Corp.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($136,364</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10/17/2022</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Volante Technologies, Inc.</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($2,826</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9/29/2023</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 PIK</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Edge Bidco B.V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5,893</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 (incl. 3.25%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1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6,371</w:t>
              <w:br/>
              <w:t> (EUR 5,945)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($98,109</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95,255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SL Buyer Corp.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($3,642</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+ 7.75%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75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Equinox Holdings, Inc.</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($194,201 par, due 3/2029)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3/8/2024</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13.58% (incl. 4.13% PIK)</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($8,669</w:t>
            </w:r>
            <w:r>
              <w:rPr>
                <w:rFonts w:ascii="Times New Roman" w:hAnsi="Times New Roman"/>
                <w:color w:val="000000"/>
                <w:sz w:val="20"/>
              </w:rPr>
              <w:t> </w:t>
            </w:r>
            <w:r>
              <w:rPr>
                <w:rFonts w:ascii="Times New Roman" w:hAnsi="Times New Roman"/>
                <w:color w:val="000000"/>
                <w:sz w:val="14"/>
              </w:rPr>
              <w:t>par, due 6/2027)</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3/13/2024</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Sport Alliance GmbH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4,404</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+ 7.25%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10.94% (incl. 3.88% PIK)</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4,612</w:t>
              <w:br/>
              <w:t> (EUR 4,303)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($140,258</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+ 6.38%</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HireVue,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($110,333</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($1,815</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MadCap Software,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($2,488</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12/15/2023</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+ 6.10%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11.44</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Insurance</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Disco Parent,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($57,756</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3/30/2023</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 Buyer,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($129,214</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6/30/2023</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129,588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Coupa Holdings,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($129,573</w:t>
            </w:r>
            <w:r>
              <w:rPr>
                <w:rFonts w:ascii="Times New Roman" w:hAnsi="Times New Roman"/>
                <w:color w:val="000000"/>
                <w:sz w:val="20"/>
              </w:rPr>
              <w:t> </w:t>
            </w:r>
            <w:r>
              <w:rPr>
                <w:rFonts w:ascii="Times New Roman" w:hAnsi="Times New Roman"/>
                <w:color w:val="000000"/>
                <w:sz w:val="14"/>
              </w:rPr>
              <w:t>par, due 2/2030)</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Hippo XPA Bidco AB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(SEK 78,816</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STIBOR + 6.50%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 (incl. 3.50%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1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7,294</w:t>
              <w:br/>
              <w:t> (SEK 77,245)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Merit Software Finance Holdings,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($10,714</w:t>
            </w:r>
            <w:r>
              <w:rPr>
                <w:rFonts w:ascii="Times New Roman" w:hAnsi="Times New Roman"/>
                <w:color w:val="000000"/>
                <w:sz w:val="20"/>
              </w:rPr>
              <w:t> </w:t>
            </w:r>
            <w:r>
              <w:rPr>
                <w:rFonts w:ascii="Times New Roman" w:hAnsi="Times New Roman"/>
                <w:color w:val="000000"/>
                <w:sz w:val="14"/>
              </w:rPr>
              <w:t>par, due 6/2029)</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6/20/2024</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SMA Technologies Holdings,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($5,667</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10/31/2022</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Aptean,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($110,905</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1/30/2024</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ASP Unifrax Holdings, Inc. </w:t>
            </w:r>
            <w:r>
              <w:rPr>
                <w:rFonts w:ascii="Times New Roman" w:hAnsi="Times New Roman"/>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($1,124 par, due 12/2025)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8/25/2023</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+ 3.90%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(EUR 1,023 par, due 12/2025)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9/14/2023</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+ 3.75%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1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br/>
              <w:t> (EUR 980)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Secured note ($1,226</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12/19/2023</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Unsecured note ($1,059</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8/31/2023</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Avalara,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($136,364</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10/19/2022</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133,676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138,614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Heritage Environmental Services,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($132,343</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1/31/2024</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Skylark UK DebtCo Limited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($56,651</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57,691</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+ 5.75%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10.95</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1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72,684</w:t>
              <w:br/>
              <w:t> (GBP 57,498)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16,819</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17,981</w:t>
              <w:br/>
              <w:t> (EUR 16,777)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Scorpio Bidco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75,326</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1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79,284</w:t>
              <w:br/>
              <w:t> (EUR 73,976)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Laramie Energy,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($97,561</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2/21/2023</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12.44</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Mach Natural Resources LP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($121,875</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12/28/2023</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215,717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CFF0FC" w:val="clear"/>
            <w:vAlign w:val="center"/>
          </w:tcPr>
          <w:p>
            <w:pPr>
              <w:pStyle w:val="TableContents"/>
              <w:bidi w:val="0"/>
              <w:spacing w:before="0" w:after="283"/>
              <w:jc w:val="right"/>
              <w:rPr/>
            </w:pPr>
            <w:r>
              <w:rPr/>
              <w:t> </w:t>
            </w:r>
          </w:p>
        </w:tc>
        <w:tc>
          <w:tcPr>
            <w:tcW w:w="1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75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Apellis Pharmaceuticals, Inc.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9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($177,632</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5/13/2024</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1"/>
        <w:gridCol w:w="146"/>
        <w:gridCol w:w="1984"/>
        <w:gridCol w:w="146"/>
        <w:gridCol w:w="552"/>
        <w:gridCol w:w="146"/>
        <w:gridCol w:w="146"/>
        <w:gridCol w:w="640"/>
        <w:gridCol w:w="146"/>
        <w:gridCol w:w="146"/>
        <w:gridCol w:w="164"/>
        <w:gridCol w:w="492"/>
        <w:gridCol w:w="211"/>
        <w:gridCol w:w="146"/>
        <w:gridCol w:w="181"/>
        <w:gridCol w:w="691"/>
        <w:gridCol w:w="146"/>
        <w:gridCol w:w="146"/>
        <w:gridCol w:w="181"/>
        <w:gridCol w:w="691"/>
        <w:gridCol w:w="146"/>
        <w:gridCol w:w="146"/>
        <w:gridCol w:w="146"/>
        <w:gridCol w:w="436"/>
        <w:gridCol w:w="289"/>
      </w:tblGrid>
      <w:tr>
        <w:trPr/>
        <w:tc>
          <w:tcPr>
            <w:tcW w:w="1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9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right"/>
              <w:rPr/>
            </w:pPr>
            <w:r>
              <w:rPr/>
              <w:t> </w:t>
            </w:r>
          </w:p>
        </w:tc>
      </w:tr>
      <w:tr>
        <w:trPr/>
        <w:tc>
          <w:tcPr>
            <w:tcW w:w="19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Bed Bath and Beyond Inc. </w:t>
            </w:r>
            <w:r>
              <w:rPr>
                <w:rFonts w:ascii="Times New Roman" w:hAnsi="Times New Roman"/>
                <w:color w:val="000000"/>
                <w:sz w:val="9"/>
              </w:rPr>
              <w:t>(3)(11)</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($18,795</w:t>
            </w:r>
            <w:r>
              <w:rPr>
                <w:rFonts w:ascii="Times New Roman" w:hAnsi="Times New Roman"/>
                <w:color w:val="000000"/>
                <w:sz w:val="20"/>
              </w:rPr>
              <w:t> </w:t>
            </w:r>
            <w:r>
              <w:rPr>
                <w:rFonts w:ascii="Times New Roman" w:hAnsi="Times New Roman"/>
                <w:color w:val="000000"/>
                <w:sz w:val="14"/>
              </w:rPr>
              <w:t>par, due 8/2027)</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9/2/2022</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+ 9.90%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15.24</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Roll Up DIP term loan ($44,447</w:t>
            </w:r>
            <w:r>
              <w:rPr>
                <w:rFonts w:ascii="Times New Roman" w:hAnsi="Times New Roman"/>
                <w:color w:val="000000"/>
                <w:sz w:val="20"/>
              </w:rPr>
              <w:t> </w:t>
            </w:r>
            <w:r>
              <w:rPr>
                <w:rFonts w:ascii="Times New Roman" w:hAnsi="Times New Roman"/>
                <w:color w:val="000000"/>
                <w:sz w:val="14"/>
              </w:rPr>
              <w:t>par, due 9/2024)</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Super-Priority DIP term loan ($7,600</w:t>
            </w:r>
            <w:r>
              <w:rPr>
                <w:rFonts w:ascii="Times New Roman" w:hAnsi="Times New Roman"/>
                <w:color w:val="000000"/>
                <w:sz w:val="20"/>
              </w:rPr>
              <w:t> </w:t>
            </w:r>
            <w:r>
              <w:rPr>
                <w:rFonts w:ascii="Times New Roman" w:hAnsi="Times New Roman"/>
                <w:color w:val="000000"/>
                <w:sz w:val="14"/>
              </w:rPr>
              <w:t>par, due 9/2024)</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Commercehub,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($147,750</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11/15/2022</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4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PDI TA Holdings,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($130,183</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127,840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Rapid Data GmbH Unternehmensberatung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4,495</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4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4,818</w:t>
              <w:br/>
              <w:t> (EUR 4,495)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343,072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right"/>
              <w:rPr/>
            </w:pPr>
            <w:r>
              <w:rPr/>
              <w:t> </w:t>
            </w:r>
          </w:p>
        </w:tc>
      </w:tr>
      <w:tr>
        <w:trPr/>
        <w:tc>
          <w:tcPr>
            <w:tcW w:w="19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Ben Nevis Midco Limited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($65,929</w:t>
            </w:r>
            <w:r>
              <w:rPr>
                <w:rFonts w:ascii="Times New Roman" w:hAnsi="Times New Roman"/>
                <w:color w:val="000000"/>
                <w:sz w:val="20"/>
              </w:rPr>
              <w:t> </w:t>
            </w:r>
            <w:r>
              <w:rPr>
                <w:rFonts w:ascii="Times New Roman" w:hAnsi="Times New Roman"/>
                <w:color w:val="000000"/>
                <w:sz w:val="14"/>
              </w:rPr>
              <w:t>par, due 3/2028)</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4,819,430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4,912,067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178.8</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right"/>
              <w:rPr/>
            </w:pPr>
            <w:r>
              <w:rPr/>
              <w:t> </w:t>
            </w:r>
          </w:p>
        </w:tc>
      </w:tr>
      <w:tr>
        <w:trPr/>
        <w:tc>
          <w:tcPr>
            <w:tcW w:w="19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right"/>
              <w:rPr/>
            </w:pPr>
            <w:r>
              <w:rPr/>
              <w:t> </w:t>
            </w:r>
          </w:p>
        </w:tc>
      </w:tr>
      <w:tr>
        <w:trPr/>
        <w:tc>
          <w:tcPr>
            <w:tcW w:w="19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right"/>
              <w:rPr/>
            </w:pPr>
            <w:r>
              <w:rPr/>
              <w:t> </w:t>
            </w:r>
          </w:p>
        </w:tc>
      </w:tr>
      <w:tr>
        <w:trPr/>
        <w:tc>
          <w:tcPr>
            <w:tcW w:w="19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Clarience Technologies, LLC </w:t>
            </w:r>
            <w:r>
              <w:rPr>
                <w:rFonts w:ascii="Times New Roman" w:hAnsi="Times New Roman"/>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(2,666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2/12/2024</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right"/>
              <w:rPr/>
            </w:pPr>
            <w:r>
              <w:rPr/>
              <w:t> </w:t>
            </w:r>
          </w:p>
        </w:tc>
      </w:tr>
      <w:tr>
        <w:trPr/>
        <w:tc>
          <w:tcPr>
            <w:tcW w:w="19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right"/>
              <w:rPr/>
            </w:pPr>
            <w:r>
              <w:rPr/>
              <w:t> </w:t>
            </w:r>
          </w:p>
        </w:tc>
      </w:tr>
      <w:tr>
        <w:trPr/>
        <w:tc>
          <w:tcPr>
            <w:tcW w:w="19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Artisan Topco LP </w:t>
            </w:r>
            <w:r>
              <w:rPr>
                <w:rFonts w:ascii="Times New Roman" w:hAnsi="Times New Roman"/>
                <w:color w:val="000000"/>
                <w:sz w:val="9"/>
              </w:rPr>
              <w:t>(8)(10)</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Preferred Units (7,882,736</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Insight Hideaway Aggregator, L.P. </w:t>
            </w:r>
            <w:r>
              <w:rPr>
                <w:rFonts w:ascii="Times New Roman" w:hAnsi="Times New Roman"/>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Interest (2,170,139</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Newark FP Co-Invest, L.P. </w:t>
            </w:r>
            <w:r>
              <w:rPr>
                <w:rFonts w:ascii="Times New Roman" w:hAnsi="Times New Roman"/>
                <w:color w:val="000000"/>
                <w:sz w:val="9"/>
              </w:rPr>
              <w:t>(8)(10)</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(8,555,356</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Warrior TopCo LP </w:t>
            </w:r>
            <w:r>
              <w:rPr>
                <w:rFonts w:ascii="Times New Roman" w:hAnsi="Times New Roman"/>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(9,576,271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right"/>
              <w:rPr/>
            </w:pPr>
            <w:r>
              <w:rPr/>
              <w:t> </w:t>
            </w:r>
          </w:p>
        </w:tc>
      </w:tr>
      <w:tr>
        <w:trPr/>
        <w:tc>
          <w:tcPr>
            <w:tcW w:w="19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AF Eagle Parent, L.P. </w:t>
            </w:r>
            <w:r>
              <w:rPr>
                <w:rFonts w:ascii="Times New Roman" w:hAnsi="Times New Roman"/>
                <w:color w:val="000000"/>
                <w:sz w:val="9"/>
              </w:rPr>
              <w:t>(8)(10)</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Units (337,024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CLGF Holdings, L.P. </w:t>
            </w:r>
            <w:r>
              <w:rPr>
                <w:rFonts w:ascii="Times New Roman" w:hAnsi="Times New Roman"/>
                <w:color w:val="000000"/>
                <w:sz w:val="9"/>
              </w:rPr>
              <w:t>(4)(8)(10)</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8,358,075</w:t>
            </w:r>
            <w:r>
              <w:rPr>
                <w:rFonts w:ascii="Times New Roman" w:hAnsi="Times New Roman"/>
                <w:color w:val="000000"/>
                <w:sz w:val="20"/>
              </w:rPr>
              <w:t> </w:t>
            </w: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right"/>
              <w:rPr/>
            </w:pPr>
            <w:r>
              <w:rPr/>
              <w:t> </w:t>
            </w:r>
          </w:p>
        </w:tc>
      </w:tr>
      <w:tr>
        <w:trPr/>
        <w:tc>
          <w:tcPr>
            <w:tcW w:w="19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Raptor US Buyer II Corp. </w:t>
            </w:r>
            <w:r>
              <w:rPr>
                <w:rFonts w:ascii="Times New Roman" w:hAnsi="Times New Roman"/>
                <w:color w:val="000000"/>
                <w:sz w:val="9"/>
              </w:rPr>
              <w:t>(8)</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128,321</w:t>
            </w:r>
            <w:r>
              <w:rPr>
                <w:rFonts w:ascii="Times New Roman" w:hAnsi="Times New Roman"/>
                <w:color w:val="000000"/>
                <w:sz w:val="20"/>
              </w:rPr>
              <w:t> </w:t>
            </w:r>
            <w:r>
              <w:rPr>
                <w:rFonts w:ascii="Times New Roman" w:hAnsi="Times New Roman"/>
                <w:color w:val="000000"/>
                <w:sz w:val="14"/>
              </w:rPr>
              <w:t>Ordinary Shares</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right"/>
              <w:rPr/>
            </w:pPr>
            <w:r>
              <w:rPr/>
              <w:t> </w:t>
            </w:r>
          </w:p>
        </w:tc>
      </w:tr>
      <w:tr>
        <w:trPr/>
        <w:tc>
          <w:tcPr>
            <w:tcW w:w="19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right"/>
              <w:rPr/>
            </w:pPr>
            <w:r>
              <w:rPr/>
              <w:t> </w:t>
            </w:r>
          </w:p>
        </w:tc>
      </w:tr>
      <w:tr>
        <w:trPr/>
        <w:tc>
          <w:tcPr>
            <w:tcW w:w="19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(8)</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(7,606,491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right"/>
              <w:rPr/>
            </w:pPr>
            <w:r>
              <w:rPr/>
              <w:t> </w:t>
            </w:r>
          </w:p>
        </w:tc>
      </w:tr>
      <w:tr>
        <w:trPr/>
        <w:tc>
          <w:tcPr>
            <w:tcW w:w="19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right"/>
              <w:rPr/>
            </w:pPr>
            <w:r>
              <w:rPr/>
              <w:t> </w:t>
            </w:r>
          </w:p>
        </w:tc>
      </w:tr>
      <w:tr>
        <w:trPr/>
        <w:tc>
          <w:tcPr>
            <w:tcW w:w="19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 </w:t>
            </w:r>
            <w:r>
              <w:rPr>
                <w:rFonts w:ascii="Times New Roman" w:hAnsi="Times New Roman"/>
                <w:color w:val="000000"/>
                <w:sz w:val="9"/>
              </w:rPr>
              <w:t>(8)</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(200</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(142,038</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w:t>
              <w:br/>
              <w:t>   Investments</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9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vAlign w:val="center"/>
          </w:tcPr>
          <w:p>
            <w:pPr>
              <w:pStyle w:val="TableContents"/>
              <w:bidi w:val="0"/>
              <w:spacing w:before="0" w:after="283"/>
              <w:jc w:val="right"/>
              <w:rPr/>
            </w:pPr>
            <w:r>
              <w:rPr/>
              <w:t> </w:t>
            </w:r>
          </w:p>
        </w:tc>
        <w:tc>
          <w:tcPr>
            <w:tcW w:w="19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4,910,340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5,006,147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182.1</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76"/>
        <w:gridCol w:w="146"/>
        <w:gridCol w:w="871"/>
        <w:gridCol w:w="146"/>
        <w:gridCol w:w="1081"/>
        <w:gridCol w:w="146"/>
        <w:gridCol w:w="1033"/>
        <w:gridCol w:w="146"/>
        <w:gridCol w:w="196"/>
        <w:gridCol w:w="691"/>
        <w:gridCol w:w="146"/>
        <w:gridCol w:w="146"/>
        <w:gridCol w:w="196"/>
        <w:gridCol w:w="601"/>
        <w:gridCol w:w="166"/>
        <w:gridCol w:w="146"/>
        <w:gridCol w:w="370"/>
        <w:gridCol w:w="657"/>
        <w:gridCol w:w="146"/>
        <w:gridCol w:w="146"/>
        <w:gridCol w:w="294"/>
        <w:gridCol w:w="863"/>
        <w:gridCol w:w="396"/>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187"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 Rate Swaps as of June 30,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 in</w:t>
              <w:br/>
              <w:t>Unrealized</w:t>
              <w:br/>
              <w:t>Gains / (Losses)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Interest rate swap </w:t>
            </w:r>
            <w:r>
              <w:rPr>
                <w:rFonts w:ascii="Times New Roman" w:hAnsi="Times New Roman"/>
                <w:color w:val="000000"/>
                <w:sz w:val="12"/>
              </w:rPr>
              <w:t>(a)(b)</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6.50%</w:t>
            </w:r>
          </w:p>
        </w:tc>
        <w:tc>
          <w:tcPr>
            <w:tcW w:w="146" w:type="dxa"/>
            <w:tcBorders/>
            <w:shd w:fill="CFF0FC" w:val="clear"/>
            <w:vAlign w:val="center"/>
          </w:tcPr>
          <w:p>
            <w:pPr>
              <w:pStyle w:val="TableContents"/>
              <w:bidi w:val="0"/>
              <w:spacing w:before="0" w:after="283"/>
              <w:jc w:val="right"/>
              <w:rPr/>
            </w:pPr>
            <w:r>
              <w:rPr/>
              <w:t> </w:t>
            </w:r>
          </w:p>
        </w:tc>
        <w:tc>
          <w:tcPr>
            <w:tcW w:w="10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SOFR + 2.51%</w:t>
            </w:r>
          </w:p>
        </w:tc>
        <w:tc>
          <w:tcPr>
            <w:tcW w:w="146" w:type="dxa"/>
            <w:tcBorders/>
            <w:shd w:fill="CFF0FC" w:val="clear"/>
            <w:vAlign w:val="center"/>
          </w:tcPr>
          <w:p>
            <w:pPr>
              <w:pStyle w:val="TableContents"/>
              <w:bidi w:val="0"/>
              <w:spacing w:before="0" w:after="283"/>
              <w:jc w:val="righ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(3,330</w:t>
            </w:r>
          </w:p>
        </w:tc>
        <w:tc>
          <w:tcPr>
            <w:tcW w:w="3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Interest rate swap </w:t>
            </w:r>
            <w:r>
              <w:rPr>
                <w:rFonts w:ascii="Times New Roman" w:hAnsi="Times New Roman"/>
                <w:color w:val="000000"/>
                <w:sz w:val="12"/>
              </w:rPr>
              <w:t>(a)(b)</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6.50%</w:t>
            </w:r>
          </w:p>
        </w:tc>
        <w:tc>
          <w:tcPr>
            <w:tcW w:w="146" w:type="dxa"/>
            <w:tcBorders/>
            <w:shd w:fill="FFFFFF" w:val="clear"/>
            <w:vAlign w:val="center"/>
          </w:tcPr>
          <w:p>
            <w:pPr>
              <w:pStyle w:val="TableContents"/>
              <w:bidi w:val="0"/>
              <w:spacing w:before="0" w:after="283"/>
              <w:jc w:val="right"/>
              <w:rPr/>
            </w:pPr>
            <w:r>
              <w:rPr/>
              <w:t> </w:t>
            </w:r>
          </w:p>
        </w:tc>
        <w:tc>
          <w:tcPr>
            <w:tcW w:w="10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SOFR + 2.22%</w:t>
            </w:r>
          </w:p>
        </w:tc>
        <w:tc>
          <w:tcPr>
            <w:tcW w:w="146" w:type="dxa"/>
            <w:tcBorders/>
            <w:shd w:fill="FFFFFF" w:val="clear"/>
            <w:vAlign w:val="center"/>
          </w:tcPr>
          <w:p>
            <w:pPr>
              <w:pStyle w:val="TableContents"/>
              <w:bidi w:val="0"/>
              <w:spacing w:before="0" w:after="283"/>
              <w:jc w:val="righ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396" w:type="dxa"/>
            <w:tcBorders/>
            <w:shd w:fill="FFFFFF" w:val="clear"/>
            <w:vAlign w:val="center"/>
          </w:tcPr>
          <w:p>
            <w:pPr>
              <w:pStyle w:val="TableContents"/>
              <w:bidi w:val="0"/>
              <w:spacing w:before="0" w:after="283"/>
              <w:jc w:val="left"/>
              <w:rPr/>
            </w:pPr>
            <w:r>
              <w:rPr/>
              <w:t> </w:t>
            </w:r>
          </w:p>
        </w:tc>
      </w:tr>
      <w:tr>
        <w:trPr/>
        <w:tc>
          <w:tcPr>
            <w:tcW w:w="1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collateral</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0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0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7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 derivatives</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pPr>
      <w:r>
        <w:rPr>
          <w:rFonts w:ascii="Times New Roman" w:hAnsi="Times New Roman"/>
          <w:color w:val="000000"/>
          <w:sz w:val="20"/>
        </w:rPr>
        <w:t>Contains a variable rate structure. Bears interest at a rate determined by three-month SOFR.</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Instrument is used in a hedge accounting relationship. The associated change in fair value is recorded along with the change in fair value of the hedged item within interest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Company’s portfolio companies are domiciled in the United States. Under the Investment Company Act of 1940, as amended (the “1940 Act”), the Company would “control” a portfolio company if the Company owned</w:t>
        <w:br/>
        <w:t>more than 25% of its outstanding voting securities and/or had the power to exercise control over the management or policies of</w:t>
        <w:br/>
        <w:t>such portfolio company. As of June 30, 2024, the Company does not “control” any of the portfolio companies. Also under the 1940 Act, the Company would be deemed to be an “Affiliated Person” of a portfolio company if the Company owns more than 5% of the portfolio company’s outstanding voting securities. As of June 30, 2024, the Company does not identify any of its portfolio companies as affiliates.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w:t>
        <w:br/>
        <w:t>may be determined by reference to either Euro Interbank Offer Rate (“Euribor” or “E”), Term Secured Overnight Financing Rate (“SOFR”), which may also contain a credit spread adjustment depending on the tenor election, Sterling Overnight Interbank Average Rate (“SONIA” or “S”), the Norwegian Interbank Offered Rate ("NIBOR" or "N"), Stockholm Interbank Offered Rate ("STIBOR"),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27.9%</w:t>
      </w:r>
      <w:r>
        <w:rPr>
          <w:color w:val="000000"/>
        </w:rPr>
        <w:t xml:space="preserve"> </w:t>
      </w:r>
      <w:r>
        <w:rPr>
          <w:rFonts w:ascii="Times New Roman" w:hAnsi="Times New Roman"/>
          <w:color w:val="000000"/>
          <w:sz w:val="20"/>
        </w:rPr>
        <w:t>of total assets as of June 30,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6 for further information related to</w:t>
        <w:br/>
        <w:t>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June 30, 2024, the estimated cost basis of investments for U.S. federal tax purposes was $4,930,476</w:t>
      </w:r>
      <w:r>
        <w:rPr>
          <w:color w:val="000000"/>
        </w:rPr>
        <w:t xml:space="preserve"> </w:t>
      </w:r>
      <w:r>
        <w:rPr>
          <w:rFonts w:ascii="Times New Roman" w:hAnsi="Times New Roman"/>
          <w:color w:val="000000"/>
          <w:sz w:val="20"/>
        </w:rPr>
        <w:t>resulting in estimated gross unrealized gains and losses of $109,842</w:t>
      </w:r>
      <w:r>
        <w:rPr>
          <w:color w:val="000000"/>
        </w:rPr>
        <w:t xml:space="preserve"> </w:t>
      </w:r>
      <w:r>
        <w:rPr>
          <w:rFonts w:ascii="Times New Roman" w:hAnsi="Times New Roman"/>
          <w:color w:val="000000"/>
          <w:sz w:val="20"/>
        </w:rPr>
        <w:t>and $35,475, respectfully.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as amended (the “Securities Act”), and may be deemed to be “restricted securities” under the Securities Act. As of June 30, 2024, the aggregate fair value of these securities is $72,275, or 2.6%</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$23.2</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w:t>
        <w:br/>
        <w:t>related to investments at fair value.</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Lending Partners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as of December 31, 2023</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6"/>
        <w:gridCol w:w="146"/>
        <w:gridCol w:w="1767"/>
        <w:gridCol w:w="146"/>
        <w:gridCol w:w="796"/>
        <w:gridCol w:w="146"/>
        <w:gridCol w:w="158"/>
        <w:gridCol w:w="641"/>
        <w:gridCol w:w="211"/>
        <w:gridCol w:w="146"/>
        <w:gridCol w:w="236"/>
        <w:gridCol w:w="707"/>
        <w:gridCol w:w="211"/>
        <w:gridCol w:w="146"/>
        <w:gridCol w:w="181"/>
        <w:gridCol w:w="586"/>
        <w:gridCol w:w="146"/>
        <w:gridCol w:w="146"/>
        <w:gridCol w:w="193"/>
        <w:gridCol w:w="628"/>
        <w:gridCol w:w="146"/>
        <w:gridCol w:w="146"/>
        <w:gridCol w:w="227"/>
        <w:gridCol w:w="562"/>
        <w:gridCol w:w="261"/>
      </w:tblGrid>
      <w:tr>
        <w:trPr/>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9"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9"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Bestpass,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($59,950</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9"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Bidco,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($141,889</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66,029</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72,027</w:t>
              <w:br/>
              <w:t> (EUR 65,203)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Ignition Purchaser,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holdco loan ($106,450</w:t>
            </w:r>
            <w:r>
              <w:rPr>
                <w:rFonts w:ascii="Times New Roman" w:hAnsi="Times New Roman"/>
                <w:color w:val="000000"/>
                <w:sz w:val="20"/>
              </w:rPr>
              <w:t> </w:t>
            </w:r>
            <w:r>
              <w:rPr>
                <w:rFonts w:ascii="Times New Roman" w:hAnsi="Times New Roman"/>
                <w:color w:val="000000"/>
                <w:sz w:val="14"/>
              </w:rPr>
              <w:t>par, due 10/2030)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+ 9.00%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14.40%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Crewline Buyer,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($190,636</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Galileo Parent,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($151,064</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148,798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($7,740</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Hornetsecurity Holding GmbH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3,150</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11/14/2022</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3,536</w:t>
              <w:br/>
              <w:t> (EUR 3,201)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OutSystems Luxco SARL</w:t>
            </w:r>
            <w:r>
              <w:rPr>
                <w:rFonts w:ascii="Times New Roman" w:hAnsi="Times New Roman"/>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3,004</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12/8/2022</w:t>
            </w:r>
          </w:p>
        </w:tc>
        <w:tc>
          <w:tcPr>
            <w:tcW w:w="146"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3,332</w:t>
              <w:br/>
              <w:t> (EUR 3,016)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Price Fx Inc.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10.94</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983</w:t>
              <w:br/>
              <w:t> (EUR 890)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Wrangler TopCo,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($93,847</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9"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Erling Lux Bidco SARL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7,239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+ 6.75%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8,053</w:t>
              <w:br/>
              <w:t> (EUR 7,290)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12,287</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+ 6.75%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15,741</w:t>
              <w:br/>
              <w:t> (GBP 12,349)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312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+ 6.75%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w:t>
              <w:br/>
              <w:t> (GBP 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9"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Banyan Software Holdings, LLC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($59,477</w:t>
            </w:r>
            <w:r>
              <w:rPr>
                <w:rFonts w:ascii="Times New Roman" w:hAnsi="Times New Roman"/>
                <w:color w:val="000000"/>
                <w:sz w:val="20"/>
              </w:rPr>
              <w:t> </w:t>
            </w:r>
            <w:r>
              <w:rPr>
                <w:rFonts w:ascii="Times New Roman" w:hAnsi="Times New Roman"/>
                <w:color w:val="000000"/>
                <w:sz w:val="14"/>
              </w:rPr>
              <w:t>par, due 10/2026)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+ 7.35%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12.71</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9"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Kangaroo Bidco AS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($146,183</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12.94</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9"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Alaska Bidco Oy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5/30/2023</w:t>
            </w:r>
          </w:p>
        </w:tc>
        <w:tc>
          <w:tcPr>
            <w:tcW w:w="146"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+ 6.25%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10.39</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w:t>
              <w:br/>
              <w:t> (EUR 720)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Bluebill Buyer,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($7,425</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7/20/2023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BTRS Holdings,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($141,152</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+ 8.00%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($3,614</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+ 8.00%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CLGF HoldCo 2, LLC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($97,902</w:t>
            </w:r>
            <w:r>
              <w:rPr>
                <w:rFonts w:ascii="Times New Roman" w:hAnsi="Times New Roman"/>
                <w:color w:val="000000"/>
                <w:sz w:val="20"/>
              </w:rPr>
              <w:t> </w:t>
            </w:r>
            <w:r>
              <w:rPr>
                <w:rFonts w:ascii="Times New Roman" w:hAnsi="Times New Roman"/>
                <w:color w:val="000000"/>
                <w:sz w:val="14"/>
              </w:rPr>
              <w:t>par, due 11/2027)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13.85</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($83,916</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+ 12.00%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Fullsteam Operations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($82,397</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Ping Identity Holding Corp.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($136,364</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10/17/2022</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Volante Technologies, Inc.</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($2,604</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9/29/2023</w:t>
            </w:r>
          </w:p>
        </w:tc>
        <w:tc>
          <w:tcPr>
            <w:tcW w:w="146"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 PIK</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9"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Edge Bidco B.V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3,850</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 (incl. 3.25%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4,266</w:t>
              <w:br/>
              <w:t> (EUR 3,862)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($98,606</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SL Buyer Corp.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($3,525</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9"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($140,970</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+ 6.63%</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12.03</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26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HireVue,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($110,887</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MadCap Software,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($2,500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12/15/2023</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+ 6.10%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255,085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Insurance</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9"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Disco Parent,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6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($57,756</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3/30/2023</w:t>
            </w:r>
          </w:p>
        </w:tc>
        <w:tc>
          <w:tcPr>
            <w:tcW w:w="146" w:type="dxa"/>
            <w:tcBorders/>
            <w:shd w:fill="CFF0FC" w:val="clear"/>
            <w:vAlign w:val="center"/>
          </w:tcPr>
          <w:p>
            <w:pPr>
              <w:pStyle w:val="TableContents"/>
              <w:bidi w:val="0"/>
              <w:spacing w:before="0" w:after="283"/>
              <w:jc w:val="right"/>
              <w:rPr/>
            </w:pPr>
            <w:r>
              <w:rPr/>
              <w:t> </w:t>
            </w:r>
          </w:p>
        </w:tc>
        <w:tc>
          <w:tcPr>
            <w:tcW w:w="7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12.89</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6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vAlign w:val="center"/>
          </w:tcPr>
          <w:p>
            <w:pPr>
              <w:pStyle w:val="TableContents"/>
              <w:bidi w:val="0"/>
              <w:spacing w:before="0" w:after="283"/>
              <w:jc w:val="right"/>
              <w:rPr/>
            </w:pPr>
            <w:r>
              <w:rPr/>
              <w:t> </w:t>
            </w:r>
          </w:p>
        </w:tc>
        <w:tc>
          <w:tcPr>
            <w:tcW w:w="17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9"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7"/>
        <w:gridCol w:w="146"/>
        <w:gridCol w:w="1865"/>
        <w:gridCol w:w="146"/>
        <w:gridCol w:w="524"/>
        <w:gridCol w:w="146"/>
        <w:gridCol w:w="151"/>
        <w:gridCol w:w="556"/>
        <w:gridCol w:w="211"/>
        <w:gridCol w:w="146"/>
        <w:gridCol w:w="224"/>
        <w:gridCol w:w="672"/>
        <w:gridCol w:w="211"/>
        <w:gridCol w:w="146"/>
        <w:gridCol w:w="181"/>
        <w:gridCol w:w="691"/>
        <w:gridCol w:w="146"/>
        <w:gridCol w:w="146"/>
        <w:gridCol w:w="183"/>
        <w:gridCol w:w="701"/>
        <w:gridCol w:w="146"/>
        <w:gridCol w:w="146"/>
        <w:gridCol w:w="146"/>
        <w:gridCol w:w="436"/>
        <w:gridCol w:w="292"/>
      </w:tblGrid>
      <w:tr>
        <w:trPr/>
        <w:tc>
          <w:tcPr>
            <w:tcW w:w="1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 Buyer,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($121,875</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6/30/2023</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118,648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Coupa Holdings,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($129,573</w:t>
            </w:r>
            <w:r>
              <w:rPr>
                <w:rFonts w:ascii="Times New Roman" w:hAnsi="Times New Roman"/>
                <w:color w:val="000000"/>
                <w:sz w:val="20"/>
              </w:rPr>
              <w:t> </w:t>
            </w:r>
            <w:r>
              <w:rPr>
                <w:rFonts w:ascii="Times New Roman" w:hAnsi="Times New Roman"/>
                <w:color w:val="000000"/>
                <w:sz w:val="14"/>
              </w:rPr>
              <w:t>par, due 2/2030)</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SMA Technologies Holdings,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($5,667</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10/31/2022</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ASP Unifrax Holdings, Inc. </w:t>
            </w:r>
            <w:r>
              <w:rPr>
                <w:rFonts w:ascii="Times New Roman" w:hAnsi="Times New Roman"/>
                <w:color w:val="000000"/>
                <w:sz w:val="9"/>
              </w:rPr>
              <w:t>(12)</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($1,130 par, due 12/2025)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8/25/2023</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+ 3.90%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9.25</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(EUR 1,023 par, due 12/2025)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9/14/2023</w:t>
            </w:r>
          </w:p>
        </w:tc>
        <w:tc>
          <w:tcPr>
            <w:tcW w:w="146"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+ 3.75%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w:t>
              <w:br/>
              <w:t> (EUR 932)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Unsecured note ($1,059</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8/31/2023</w:t>
            </w:r>
          </w:p>
        </w:tc>
        <w:tc>
          <w:tcPr>
            <w:tcW w:w="146"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Secured note ($91</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12/19/2023</w:t>
            </w:r>
          </w:p>
        </w:tc>
        <w:tc>
          <w:tcPr>
            <w:tcW w:w="146"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Avalara,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($136,364</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10/19/2022</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Skylark UK DebtCo Limited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($65,149</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 + 6.25%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11.60</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66,344</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 + 6.25%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82,038</w:t>
              <w:br/>
              <w:t> (GBP 64,354)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19,342</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E + 6.25%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10.18</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20,885</w:t>
              <w:br/>
              <w:t> (EUR 18,907)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Laramie Energy,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($97,561</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2/21/2023</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Mach Natural Resources LP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($135,000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12/28/2023</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227,909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Bed Bath and Beyond Inc. </w:t>
            </w:r>
            <w:r>
              <w:rPr>
                <w:rFonts w:ascii="Times New Roman" w:hAnsi="Times New Roman"/>
                <w:color w:val="000000"/>
                <w:sz w:val="9"/>
              </w:rPr>
              <w:t>(3)(11)</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($25,574</w:t>
            </w:r>
            <w:r>
              <w:rPr>
                <w:rFonts w:ascii="Times New Roman" w:hAnsi="Times New Roman"/>
                <w:color w:val="000000"/>
                <w:sz w:val="20"/>
              </w:rPr>
              <w:t> </w:t>
            </w:r>
            <w:r>
              <w:rPr>
                <w:rFonts w:ascii="Times New Roman" w:hAnsi="Times New Roman"/>
                <w:color w:val="000000"/>
                <w:sz w:val="14"/>
              </w:rPr>
              <w:t>par, due 8/2027)</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9/2/2022</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+ 9.90%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Roll Up DIP term loan ($8,617</w:t>
            </w:r>
            <w:r>
              <w:rPr>
                <w:rFonts w:ascii="Times New Roman" w:hAnsi="Times New Roman"/>
                <w:color w:val="000000"/>
                <w:sz w:val="20"/>
              </w:rPr>
              <w:t> </w:t>
            </w:r>
            <w:r>
              <w:rPr>
                <w:rFonts w:ascii="Times New Roman" w:hAnsi="Times New Roman"/>
                <w:color w:val="000000"/>
                <w:sz w:val="14"/>
              </w:rPr>
              <w:t>par, due 9/2024)</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4/24/2023</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13.26</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Super-Priority DIP term loan ($47,147</w:t>
            </w:r>
            <w:r>
              <w:rPr>
                <w:rFonts w:ascii="Times New Roman" w:hAnsi="Times New Roman"/>
                <w:color w:val="000000"/>
                <w:sz w:val="20"/>
              </w:rPr>
              <w:t> </w:t>
            </w:r>
            <w:r>
              <w:rPr>
                <w:rFonts w:ascii="Times New Roman" w:hAnsi="Times New Roman"/>
                <w:color w:val="000000"/>
                <w:sz w:val="14"/>
              </w:rPr>
              <w:t>par, due 9/2024)</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4/24/2023</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13.26% (incl. 13.26% PIK)</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Commercehub,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($148,500</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11/15/2022</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139,880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Rapid Data GmbH Unternehmensberatung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4,495</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E + 6.50%</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w:t>
            </w:r>
          </w:p>
        </w:tc>
        <w:tc>
          <w:tcPr>
            <w:tcW w:w="2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4,853</w:t>
              <w:br/>
              <w:t> (EUR 4,393)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2,975,175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3,036,500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167.2</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AF Eagle Parent, L.P. </w:t>
            </w:r>
            <w:r>
              <w:rPr>
                <w:rFonts w:ascii="Times New Roman" w:hAnsi="Times New Roman"/>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Partnership Units (337,024)</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Artisan Topco LP </w:t>
            </w:r>
            <w:r>
              <w:rPr>
                <w:rFonts w:ascii="Times New Roman" w:hAnsi="Times New Roman"/>
                <w:color w:val="000000"/>
                <w:sz w:val="9"/>
              </w:rPr>
              <w:t>(8)(10)</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Preferred Units (7,882,736</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Warrior TopCo LP </w:t>
            </w:r>
            <w:r>
              <w:rPr>
                <w:rFonts w:ascii="Times New Roman" w:hAnsi="Times New Roman"/>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(9,576,271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CLGF Holdings, L.P. </w:t>
            </w:r>
            <w:r>
              <w:rPr>
                <w:rFonts w:ascii="Times New Roman" w:hAnsi="Times New Roman"/>
                <w:color w:val="000000"/>
                <w:sz w:val="9"/>
              </w:rPr>
              <w:t>(4)(8)(10)</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8,358,075</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Raptor US Buyer II Corp. </w:t>
            </w:r>
            <w:r>
              <w:rPr>
                <w:rFonts w:ascii="Times New Roman" w:hAnsi="Times New Roman"/>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128,321</w:t>
            </w:r>
            <w:r>
              <w:rPr>
                <w:rFonts w:ascii="Times New Roman" w:hAnsi="Times New Roman"/>
                <w:color w:val="000000"/>
                <w:sz w:val="20"/>
              </w:rPr>
              <w:t> </w:t>
            </w:r>
            <w:r>
              <w:rPr>
                <w:rFonts w:ascii="Times New Roman" w:hAnsi="Times New Roman"/>
                <w:color w:val="000000"/>
                <w:sz w:val="14"/>
              </w:rPr>
              <w:t>Ordinary Shares</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r>
      <w:tr>
        <w:trPr/>
        <w:tc>
          <w:tcPr>
            <w:tcW w:w="184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(8)</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(7,606,491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r>
      <w:tr>
        <w:trPr/>
        <w:tc>
          <w:tcPr>
            <w:tcW w:w="184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Newark FP Co-Invest, L.P. </w:t>
            </w:r>
            <w:r>
              <w:rPr>
                <w:rFonts w:ascii="Times New Roman" w:hAnsi="Times New Roman"/>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(8,555,356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9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 </w:t>
            </w:r>
            <w:r>
              <w:rPr>
                <w:rFonts w:ascii="Times New Roman" w:hAnsi="Times New Roman"/>
                <w:color w:val="000000"/>
                <w:sz w:val="9"/>
              </w:rPr>
              <w:t>(8)</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(200</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9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(142,038</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w:t>
              <w:br/>
              <w:t>   Investments</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6"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vAlign w:val="center"/>
          </w:tcPr>
          <w:p>
            <w:pPr>
              <w:pStyle w:val="TableContents"/>
              <w:bidi w:val="0"/>
              <w:spacing w:before="0" w:after="283"/>
              <w:jc w:val="right"/>
              <w:rPr/>
            </w:pPr>
            <w:r>
              <w:rPr/>
              <w:t> </w:t>
            </w:r>
          </w:p>
        </w:tc>
        <w:tc>
          <w:tcPr>
            <w:tcW w:w="186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6"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3,037,826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3,099,151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170.6</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Company’s portfolio companies are domiciled in the United States. Under the Investment Company Act of 1940, as amended (the “1940 Act”), the Company would “control” a portfolio company if the Company owned</w:t>
        <w:br/>
        <w:t>more than 25% of its outstanding voting securities and/or had the power to exercise control over the management or policies of</w:t>
        <w:br/>
        <w:t>such portfolio company. As of December 31, 2023, the Company does not “control” any of the portfolio companies. Also under the 1940 Act, the Company would be deemed to be an “Affiliated Person” of a portfolio company if the Company owns more than 5% of the portfolio company’s outstanding voting securities. As of December 31, 2023, the Company does not identify any of its portfolio companies as affiliates.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w:t>
        <w:br/>
        <w:t>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23.0% of total assets as of December 31,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6 for further information related to</w:t>
        <w:br/>
        <w:t>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December 31, 2023, the estimated cost basis of investments for U.S. federal tax purposes was $3,047,224</w:t>
      </w:r>
      <w:r>
        <w:rPr>
          <w:color w:val="000000"/>
        </w:rPr>
        <w:t xml:space="preserve"> </w:t>
      </w:r>
      <w:r>
        <w:rPr>
          <w:rFonts w:ascii="Times New Roman" w:hAnsi="Times New Roman"/>
          <w:color w:val="000000"/>
          <w:sz w:val="20"/>
        </w:rPr>
        <w:t>resulting in estimated gross unrealized gains and losses of $69,618</w:t>
      </w:r>
      <w:r>
        <w:rPr>
          <w:color w:val="000000"/>
        </w:rPr>
        <w:t xml:space="preserve"> </w:t>
      </w:r>
      <w:r>
        <w:rPr>
          <w:rFonts w:ascii="Times New Roman" w:hAnsi="Times New Roman"/>
          <w:color w:val="000000"/>
          <w:sz w:val="20"/>
        </w:rPr>
        <w:t>and $23,923, respectfully.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or a portion of this security was acquired in a transaction exempt from registration under the Securities Act of 1933, as amended (the “Securities Act”), and may be deemed to be “restricted securities” under the Securities Act. As of December 31, 2023, the aggregate fair value of these securities is $54,845, or 3.0% 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$21.5</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w:t>
        <w:br/>
        <w:t>related to investments at fair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7" w:name="consolidated_statements_changes_in_net_a"/>
      <w:bookmarkEnd w:id="7"/>
      <w:r>
        <w:rPr>
          <w:rFonts w:ascii="Times New Roman" w:hAnsi="Times New Roman"/>
          <w:b/>
          <w:color w:val="000000"/>
          <w:sz w:val="20"/>
        </w:rPr>
        <w:t>Consolidated Statements of Changes in Net Assets</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513"/>
        <w:gridCol w:w="146"/>
        <w:gridCol w:w="146"/>
        <w:gridCol w:w="916"/>
        <w:gridCol w:w="146"/>
        <w:gridCol w:w="146"/>
        <w:gridCol w:w="206"/>
        <w:gridCol w:w="365"/>
        <w:gridCol w:w="146"/>
        <w:gridCol w:w="146"/>
        <w:gridCol w:w="209"/>
        <w:gridCol w:w="884"/>
        <w:gridCol w:w="146"/>
        <w:gridCol w:w="146"/>
        <w:gridCol w:w="268"/>
        <w:gridCol w:w="948"/>
        <w:gridCol w:w="166"/>
        <w:gridCol w:w="146"/>
        <w:gridCol w:w="196"/>
        <w:gridCol w:w="826"/>
        <w:gridCol w:w="394"/>
      </w:tblGrid>
      <w:tr>
        <w:trPr/>
        <w:tc>
          <w:tcPr>
            <w:tcW w:w="3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3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65,478,775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1,817,067</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35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72,722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22,741</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35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Increase (decrease) in Net Assets Resulting from Capital Share Transactions: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9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17,348,908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499,736</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35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9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Shares issued in connection with dividend reinvestment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22,062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Dividends declared from 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(56,027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1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83,622,723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2,256,205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2,380,563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86,265</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16,667</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4,662</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35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Increase (decrease) in net assets resulting from capital share transactions: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9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10,152,231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35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9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869,766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24,763</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Dividends declared from 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(63,413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1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94,644,720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2,580,957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168,455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2,749,507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916"/>
        <w:gridCol w:w="146"/>
        <w:gridCol w:w="146"/>
        <w:gridCol w:w="206"/>
        <w:gridCol w:w="365"/>
        <w:gridCol w:w="146"/>
        <w:gridCol w:w="146"/>
        <w:gridCol w:w="231"/>
        <w:gridCol w:w="818"/>
        <w:gridCol w:w="146"/>
        <w:gridCol w:w="146"/>
        <w:gridCol w:w="286"/>
        <w:gridCol w:w="969"/>
        <w:gridCol w:w="166"/>
        <w:gridCol w:w="146"/>
        <w:gridCol w:w="196"/>
        <w:gridCol w:w="691"/>
        <w:gridCol w:w="394"/>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5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542,596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546,711</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365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6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15,115</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6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13,047</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6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365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Increase (decrease) in net assets resulting from capital share transactions: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4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6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9,643,813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365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4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6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Dividends declared from 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5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31,525,841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792,586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812,319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5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6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32,421</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6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6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94"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65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Increase (decrease) in net assets resulting from capital share transactions: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4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6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394" w:type="dxa"/>
            <w:tcBorders/>
            <w:shd w:fill="FFFFFF" w:val="clear"/>
            <w:vAlign w:val="center"/>
          </w:tcPr>
          <w:p>
            <w:pPr>
              <w:pStyle w:val="TableContents"/>
              <w:bidi w:val="0"/>
              <w:spacing w:before="0" w:after="283"/>
              <w:ind w:left="0" w:right="0" w:firstLine="100"/>
              <w:jc w:val="left"/>
              <w:rPr/>
            </w:pPr>
            <w:r>
              <w:rPr/>
              <w:t> </w:t>
            </w:r>
          </w:p>
        </w:tc>
      </w:tr>
      <w:tr>
        <w:trPr/>
        <w:tc>
          <w:tcPr>
            <w:tcW w:w="365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4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6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9,563</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6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Dividends declared from 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5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34,695,429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877,146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906,467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9200" w:type="dxa"/>
        <w:jc w:val="left"/>
        <w:tblInd w:w="0" w:type="dxa"/>
        <w:tblLayout w:type="fixed"/>
        <w:tblCellMar>
          <w:top w:w="28" w:type="dxa"/>
          <w:left w:w="28" w:type="dxa"/>
          <w:bottom w:w="28" w:type="dxa"/>
          <w:right w:w="28" w:type="dxa"/>
        </w:tblCellMar>
      </w:tblPr>
      <w:tblGrid>
        <w:gridCol w:w="5881"/>
        <w:gridCol w:w="146"/>
        <w:gridCol w:w="203"/>
        <w:gridCol w:w="922"/>
        <w:gridCol w:w="166"/>
        <w:gridCol w:w="146"/>
        <w:gridCol w:w="215"/>
        <w:gridCol w:w="910"/>
        <w:gridCol w:w="61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8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61,049</w:t>
            </w:r>
          </w:p>
        </w:tc>
        <w:tc>
          <w:tcPr>
            <w:tcW w:w="611" w:type="dxa"/>
            <w:tcBorders/>
            <w:shd w:fill="FFFFFF" w:val="clear"/>
            <w:vAlign w:val="center"/>
          </w:tcPr>
          <w:p>
            <w:pPr>
              <w:pStyle w:val="TableContents"/>
              <w:bidi w:val="0"/>
              <w:spacing w:before="0" w:after="283"/>
              <w:jc w:val="left"/>
              <w:rPr/>
            </w:pPr>
            <w:r>
              <w:rPr/>
              <w:t> </w:t>
            </w:r>
          </w:p>
        </w:tc>
      </w:tr>
      <w:tr>
        <w:trPr/>
        <w:tc>
          <w:tcPr>
            <w:tcW w:w="58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increase (decrease) in net assets resulting from operations </w:t>
              <w:br/>
              <w:t>   to 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(gains) losses on investments</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(gains) losses on foreign currency transactions</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(gains) losses on foreign currency transactions</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amortization of discount on investments</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discount on debt</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Purchases and originations of investments, net</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(2,295,581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(968,327</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investments, net</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408,568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Repayments on investments</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38,737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Paid-in-kind interest</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receivable paid-in-kind</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Incentive fees on net capital gains (losses) accrued to affiliate</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payables to affiliates</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8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debt</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3,255,962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1,469,387</w:t>
            </w:r>
          </w:p>
        </w:tc>
        <w:tc>
          <w:tcPr>
            <w:tcW w:w="611" w:type="dxa"/>
            <w:tcBorders/>
            <w:shd w:fill="FFFFFF" w:val="clear"/>
            <w:vAlign w:val="center"/>
          </w:tcPr>
          <w:p>
            <w:pPr>
              <w:pStyle w:val="TableContents"/>
              <w:bidi w:val="0"/>
              <w:spacing w:before="0" w:after="283"/>
              <w:jc w:val="left"/>
              <w:rPr/>
            </w:pPr>
            <w:r>
              <w:rPr/>
              <w:t> </w:t>
            </w:r>
          </w:p>
        </w:tc>
      </w:tr>
      <w:tr>
        <w:trPr/>
        <w:tc>
          <w:tcPr>
            <w:tcW w:w="58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on debt</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(1,872,286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(888,000</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(8,578</w:t>
            </w:r>
          </w:p>
        </w:tc>
        <w:tc>
          <w:tcPr>
            <w:tcW w:w="6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shareholders</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(53,073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(3,047</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calls</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894,762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416,802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13,591</w:t>
            </w:r>
          </w:p>
        </w:tc>
        <w:tc>
          <w:tcPr>
            <w:tcW w:w="611" w:type="dxa"/>
            <w:tcBorders/>
            <w:shd w:fill="FFFFFF" w:val="clear"/>
            <w:vAlign w:val="center"/>
          </w:tcPr>
          <w:p>
            <w:pPr>
              <w:pStyle w:val="TableContents"/>
              <w:bidi w:val="0"/>
              <w:spacing w:before="0" w:after="283"/>
              <w:jc w:val="left"/>
              <w:rPr/>
            </w:pPr>
            <w:r>
              <w:rPr/>
              <w:t> </w:t>
            </w:r>
          </w:p>
        </w:tc>
      </w:tr>
      <w:tr>
        <w:trPr/>
        <w:tc>
          <w:tcPr>
            <w:tcW w:w="58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288,203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paid during the period</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Excise and other taxes paid during the period</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Dividends declared during the period</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81"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8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Reinvestment of dividends during the period</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9,563</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unless otherwise indicated)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On December 8, 2022, the Company formed a wholly-owned subsidiary, Sixth Street LP Holding II, LLC, a Delaware limited liability company. On December 21, 2023, the Company formed a wholly-owned subsidiary, Sixth Street Lending Partners Sub, LLC, a Cayman Islands limited liability company. Sixth Street LP Holding, LLC has legally dissolved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completed its initial closing of Capital Commitments and commenced its loan origination and investment activities on August 31, 2022 (“Commencement of Operations”), the date of receipt of the initial drawdown from investors in the Private Offering. </w:t>
      </w:r>
    </w:p>
    <w:p>
      <w:pPr>
        <w:pStyle w:val="TextBody"/>
        <w:bidi w:val="0"/>
        <w:spacing w:before="36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2023, which was filed with the Securities and Exchange Commission (“SEC”), on February 16, 2024.</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i/>
          <w:color w:val="000000"/>
          <w:sz w:val="20"/>
        </w:rPr>
        <w:t>Financial Services – Investment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fiscal year ends on December 31. </w:t>
      </w:r>
    </w:p>
    <w:p>
      <w:pPr>
        <w:pStyle w:val="TextBody"/>
        <w:bidi w:val="0"/>
        <w:spacing w:before="36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undertakes a multi-step valuation process, which includes, among other procedures,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conducts this valuation process on a quarterly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engaged independent third-party valuation firms to perform certain limited procedures that the Board has identified and requested them to perform in connection with the valuation process. At June 30, 2024,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applies Financial Accounting Standards Board Accounting Standards Codification Topic 820, </w:t>
      </w:r>
      <w:r>
        <w:rPr>
          <w:rFonts w:ascii="Times New Roman" w:hAnsi="Times New Roman"/>
          <w:i/>
          <w:color w:val="000000"/>
          <w:sz w:val="20"/>
        </w:rPr>
        <w:t xml:space="preserve">Fair Value Measurement </w:t>
      </w:r>
      <w:r>
        <w:rPr>
          <w:rFonts w:ascii="Times New Roman" w:hAnsi="Times New Roman"/>
          <w:color w:val="000000"/>
          <w:sz w:val="20"/>
        </w:rPr>
        <w:t xml:space="preserve">(“ASC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based on quoted prices in active markets for identical assets or liabilities that the Company has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based on inputs that are unobservable and significant to the overall fair value measurement.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and Derivative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Derivatives, including the Company’s interest rate swaps, for which broker quotes are available are typically valued at those broker quotes.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Offsetting Assets and Liabilities</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pStyle w:val="TextBody"/>
        <w:bidi w:val="0"/>
        <w:spacing w:before="360" w:after="283"/>
        <w:jc w:val="left"/>
        <w:rPr>
          <w:rFonts w:ascii="Times New Roman" w:hAnsi="Times New Roman"/>
          <w:sz w:val="20"/>
        </w:rPr>
      </w:pPr>
      <w:r>
        <w:rPr>
          <w:rFonts w:ascii="Times New Roman" w:hAnsi="Times New Roman"/>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amounts are translated into U.S. dollars on the following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purchases and sales of investments, borrowings and repayments of such borrowings, income and expenses: at the rates of exchange prevailing on the respective dates of such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denominated in foreign currencies and foreign currency transactions may involve certain considerations and risks not typically associated with those of domestic origin, including unanticipated movements in the value of the foreign currency relative to the U.S. dollar. </w:t>
      </w:r>
    </w:p>
    <w:p>
      <w:pPr>
        <w:pStyle w:val="TextBody"/>
        <w:bidi w:val="0"/>
        <w:spacing w:before="360" w:after="283"/>
        <w:jc w:val="left"/>
        <w:rPr>
          <w:rFonts w:ascii="Times New Roman" w:hAnsi="Times New Roman"/>
          <w:sz w:val="20"/>
        </w:rPr>
      </w:pPr>
      <w:r>
        <w:rPr>
          <w:rFonts w:ascii="Times New Roman" w:hAnsi="Times New Roman"/>
          <w:i/>
          <w:color w:val="000000"/>
          <w:sz w:val="20"/>
        </w:rPr>
        <w:t>Organization and Offering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2023,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providing services in connection with an investment, such as syndication, structuring or diligence, all or a portion of any loan fees received by the Company will be deferred and amortized over the investment’s life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pStyle w:val="TextBody"/>
        <w:bidi w:val="0"/>
        <w:spacing w:before="360" w:after="283"/>
        <w:jc w:val="left"/>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earnings per share (“EPS”) amounts have been computed based on the weighted-average number of Common Shares outstanding for the period. Basic EPS is computed by dividing net increase (decrease) in net assets resulting from operations by the weighted average number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 </w:t>
      </w:r>
    </w:p>
    <w:p>
      <w:pPr>
        <w:pStyle w:val="TextBody"/>
        <w:bidi w:val="0"/>
        <w:spacing w:before="360" w:after="283"/>
        <w:jc w:val="left"/>
        <w:rPr>
          <w:rFonts w:ascii="Times New Roman" w:hAnsi="Times New Roman"/>
          <w:sz w:val="20"/>
        </w:rPr>
      </w:pPr>
      <w:r>
        <w:rPr>
          <w:rFonts w:ascii="Times New Roman" w:hAnsi="Times New Roman"/>
          <w:i/>
          <w:color w:val="000000"/>
          <w:sz w:val="20"/>
        </w:rPr>
        <w:t>Reimbursement of Transaction-Related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may be adjusted at a later date based on factors including, but not limited to, on-going analyses of tax laws, regulations and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the Company recorded a net expense of less than $0.1 million and $2.2 million, respectively, for U.S. federal excise tax and other taxes. For the three and six months ended June 30, 2023, the Company recorded a net expense of $0.4 million and $0.7 million, respectively, for U.S. federal excise tax and other taxes.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Dividends to Common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11 for further information related to dividends.</w:t>
      </w:r>
    </w:p>
    <w:p>
      <w:pPr>
        <w:pStyle w:val="TextBody"/>
        <w:bidi w:val="0"/>
        <w:spacing w:before="360" w:after="283"/>
        <w:jc w:val="left"/>
        <w:rPr>
          <w:rFonts w:ascii="Times New Roman" w:hAnsi="Times New Roman"/>
          <w:sz w:val="20"/>
        </w:rPr>
      </w:pPr>
      <w:r>
        <w:rPr>
          <w:rFonts w:ascii="Times New Roman" w:hAnsi="Times New Roman"/>
          <w:b/>
          <w:color w:val="000000"/>
          <w:sz w:val="20"/>
        </w:rPr>
        <w:t>3. Agreements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Administration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 2023, the Board renewed the Administration Agreement. Unless earlier terminated as described below, the Administration Agreement will remain in effect until November 2, 2024, and may be extended subject to required approvals. The Administration Agreement may be terminated by either party without penalty on 60 days’ written notice to the other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the Company incurred $1.0 million and $2.0 million, respectively, for administrative services payable to the Adviser under the terms of the Administration Agreement, which is included in other general and administrative expenses in the Consolidated Statements of Operations. For the three and six months ended June 30, 2023, the Company incurred $0.5 million and $1.0 million, respectively, for administrative services payable to the Adviser under the terms of the Administration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 2023, the Board renewed the Investment Advisory Agreement. Unless earlier terminated as described below, the Investment Advisory Agreement will remain in effect until November 2, 2024, and may be extended subject to required approvals. The Investment Advisory Agreement may be terminated by either party without penalty on 60 days’ written notice to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Management Fees (gross of waivers) were $14.9 million and $26.2 million, respectively. For the three and six months ended June 30, 2023, Management Fees (gross of waivers) were $5.6 million and $9.5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and six months ended June 30, 2024, Management Fees of $9.3 million and $16.1 million, respectively, have been waived. For the three and six months ended June 30, 2023, Management Fees of $3.6 million and $6.2 million, respectively, have been waived.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Incentive Fee consists of two parts,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Incentive Fees on net investment income were $12.7 million and $23.5 million, respectively. For the three and six months ended June 30, 2024 Incentive Fees on Capital Gains were $2.7 million and $5.8 million, respectively. For the three and six months ended June 30, 2023, Incentive Fees on net investment income were $4.6 million and $7.0 million, respectively. For the three and six months ended June 30, 2023 Incentive Fees on Capital Gains were $0.1 million and $1.5 million, respectively. As of June 30, 2024, the Capital Gains Fees accrued are not contractually payable to the Adviser.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Expense Support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June 30, 2023, the Adviser had not provided any written commitments for Expense Payments. The Company has not made any Reimbursement Payments to the Adviser. The Company may or may not reimburse remaining expenses in the future.</w:t>
      </w:r>
    </w:p>
    <w:p>
      <w:pPr>
        <w:pStyle w:val="TextBody"/>
        <w:bidi w:val="0"/>
        <w:spacing w:before="360" w:after="283"/>
        <w:jc w:val="left"/>
        <w:rPr>
          <w:rFonts w:ascii="Times New Roman" w:hAnsi="Times New Roman"/>
          <w:sz w:val="20"/>
        </w:rPr>
      </w:pPr>
      <w:r>
        <w:rPr>
          <w:rFonts w:ascii="Times New Roman" w:hAnsi="Times New Roman"/>
          <w:b/>
          <w:color w:val="000000"/>
          <w:sz w:val="20"/>
        </w:rPr>
        <w:t>4. 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at fair value consisted of the following at June 30, 2024 and December 31, 2023:</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82"/>
        <w:gridCol w:w="90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84,800</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82"/>
        <w:gridCol w:w="90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57,957</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amortized cost represents the original cost adjusted for the amortization of discounts or premiums, as applicable, on debt investments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industry composition of investments at fair value at June 30, 2024 and December 31, 2023: </w:t>
      </w:r>
    </w:p>
    <w:tbl>
      <w:tblPr>
        <w:tblW w:w="6490" w:type="dxa"/>
        <w:jc w:val="left"/>
        <w:tblInd w:w="0" w:type="dxa"/>
        <w:tblLayout w:type="fixed"/>
        <w:tblCellMar>
          <w:top w:w="28" w:type="dxa"/>
          <w:left w:w="28" w:type="dxa"/>
          <w:bottom w:w="28" w:type="dxa"/>
          <w:right w:w="28" w:type="dxa"/>
        </w:tblCellMar>
      </w:tblPr>
      <w:tblGrid>
        <w:gridCol w:w="2911"/>
        <w:gridCol w:w="146"/>
        <w:gridCol w:w="229"/>
        <w:gridCol w:w="896"/>
        <w:gridCol w:w="271"/>
        <w:gridCol w:w="146"/>
        <w:gridCol w:w="305"/>
        <w:gridCol w:w="1195"/>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 Gaming and Leisure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Resource Support Services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Internet Services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Gas and Consumable Fuels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Pharmaceuticals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Consumer Products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geographic composition of investments at fair value at June 30, 2024 and December 31, 2023: </w:t>
      </w:r>
    </w:p>
    <w:tbl>
      <w:tblPr>
        <w:tblW w:w="5190" w:type="dxa"/>
        <w:jc w:val="left"/>
        <w:tblInd w:w="0" w:type="dxa"/>
        <w:tblLayout w:type="fixed"/>
        <w:tblCellMar>
          <w:top w:w="28" w:type="dxa"/>
          <w:left w:w="28" w:type="dxa"/>
          <w:bottom w:w="28" w:type="dxa"/>
          <w:right w:w="28" w:type="dxa"/>
        </w:tblCellMar>
      </w:tblPr>
      <w:tblGrid>
        <w:gridCol w:w="1486"/>
        <w:gridCol w:w="146"/>
        <w:gridCol w:w="229"/>
        <w:gridCol w:w="896"/>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South</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West</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Finland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rounds to less than 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Derivatives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Swaps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enter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amounts paid and received on the Company’s interest rate swap transactions, excluding upfront fees, for the three and six months ended June 30, 2024. The Company had no interest rate swaps for the three and six months ended June 30, 2023.</w:t>
      </w:r>
    </w:p>
    <w:p>
      <w:pPr>
        <w:pStyle w:val="TextBody"/>
        <w:bidi w:val="0"/>
        <w:spacing w:before="240" w:after="283"/>
        <w:jc w:val="left"/>
        <w:rPr/>
      </w:pPr>
      <w:r>
        <w:rPr/>
        <w:t> </w:t>
      </w:r>
    </w:p>
    <w:tbl>
      <w:tblPr>
        <w:tblW w:w="10306" w:type="dxa"/>
        <w:jc w:val="left"/>
        <w:tblInd w:w="0" w:type="dxa"/>
        <w:tblLayout w:type="fixed"/>
        <w:tblCellMar>
          <w:top w:w="28" w:type="dxa"/>
          <w:left w:w="28" w:type="dxa"/>
          <w:bottom w:w="28" w:type="dxa"/>
          <w:right w:w="28" w:type="dxa"/>
        </w:tblCellMar>
      </w:tblPr>
      <w:tblGrid>
        <w:gridCol w:w="786"/>
        <w:gridCol w:w="146"/>
        <w:gridCol w:w="766"/>
        <w:gridCol w:w="146"/>
        <w:gridCol w:w="211"/>
        <w:gridCol w:w="781"/>
        <w:gridCol w:w="146"/>
        <w:gridCol w:w="146"/>
        <w:gridCol w:w="211"/>
        <w:gridCol w:w="736"/>
        <w:gridCol w:w="166"/>
        <w:gridCol w:w="146"/>
        <w:gridCol w:w="211"/>
        <w:gridCol w:w="571"/>
        <w:gridCol w:w="146"/>
        <w:gridCol w:w="146"/>
        <w:gridCol w:w="211"/>
        <w:gridCol w:w="631"/>
        <w:gridCol w:w="166"/>
        <w:gridCol w:w="146"/>
        <w:gridCol w:w="211"/>
        <w:gridCol w:w="736"/>
        <w:gridCol w:w="166"/>
        <w:gridCol w:w="146"/>
        <w:gridCol w:w="211"/>
        <w:gridCol w:w="676"/>
        <w:gridCol w:w="146"/>
        <w:gridCol w:w="146"/>
        <w:gridCol w:w="211"/>
        <w:gridCol w:w="631"/>
        <w:gridCol w:w="41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3/11/2029</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3/11/2029</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the Company recognized, $1.4 million and $2.3 million, respectively, in unrealized losses on interest rate swaps designated as hedging instruments in the Consolidated Statements of Operations. For the three and six months ended June 30, 2024, this amount was offset by a $1.4 million and $2.3 million, respectively, decrease in the carrying value of the 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swap transaction had a fair value of $2.3 million which is netted against cash collateral on the Company’s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$32.7 million of cash is pledged as collateral under the Company’s derivative agreements and is included in restricted cash as a component of cash and cash equivalents on the Company’s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enter into other derivative instruments and incur other exposures with the same or other counterparties in the future.</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fair value measurements of investments as of June 30, 2024 and December 31, 2023: </w:t>
      </w:r>
    </w:p>
    <w:tbl>
      <w:tblPr>
        <w:tblW w:w="8110" w:type="dxa"/>
        <w:jc w:val="left"/>
        <w:tblInd w:w="0" w:type="dxa"/>
        <w:tblLayout w:type="fixed"/>
        <w:tblCellMar>
          <w:top w:w="28" w:type="dxa"/>
          <w:left w:w="28" w:type="dxa"/>
          <w:bottom w:w="28" w:type="dxa"/>
          <w:right w:w="28" w:type="dxa"/>
        </w:tblCellMar>
      </w:tblPr>
      <w:tblGrid>
        <w:gridCol w:w="2901"/>
        <w:gridCol w:w="146"/>
        <w:gridCol w:w="239"/>
        <w:gridCol w:w="391"/>
        <w:gridCol w:w="146"/>
        <w:gridCol w:w="146"/>
        <w:gridCol w:w="211"/>
        <w:gridCol w:w="631"/>
        <w:gridCol w:w="166"/>
        <w:gridCol w:w="146"/>
        <w:gridCol w:w="211"/>
        <w:gridCol w:w="931"/>
        <w:gridCol w:w="146"/>
        <w:gridCol w:w="146"/>
        <w:gridCol w:w="211"/>
        <w:gridCol w:w="931"/>
        <w:gridCol w:w="41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4,705,472</w:t>
            </w:r>
          </w:p>
        </w:tc>
        <w:tc>
          <w:tcPr>
            <w:tcW w:w="411" w:type="dxa"/>
            <w:tcBorders/>
            <w:shd w:fill="CFF0FC" w:val="cle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90,299</w:t>
            </w:r>
          </w:p>
        </w:tc>
        <w:tc>
          <w:tcPr>
            <w:tcW w:w="411" w:type="dxa"/>
            <w:tcBorders/>
            <w:shd w:fill="FFFFFF" w:val="clear"/>
            <w:vAlign w:val="center"/>
          </w:tcPr>
          <w:p>
            <w:pPr>
              <w:pStyle w:val="TableContents"/>
              <w:bidi w:val="0"/>
              <w:spacing w:before="0" w:after="283"/>
              <w:jc w:val="left"/>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116,296</w:t>
            </w:r>
          </w:p>
        </w:tc>
        <w:tc>
          <w:tcPr>
            <w:tcW w:w="411" w:type="dxa"/>
            <w:tcBorders/>
            <w:shd w:fill="CFF0FC" w:val="cle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 at fair value</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5,006,147</w:t>
            </w:r>
          </w:p>
        </w:tc>
        <w:tc>
          <w:tcPr>
            <w:tcW w:w="411" w:type="dxa"/>
            <w:tcBorders/>
            <w:shd w:fill="CFF0FC" w:val="cle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5,003,837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2521"/>
        <w:gridCol w:w="146"/>
        <w:gridCol w:w="239"/>
        <w:gridCol w:w="391"/>
        <w:gridCol w:w="146"/>
        <w:gridCol w:w="146"/>
        <w:gridCol w:w="211"/>
        <w:gridCol w:w="571"/>
        <w:gridCol w:w="146"/>
        <w:gridCol w:w="146"/>
        <w:gridCol w:w="211"/>
        <w:gridCol w:w="931"/>
        <w:gridCol w:w="146"/>
        <w:gridCol w:w="146"/>
        <w:gridCol w:w="211"/>
        <w:gridCol w:w="93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2,850,885</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79,091</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106,524</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3,099,151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Transfers between levels, if any, are recognized at the beginning of the quarter in which the transfers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changes in the fair value of investments for which Level 3 inputs were used to determine the fair value as of and for the three and six months ended June 30, 2024: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272"/>
        <w:gridCol w:w="146"/>
        <w:gridCol w:w="211"/>
        <w:gridCol w:w="931"/>
        <w:gridCol w:w="166"/>
        <w:gridCol w:w="146"/>
        <w:gridCol w:w="225"/>
        <w:gridCol w:w="721"/>
        <w:gridCol w:w="166"/>
        <w:gridCol w:w="146"/>
        <w:gridCol w:w="211"/>
        <w:gridCol w:w="781"/>
        <w:gridCol w:w="146"/>
        <w:gridCol w:w="146"/>
        <w:gridCol w:w="225"/>
        <w:gridCol w:w="721"/>
        <w:gridCol w:w="166"/>
        <w:gridCol w:w="146"/>
        <w:gridCol w:w="211"/>
        <w:gridCol w:w="931"/>
        <w:gridCol w:w="391"/>
      </w:tblGrid>
      <w:tr>
        <w:trPr/>
        <w:tc>
          <w:tcPr>
            <w:tcW w:w="3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3,979,498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4,274,058</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995,734</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(268,010</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16,110</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2"/>
        <w:gridCol w:w="146"/>
        <w:gridCol w:w="211"/>
        <w:gridCol w:w="931"/>
        <w:gridCol w:w="166"/>
        <w:gridCol w:w="146"/>
        <w:gridCol w:w="225"/>
        <w:gridCol w:w="721"/>
        <w:gridCol w:w="166"/>
        <w:gridCol w:w="146"/>
        <w:gridCol w:w="211"/>
        <w:gridCol w:w="781"/>
        <w:gridCol w:w="146"/>
        <w:gridCol w:w="146"/>
        <w:gridCol w:w="225"/>
        <w:gridCol w:w="721"/>
        <w:gridCol w:w="146"/>
        <w:gridCol w:w="146"/>
        <w:gridCol w:w="211"/>
        <w:gridCol w:w="931"/>
        <w:gridCol w:w="391"/>
      </w:tblGrid>
      <w:tr>
        <w:trPr/>
        <w:tc>
          <w:tcPr>
            <w:tcW w:w="3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7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32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2,848,805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3,096,465</w:t>
            </w:r>
          </w:p>
        </w:tc>
        <w:tc>
          <w:tcPr>
            <w:tcW w:w="391" w:type="dxa"/>
            <w:tcBorders/>
            <w:shd w:fill="CFF0FC" w:val="clear"/>
            <w:vAlign w:val="center"/>
          </w:tcPr>
          <w:p>
            <w:pPr>
              <w:pStyle w:val="TableContents"/>
              <w:bidi w:val="0"/>
              <w:spacing w:before="0" w:after="283"/>
              <w:jc w:val="left"/>
              <w:rPr/>
            </w:pPr>
            <w:r>
              <w:rPr/>
              <w:t> </w:t>
            </w:r>
          </w:p>
        </w:tc>
      </w:tr>
      <w:tr>
        <w:trPr/>
        <w:tc>
          <w:tcPr>
            <w:tcW w:w="3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2,255,540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2,293,820</w:t>
            </w:r>
          </w:p>
        </w:tc>
        <w:tc>
          <w:tcPr>
            <w:tcW w:w="391" w:type="dxa"/>
            <w:tcBorders/>
            <w:shd w:fill="FFFFFF" w:val="clear"/>
            <w:vAlign w:val="center"/>
          </w:tcPr>
          <w:p>
            <w:pPr>
              <w:pStyle w:val="TableContents"/>
              <w:bidi w:val="0"/>
              <w:spacing w:before="0" w:after="283"/>
              <w:jc w:val="left"/>
              <w:rPr/>
            </w:pPr>
            <w:r>
              <w:rPr/>
              <w:t> </w:t>
            </w:r>
          </w:p>
        </w:tc>
      </w:tr>
      <w:tr>
        <w:trPr/>
        <w:tc>
          <w:tcPr>
            <w:tcW w:w="3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(41,602</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(408,569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13,745</w:t>
            </w:r>
          </w:p>
        </w:tc>
        <w:tc>
          <w:tcPr>
            <w:tcW w:w="391" w:type="dxa"/>
            <w:tcBorders/>
            <w:shd w:fill="CFF0FC" w:val="clear"/>
            <w:vAlign w:val="center"/>
          </w:tcPr>
          <w:p>
            <w:pPr>
              <w:pStyle w:val="TableContents"/>
              <w:bidi w:val="0"/>
              <w:spacing w:before="0" w:after="283"/>
              <w:jc w:val="left"/>
              <w:rPr/>
            </w:pPr>
            <w:r>
              <w:rPr/>
              <w:t> </w:t>
            </w:r>
          </w:p>
        </w:tc>
      </w:tr>
      <w:tr>
        <w:trPr/>
        <w:tc>
          <w:tcPr>
            <w:tcW w:w="3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34,624</w:t>
            </w:r>
          </w:p>
        </w:tc>
        <w:tc>
          <w:tcPr>
            <w:tcW w:w="391" w:type="dxa"/>
            <w:tcBorders/>
            <w:shd w:fill="FFFFFF" w:val="clear"/>
            <w:vAlign w:val="center"/>
          </w:tcPr>
          <w:p>
            <w:pPr>
              <w:pStyle w:val="TableContents"/>
              <w:bidi w:val="0"/>
              <w:spacing w:before="0" w:after="283"/>
              <w:jc w:val="left"/>
              <w:rPr/>
            </w:pPr>
            <w:r>
              <w:rPr/>
              <w:t> </w:t>
            </w:r>
          </w:p>
        </w:tc>
      </w:tr>
      <w:tr>
        <w:trPr/>
        <w:tc>
          <w:tcPr>
            <w:tcW w:w="3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391" w:type="dxa"/>
            <w:tcBorders/>
            <w:shd w:fill="CFF0FC" w:val="clear"/>
            <w:vAlign w:val="center"/>
          </w:tcPr>
          <w:p>
            <w:pPr>
              <w:pStyle w:val="TableContents"/>
              <w:bidi w:val="0"/>
              <w:spacing w:before="0" w:after="283"/>
              <w:jc w:val="left"/>
              <w:rPr/>
            </w:pPr>
            <w:r>
              <w:rPr/>
              <w:t> </w:t>
            </w:r>
          </w:p>
        </w:tc>
      </w:tr>
      <w:tr>
        <w:trPr/>
        <w:tc>
          <w:tcPr>
            <w:tcW w:w="3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w:t>
            </w:r>
          </w:p>
        </w:tc>
        <w:tc>
          <w:tcPr>
            <w:tcW w:w="391" w:type="dxa"/>
            <w:tcBorders/>
            <w:shd w:fill="FFFFFF" w:val="clear"/>
            <w:vAlign w:val="center"/>
          </w:tcPr>
          <w:p>
            <w:pPr>
              <w:pStyle w:val="TableContents"/>
              <w:bidi w:val="0"/>
              <w:spacing w:before="0" w:after="283"/>
              <w:jc w:val="left"/>
              <w:rPr/>
            </w:pPr>
            <w:r>
              <w:rPr/>
              <w:t> </w:t>
            </w:r>
          </w:p>
        </w:tc>
      </w:tr>
      <w:tr>
        <w:trPr/>
        <w:tc>
          <w:tcPr>
            <w:tcW w:w="3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changes in the fair value of investments for which Level 3 inputs were used to determine the fair value as of and for the three and six months ended June 30, 2023:</w:t>
      </w:r>
    </w:p>
    <w:tbl>
      <w:tblPr>
        <w:tblW w:w="9120" w:type="dxa"/>
        <w:jc w:val="left"/>
        <w:tblInd w:w="0" w:type="dxa"/>
        <w:tblLayout w:type="fixed"/>
        <w:tblCellMar>
          <w:top w:w="28" w:type="dxa"/>
          <w:left w:w="28" w:type="dxa"/>
          <w:bottom w:w="28" w:type="dxa"/>
          <w:right w:w="28" w:type="dxa"/>
        </w:tblCellMar>
      </w:tblPr>
      <w:tblGrid>
        <w:gridCol w:w="3511"/>
        <w:gridCol w:w="146"/>
        <w:gridCol w:w="211"/>
        <w:gridCol w:w="931"/>
        <w:gridCol w:w="166"/>
        <w:gridCol w:w="146"/>
        <w:gridCol w:w="225"/>
        <w:gridCol w:w="721"/>
        <w:gridCol w:w="146"/>
        <w:gridCol w:w="146"/>
        <w:gridCol w:w="225"/>
        <w:gridCol w:w="721"/>
        <w:gridCol w:w="146"/>
        <w:gridCol w:w="146"/>
        <w:gridCol w:w="211"/>
        <w:gridCol w:w="931"/>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7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1,262,452</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523,565</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1,758,911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120" w:type="dxa"/>
        <w:jc w:val="left"/>
        <w:tblInd w:w="0" w:type="dxa"/>
        <w:tblLayout w:type="fixed"/>
        <w:tblCellMar>
          <w:top w:w="28" w:type="dxa"/>
          <w:left w:w="28" w:type="dxa"/>
          <w:bottom w:w="28" w:type="dxa"/>
          <w:right w:w="28" w:type="dxa"/>
        </w:tblCellMar>
      </w:tblPr>
      <w:tblGrid>
        <w:gridCol w:w="3511"/>
        <w:gridCol w:w="146"/>
        <w:gridCol w:w="211"/>
        <w:gridCol w:w="931"/>
        <w:gridCol w:w="166"/>
        <w:gridCol w:w="146"/>
        <w:gridCol w:w="225"/>
        <w:gridCol w:w="721"/>
        <w:gridCol w:w="146"/>
        <w:gridCol w:w="146"/>
        <w:gridCol w:w="225"/>
        <w:gridCol w:w="721"/>
        <w:gridCol w:w="146"/>
        <w:gridCol w:w="146"/>
        <w:gridCol w:w="211"/>
        <w:gridCol w:w="931"/>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7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808,801</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968,327</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(38,737</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14,633</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1,758,911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tables present information with respect to the net change in unrealized gains or losses on investments for which Level 3 inputs were used in determining fair value that are still held by the Company at June 30, 2024 and 2023: </w:t>
      </w:r>
    </w:p>
    <w:tbl>
      <w:tblPr>
        <w:tblW w:w="7750" w:type="dxa"/>
        <w:jc w:val="left"/>
        <w:tblInd w:w="0" w:type="dxa"/>
        <w:tblLayout w:type="fixed"/>
        <w:tblCellMar>
          <w:top w:w="28" w:type="dxa"/>
          <w:left w:w="28" w:type="dxa"/>
          <w:bottom w:w="28" w:type="dxa"/>
          <w:right w:w="28" w:type="dxa"/>
        </w:tblCellMar>
      </w:tblPr>
      <w:tblGrid>
        <w:gridCol w:w="2521"/>
        <w:gridCol w:w="146"/>
        <w:gridCol w:w="520"/>
        <w:gridCol w:w="1670"/>
        <w:gridCol w:w="166"/>
        <w:gridCol w:w="146"/>
        <w:gridCol w:w="590"/>
        <w:gridCol w:w="1600"/>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 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 on</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0"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left"/>
              <w:rPr/>
            </w:pPr>
            <w:r>
              <w:rPr/>
              <w:t> </w:t>
            </w:r>
          </w:p>
        </w:tc>
        <w:tc>
          <w:tcPr>
            <w:tcW w:w="1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0" w:type="dxa"/>
            <w:tcBorders/>
            <w:shd w:fill="CFF0FC" w:val="clear"/>
            <w:vAlign w:val="center"/>
          </w:tcPr>
          <w:p>
            <w:pPr>
              <w:pStyle w:val="TableContents"/>
              <w:bidi w:val="0"/>
              <w:spacing w:before="0" w:after="283"/>
              <w:jc w:val="left"/>
              <w:rPr/>
            </w:pPr>
            <w:r>
              <w:rPr/>
              <w:t> </w:t>
            </w:r>
          </w:p>
        </w:tc>
        <w:tc>
          <w:tcPr>
            <w:tcW w:w="1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7340" w:type="dxa"/>
        <w:jc w:val="left"/>
        <w:tblInd w:w="0" w:type="dxa"/>
        <w:tblLayout w:type="fixed"/>
        <w:tblCellMar>
          <w:top w:w="28" w:type="dxa"/>
          <w:left w:w="28" w:type="dxa"/>
          <w:bottom w:w="28" w:type="dxa"/>
          <w:right w:w="28" w:type="dxa"/>
        </w:tblCellMar>
      </w:tblPr>
      <w:tblGrid>
        <w:gridCol w:w="2521"/>
        <w:gridCol w:w="146"/>
        <w:gridCol w:w="474"/>
        <w:gridCol w:w="1521"/>
        <w:gridCol w:w="146"/>
        <w:gridCol w:w="146"/>
        <w:gridCol w:w="474"/>
        <w:gridCol w:w="15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 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 on</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13,964</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fair value of Level 3 Investments at fair value and the significant unobservable inputs used in the valuations as of June 30, 2024 and December 31, 2023. The tables are not intended to be all-inclusive, but instead capture the significant unobservable inputs relevant to the Company’s determination of fair values.</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9"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5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9.1% — 17.2% (12.0%)</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15.2% — 20.6% (20.0%)</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CFF0FC" w:val="clear"/>
            <w:vAlign w:val="center"/>
          </w:tcPr>
          <w:p>
            <w:pPr>
              <w:pStyle w:val="TableContents"/>
              <w:bidi w:val="0"/>
              <w:spacing w:before="0" w:after="283"/>
              <w:jc w:val="left"/>
              <w:rPr/>
            </w:pPr>
            <w:r>
              <w:rPr/>
              <w:t> </w:t>
            </w:r>
          </w:p>
        </w:tc>
        <w:tc>
          <w:tcPr>
            <w:tcW w:w="15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13.6% — 13.6% (13.6%)</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2.6x — 20.0x (10.4x)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5,001,793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4"/>
        </w:rPr>
      </w:pPr>
      <w:r>
        <w:rPr>
          <w:rFonts w:ascii="Times New Roman" w:hAnsi="Times New Roman"/>
          <w:color w:val="000000"/>
          <w:sz w:val="20"/>
        </w:rPr>
        <w:t>Includes $65.2</w:t>
      </w:r>
      <w:r>
        <w:rPr>
          <w:rFonts w:ascii="Times New Roman" w:hAnsi="Times New Roman"/>
          <w:color w:val="000000"/>
          <w:sz w:val="24"/>
        </w:rPr>
        <w:t xml:space="preserve"> </w:t>
      </w:r>
      <w:r>
        <w:rPr>
          <w:rFonts w:ascii="Times New Roman" w:hAnsi="Times New Roman"/>
          <w:color w:val="000000"/>
          <w:sz w:val="20"/>
        </w:rPr>
        <w:t xml:space="preserve">million of first-lien debt investments valued using an asset waterfall.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4"/>
        </w:rPr>
      </w:pPr>
      <w:r>
        <w:rPr>
          <w:rFonts w:ascii="Times New Roman" w:hAnsi="Times New Roman"/>
          <w:color w:val="000000"/>
          <w:sz w:val="20"/>
        </w:rPr>
        <w:t>Includes $6.6</w:t>
      </w:r>
      <w:r>
        <w:rPr>
          <w:rFonts w:ascii="Times New Roman" w:hAnsi="Times New Roman"/>
          <w:color w:val="000000"/>
          <w:sz w:val="24"/>
        </w:rPr>
        <w:t xml:space="preserve"> </w:t>
      </w:r>
      <w:r>
        <w:rPr>
          <w:rFonts w:ascii="Times New Roman" w:hAnsi="Times New Roman"/>
          <w:color w:val="000000"/>
          <w:sz w:val="20"/>
        </w:rPr>
        <w:t>million of equity investments valued using a Black-Scholes model.</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9"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5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 — 16.4% (12.8%)</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21.7% — 21.7% (21.7%)</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CFF0FC" w:val="clear"/>
            <w:vAlign w:val="center"/>
          </w:tcPr>
          <w:p>
            <w:pPr>
              <w:pStyle w:val="TableContents"/>
              <w:bidi w:val="0"/>
              <w:spacing w:before="0" w:after="283"/>
              <w:jc w:val="left"/>
              <w:rPr/>
            </w:pPr>
            <w:r>
              <w:rPr/>
              <w:t> </w:t>
            </w:r>
          </w:p>
        </w:tc>
        <w:tc>
          <w:tcPr>
            <w:tcW w:w="15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15.0% — 15.0% (15.0%)</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2.6x — 16.1x (10.2x)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3,096,465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4"/>
        </w:rPr>
      </w:pPr>
      <w:r>
        <w:rPr>
          <w:rFonts w:ascii="Times New Roman" w:hAnsi="Times New Roman"/>
          <w:color w:val="000000"/>
          <w:sz w:val="20"/>
        </w:rPr>
        <w:t>Includes $77.9</w:t>
      </w:r>
      <w:r>
        <w:rPr>
          <w:rFonts w:ascii="Times New Roman" w:hAnsi="Times New Roman"/>
          <w:color w:val="000000"/>
          <w:sz w:val="24"/>
        </w:rPr>
        <w:t xml:space="preserve"> </w:t>
      </w:r>
      <w:r>
        <w:rPr>
          <w:rFonts w:ascii="Times New Roman" w:hAnsi="Times New Roman"/>
          <w:color w:val="000000"/>
          <w:sz w:val="20"/>
        </w:rPr>
        <w:t xml:space="preserve">million of first-lien debt investments valued using an asset waterfall.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4"/>
        </w:rPr>
      </w:pPr>
      <w:r>
        <w:rPr>
          <w:rFonts w:ascii="Times New Roman" w:hAnsi="Times New Roman"/>
          <w:color w:val="000000"/>
          <w:sz w:val="20"/>
        </w:rPr>
        <w:t>Includes $4.6</w:t>
      </w:r>
      <w:r>
        <w:rPr>
          <w:rFonts w:ascii="Times New Roman" w:hAnsi="Times New Roman"/>
          <w:color w:val="000000"/>
          <w:sz w:val="24"/>
        </w:rPr>
        <w:t xml:space="preserve"> </w:t>
      </w:r>
      <w:r>
        <w:rPr>
          <w:rFonts w:ascii="Times New Roman" w:hAnsi="Times New Roman"/>
          <w:color w:val="000000"/>
          <w:sz w:val="20"/>
        </w:rPr>
        <w:t>million of equity investments valued using a Black-Scholes model and $19.2</w:t>
      </w:r>
      <w:r>
        <w:rPr>
          <w:rFonts w:ascii="Times New Roman" w:hAnsi="Times New Roman"/>
          <w:color w:val="000000"/>
          <w:sz w:val="24"/>
        </w:rPr>
        <w:t xml:space="preserve"> </w:t>
      </w:r>
      <w:r>
        <w:rPr>
          <w:rFonts w:ascii="Times New Roman" w:hAnsi="Times New Roman"/>
          <w:color w:val="000000"/>
          <w:sz w:val="20"/>
        </w:rPr>
        <w:t>million of equity investments which, due to the proximity of the transactions relative to the measurement dates, we valued using the cost of the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Instruments Not Carried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Credit Facilities, which are categorized as Level 3 within the fair value hierarchy, as of June 30, 2024 and December 31, 2023, approximates their carrying value as the outstanding balance is callable at carrying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fair value of the Company’s 2029 Notes, as of June 30, 2024.</w:t>
      </w:r>
    </w:p>
    <w:p>
      <w:pPr>
        <w:pStyle w:val="TextBody"/>
        <w:bidi w:val="0"/>
        <w:spacing w:before="120" w:after="283"/>
        <w:jc w:val="left"/>
        <w:rPr/>
      </w:pPr>
      <w:r>
        <w:rPr/>
        <w:t> </w:t>
      </w:r>
    </w:p>
    <w:tbl>
      <w:tblPr>
        <w:tblW w:w="4640" w:type="dxa"/>
        <w:jc w:val="left"/>
        <w:tblInd w:w="0" w:type="dxa"/>
        <w:tblLayout w:type="fixed"/>
        <w:tblCellMar>
          <w:top w:w="28" w:type="dxa"/>
          <w:left w:w="28" w:type="dxa"/>
          <w:bottom w:w="28" w:type="dxa"/>
          <w:right w:w="28" w:type="dxa"/>
        </w:tblCellMar>
      </w:tblPr>
      <w:tblGrid>
        <w:gridCol w:w="1051"/>
        <w:gridCol w:w="146"/>
        <w:gridCol w:w="362"/>
        <w:gridCol w:w="1348"/>
        <w:gridCol w:w="146"/>
        <w:gridCol w:w="146"/>
        <w:gridCol w:w="223"/>
        <w:gridCol w:w="827"/>
        <w:gridCol w:w="3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747,075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747,075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is based on broker quotes received by the Company and is categorized as Level 2 within the fair value hierarchy.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Other Financial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fair value hierarchy, cash and cash equivalents are classified as Level 1 while the Company’s other assets and liabilities, other than investments at fair value and the Credit Facilities, are classified as Level 2.</w:t>
      </w:r>
    </w:p>
    <w:p>
      <w:pPr>
        <w:pStyle w:val="TextBody"/>
        <w:bidi w:val="0"/>
        <w:spacing w:before="360" w:after="283"/>
        <w:jc w:val="left"/>
        <w:rPr>
          <w:rFonts w:ascii="Times New Roman" w:hAnsi="Times New Roman"/>
          <w:sz w:val="20"/>
        </w:rPr>
      </w:pPr>
      <w:r>
        <w:rPr>
          <w:rFonts w:ascii="Times New Roman" w:hAnsi="Times New Roman"/>
          <w:b/>
          <w:color w:val="000000"/>
          <w:sz w:val="20"/>
        </w:rPr>
        <w:t>7. Debt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Subscription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 2022 (the “Subscription Facility Closing Date”), the Company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will mature upon the earliest of: (i) August 30, 2024 (the “Subscription Facility Stated Maturity”);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Subscription Facility Stated Maturity Date may be extended by up to 364 days, subject to satisfaction of customary conditions. On July 3, 2024, the Company exercised its option to extend maturity to August 29,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June 30, 2024, the Company had outstanding debt denominated in British pounds (GBP) of 10.3 million and Euros (EUR) of 10.3 million on its Subscription Facility, included in the outstanding principal amount in the table below. As of December 31, 2023, the Company had outstanding debt denominated in British pounds (GBP) of 10.3 million, and Euros (EUR) of 13.4 million on its Subscription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Subscription Facility also provides for the issuance of letters of credit up to an aggregate amount of 10% of the Maximum Commitment. As of June 30, 2024 and December 31, 2023, the Company had no outstanding letters of credit issued through the Subscription Facility. The amount available for borrowing under the Subscription Facility is reduced by any letters of credit issued through the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includes customary events of default, as well as customary covenants, including restrictions on 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the Company was in compliance with the terms of the Subscription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commitments under the facility were $600 million and included an uncommitted accordion feature that allows the Company, under certain circumstances, to increase the size of the facility up to $1 billion. On February 28, 2023, the aggregate commitments under the facility were upsized to $700 million. On July 27, 2023, the aggregate commitments under the facility were upsized to $725 million. Pursuant to the first amendment to the Revolving Credit Facility dated February 8, 2024 (the “Revolving Credit Facility First Amendment”), the aggregate commitments under the Revolving Credit Facility were upsized to $1.0 billion and the stated maturity date was extended to February 8, 2029. On April 8, 2024, the aggregate commitments under the facility were upsized to $1.2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The facility includes an uncommitted accordion feature that allows the Company, under certain circumstances, to increase the size of the facility to up to $1.75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an asset coverage ratio of no less than 1.5</w:t>
      </w:r>
      <w:r>
        <w:rPr>
          <w:rFonts w:ascii="Times New Roman" w:hAnsi="Times New Roman"/>
          <w:color w:val="000000"/>
          <w:sz w:val="24"/>
        </w:rPr>
        <w:t xml:space="preserve"> </w:t>
      </w:r>
      <w:r>
        <w:rPr>
          <w:rFonts w:ascii="Times New Roman" w:hAnsi="Times New Roman"/>
          <w:color w:val="000000"/>
          <w:sz w:val="20"/>
        </w:rPr>
        <w:t>to 1</w:t>
      </w:r>
      <w:r>
        <w:rPr>
          <w:rFonts w:ascii="Times New Roman" w:hAnsi="Times New Roman"/>
          <w:color w:val="000000"/>
          <w:sz w:val="24"/>
        </w:rPr>
        <w:t xml:space="preserve"> </w:t>
      </w:r>
      <w:r>
        <w:rPr>
          <w:rFonts w:ascii="Times New Roman" w:hAnsi="Times New Roman"/>
          <w:color w:val="000000"/>
          <w:sz w:val="20"/>
        </w:rPr>
        <w:t xml:space="preserve">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shareholders’ equity of at least $1.1</w:t>
      </w:r>
      <w:r>
        <w:rPr>
          <w:rFonts w:ascii="Times New Roman" w:hAnsi="Times New Roman"/>
          <w:color w:val="000000"/>
          <w:sz w:val="24"/>
        </w:rPr>
        <w:t xml:space="preserve"> </w:t>
      </w:r>
      <w:r>
        <w:rPr>
          <w:rFonts w:ascii="Times New Roman" w:hAnsi="Times New Roman"/>
          <w:color w:val="000000"/>
          <w:sz w:val="20"/>
        </w:rPr>
        <w:t>billion plus 25% of the net proceeds of the sale of equity interests after February 8, 2024;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(the “Obligor Asset Coverage Ratio”).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June 30, 2024, the Company had outstanding debt denominated in British pounds (GBP) of 141.2 million, Euros (EUR) 368.2 million and Swedish Krona (SEK) 78.1 million on its Revolving Credit Facility, included in the outstanding principal amount in the table below. As of December 31, 2023, the Company had outstanding debt denominated in British pounds (GBP) of 68.7 million and Euros (EUR) 95.7 million on its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$400 million. As of June 30, 2024, the Company had $5.9 million in outstanding letters of credit issued through the Revolving Credit Facility. As of December 31, 2023, the Company had $5.5 million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(with customary cure and notice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4,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10, 2024, the Company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The Company used the net proceeds of the 2029 Notes to repay outstanding indebtedness under the Revolving Credit Facility and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two interest rate swaps to align the interest rates of its liabilities with the Company’s investment portfolio, which consists of predominately floating rate loans. The notional amount of the two interest rates swaps is $600.0 million and $150.0 million, respectively, each of which matures on March 11, 2029, matching the maturity date of the 2029 Notes. As a result of the swap, the Company’s effective interest rate on the 2029 Notes is SOFR plus 2.45% (on a weighted average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the components of interest expense related to the 2029 Notes are as follows.</w:t>
      </w:r>
    </w:p>
    <w:p>
      <w:pPr>
        <w:pStyle w:val="TextBody"/>
        <w:bidi w:val="0"/>
        <w:spacing w:before="120" w:after="283"/>
        <w:jc w:val="left"/>
        <w:rPr/>
      </w:pPr>
      <w:r>
        <w:rPr/>
        <w:t> </w:t>
      </w:r>
    </w:p>
    <w:tbl>
      <w:tblPr>
        <w:tblW w:w="7435" w:type="dxa"/>
        <w:jc w:val="left"/>
        <w:tblInd w:w="0" w:type="dxa"/>
        <w:tblLayout w:type="fixed"/>
        <w:tblCellMar>
          <w:top w:w="28" w:type="dxa"/>
          <w:left w:w="28" w:type="dxa"/>
          <w:bottom w:w="28" w:type="dxa"/>
          <w:right w:w="28" w:type="dxa"/>
        </w:tblCellMar>
      </w:tblPr>
      <w:tblGrid>
        <w:gridCol w:w="3391"/>
        <w:gridCol w:w="346"/>
        <w:gridCol w:w="382"/>
        <w:gridCol w:w="1223"/>
        <w:gridCol w:w="146"/>
        <w:gridCol w:w="146"/>
        <w:gridCol w:w="335"/>
        <w:gridCol w:w="1075"/>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12,296</w:t>
            </w:r>
          </w:p>
        </w:tc>
        <w:tc>
          <w:tcPr>
            <w:tcW w:w="3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3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346" w:type="dxa"/>
            <w:tcBorders/>
            <w:shd w:fill="CFF0FC" w:val="cle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in the table above does not include the effect of the interest rate swaps related to the 2029 Notes. During the three and six months ended June 30, 2024, the Company received $10.0 million and $11.5 million, respectively, and paid $12.3 million and $14.1 million, respectively, related to the settlements of its interest expense in the Company's Consolidated Statement of Operations. See Note 5 for further information about the Company's interest rate swap.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the components of the carrying value of the 2029 Notes and the stated interest rate were as follows.</w:t>
      </w:r>
    </w:p>
    <w:p>
      <w:pPr>
        <w:pStyle w:val="TextBody"/>
        <w:bidi w:val="0"/>
        <w:spacing w:before="120" w:after="283"/>
        <w:jc w:val="left"/>
        <w:rPr/>
      </w:pPr>
      <w:r>
        <w:rPr/>
        <w:t> </w:t>
      </w:r>
    </w:p>
    <w:tbl>
      <w:tblPr>
        <w:tblW w:w="4933" w:type="dxa"/>
        <w:jc w:val="left"/>
        <w:tblInd w:w="0" w:type="dxa"/>
        <w:tblLayout w:type="fixed"/>
        <w:tblCellMar>
          <w:top w:w="28" w:type="dxa"/>
          <w:left w:w="28" w:type="dxa"/>
          <w:bottom w:w="28" w:type="dxa"/>
          <w:right w:w="28" w:type="dxa"/>
        </w:tblCellMar>
      </w:tblPr>
      <w:tblGrid>
        <w:gridCol w:w="3346"/>
        <w:gridCol w:w="146"/>
        <w:gridCol w:w="239"/>
        <w:gridCol w:w="886"/>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316"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732,335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stated interest rate in the table above does not include the effect of the interest rate swaps. As of June 30, 2024, the Company's swap-adjusted interest rate on the 2029 Notes was SOFR plus 2.45% (on a weighted average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the Company was in compliance with the terms of the indentures governing the 2029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1940 Act, with certain limitations, the Company is allowed to borrow amounts such that its asset coverage, as defined in the 1940 Act, is at least 150% after such borrowing. As of June 30, 2024 and December 31, 2023, the Company's asset coverage was 204.7% and 245.6%,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June 30, 2024 and December 31, 2023: </w:t>
      </w:r>
    </w:p>
    <w:p>
      <w:pPr>
        <w:pStyle w:val="TextBody"/>
        <w:bidi w:val="0"/>
        <w:jc w:val="left"/>
        <w:rPr/>
      </w:pPr>
      <w:r>
        <w:rPr/>
        <w:t>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873,618</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996,933</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2,602,886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Subscription Facility,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Subscription Facility, Revolving Credit Facility and the 2029 Notes are presented net of the combination of deferred financing costs and original issue discounts totaling $0.9 million, $9.6 million, and $15.4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 of the 2029 Notes is presented inclusive of an incremental $2.3 million, which represents an adjustment in the carrying value of the 2029 Notes, resulting from a hedge accounting relationship.</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1,051,033</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Subscription Facility, the Revolving Credit Facility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Subscription Facility and the Revolving Credit Facility are presented net deferred financing costs of $3.7 million and $4.5 million.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30, 2024 and 2023, the components of interest expense were as follows:</w:t>
      </w:r>
    </w:p>
    <w:tbl>
      <w:tblPr>
        <w:tblW w:w="9679" w:type="dxa"/>
        <w:jc w:val="left"/>
        <w:tblInd w:w="0" w:type="dxa"/>
        <w:tblLayout w:type="fixed"/>
        <w:tblCellMar>
          <w:top w:w="28" w:type="dxa"/>
          <w:left w:w="28" w:type="dxa"/>
          <w:bottom w:w="28" w:type="dxa"/>
          <w:right w:w="28" w:type="dxa"/>
        </w:tblCellMar>
      </w:tblPr>
      <w:tblGrid>
        <w:gridCol w:w="3391"/>
        <w:gridCol w:w="146"/>
        <w:gridCol w:w="254"/>
        <w:gridCol w:w="871"/>
        <w:gridCol w:w="271"/>
        <w:gridCol w:w="146"/>
        <w:gridCol w:w="267"/>
        <w:gridCol w:w="858"/>
        <w:gridCol w:w="271"/>
        <w:gridCol w:w="146"/>
        <w:gridCol w:w="254"/>
        <w:gridCol w:w="871"/>
        <w:gridCol w:w="271"/>
        <w:gridCol w:w="146"/>
        <w:gridCol w:w="267"/>
        <w:gridCol w:w="858"/>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21,330</w:t>
            </w:r>
          </w:p>
        </w:tc>
        <w:tc>
          <w:tcPr>
            <w:tcW w:w="3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fees</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3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3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 settlement</w:t>
            </w:r>
          </w:p>
        </w:tc>
        <w:tc>
          <w:tcPr>
            <w:tcW w:w="146" w:type="dxa"/>
            <w:tcBorders/>
            <w:shd w:fill="CFF0FC" w:val="cle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millions)</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3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and December 31, 2023, the Company had the following commitments to fund investments in current portfolio companies: </w:t>
      </w:r>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5851"/>
        <w:gridCol w:w="146"/>
        <w:gridCol w:w="239"/>
        <w:gridCol w:w="886"/>
        <w:gridCol w:w="246"/>
        <w:gridCol w:w="246"/>
        <w:gridCol w:w="319"/>
        <w:gridCol w:w="1181"/>
        <w:gridCol w:w="39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 Bidco Oy - Delayed Draw &amp;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 - Delayed Draw</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Aptean, Inc. - Delayed Draw &amp;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 Buyer, Inc. - Delayed Draw</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21,283</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Avalara, Inc. -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Delayed Draw, Revolver &amp; Equity</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Babylon Finco Limited - Delayed Draw</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Banyan Software Holdings, LLC - Delayed Draw</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92,400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20,073</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Bluebill Buyer, Inc. - Delayed Draw</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Nevis Midco Limited - Delayed Draw</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BTRS Holdings, Inc. - Delayed Draw &amp;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16,689</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20,427</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20,809</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 Parent, Inc. -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 Bidco B.V. - Delayed Draw &amp;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Elements Finco Limited - Delayed Draw</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Fullsteam Operations LLC - Delayed Draw &amp;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31,239</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15,817</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Environmental Services, Inc. -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Hornetsecurity Holding GmbH - Delayed Draw &amp;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 S - Delayed Draw</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53,817</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Laramie Energy, LLC - Delayed Draw</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27,439</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Merit Software Finance Holdings, LLC - Delayed Draw &amp;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OutSystems Holdings S.A. - Delayed Draw</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Delayed Draw &amp;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Ping Identity Corporation -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SkyLark UK DebtCo Limited - Delayed Draw</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28,192</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 Buyer Corp - Delayed Draw</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Revolver</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color w:val="000000"/>
                <w:sz w:val="20"/>
              </w:rPr>
              <w:t>Total Portfolio Company Commitments</w:t>
            </w:r>
            <w:r>
              <w:rPr>
                <w:rFonts w:ascii="Times New Roman" w:hAnsi="Times New Roman"/>
                <w:color w:val="000000"/>
                <w:sz w:val="20"/>
              </w:rPr>
              <w:t xml:space="preserve"> </w:t>
            </w:r>
            <w:r>
              <w:rPr>
                <w:rFonts w:ascii="Times New Roman" w:hAnsi="Times New Roman"/>
                <w:b/>
                <w:color w:val="000000"/>
                <w:sz w:val="13"/>
              </w:rPr>
              <w:t>(1)(2)</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841,600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sz w:val="20"/>
        </w:rPr>
      </w:pPr>
      <w:r>
        <w:rPr>
          <w:rFonts w:ascii="Times New Roman" w:hAnsi="Times New Roman"/>
          <w:i/>
          <w:color w:val="000000"/>
          <w:sz w:val="20"/>
        </w:rPr>
        <w:t>Other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the Company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a party to certain legal proceedings incidental to the normal course of its business. As of June 30, 2024 and December 31, 2023, management is not aware of any material pending or threatened litigation that would require accounting recognition or financial statement disclosure.</w:t>
      </w:r>
    </w:p>
    <w:p>
      <w:pPr>
        <w:pStyle w:val="TextBody"/>
        <w:bidi w:val="0"/>
        <w:spacing w:before="360" w:after="283"/>
        <w:jc w:val="left"/>
        <w:rPr>
          <w:rFonts w:ascii="Times New Roman" w:hAnsi="Times New Roman"/>
          <w:sz w:val="20"/>
        </w:rPr>
      </w:pPr>
      <w:r>
        <w:rPr>
          <w:rFonts w:ascii="Times New Roman" w:hAnsi="Times New Roman"/>
          <w:b/>
          <w:color w:val="000000"/>
          <w:sz w:val="20"/>
        </w:rPr>
        <w:t>9. Net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June 30, 2024, the Company had received Capital Commitments totaling $7.4 billion ($4.9 billion remaining undrawn). As of December 31, 2023 the Company had received Capital Commitments totaling $7.4 billion ($5.7 billion remaining undrawn).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Pursuant to the Company’s dividend reinvestment plan, the following table summarizes the Common Shares issued to shareholders who have not opted out of the Company’s dividend reinvestment plan for the six months ended June 30, 2024 and 2023. All shares issued to shareholders in the tables below are newly issued shares. </w:t>
      </w:r>
    </w:p>
    <w:tbl>
      <w:tblPr>
        <w:tblW w:w="7974" w:type="dxa"/>
        <w:jc w:val="left"/>
        <w:tblInd w:w="0" w:type="dxa"/>
        <w:tblLayout w:type="fixed"/>
        <w:tblCellMar>
          <w:top w:w="28" w:type="dxa"/>
          <w:left w:w="28" w:type="dxa"/>
          <w:bottom w:w="28" w:type="dxa"/>
          <w:right w:w="28" w:type="dxa"/>
        </w:tblCellMar>
      </w:tblPr>
      <w:tblGrid>
        <w:gridCol w:w="2796"/>
        <w:gridCol w:w="146"/>
        <w:gridCol w:w="1681"/>
        <w:gridCol w:w="146"/>
        <w:gridCol w:w="1591"/>
        <w:gridCol w:w="146"/>
        <w:gridCol w:w="146"/>
        <w:gridCol w:w="931"/>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4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29, 2023</w:t>
            </w:r>
          </w:p>
        </w:tc>
        <w:tc>
          <w:tcPr>
            <w:tcW w:w="146" w:type="dxa"/>
            <w:tcBorders/>
            <w:shd w:fill="CFF0FC" w:val="clear"/>
            <w:vAlign w:val="center"/>
          </w:tcPr>
          <w:p>
            <w:pPr>
              <w:pStyle w:val="TableContents"/>
              <w:bidi w:val="0"/>
              <w:spacing w:before="0" w:after="283"/>
              <w:jc w:val="right"/>
              <w:rPr/>
            </w:pPr>
            <w:r>
              <w:rPr/>
              <w:t> </w:t>
            </w:r>
          </w:p>
        </w:tc>
        <w:tc>
          <w:tcPr>
            <w:tcW w:w="1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vAlign w:val="center"/>
          </w:tcPr>
          <w:p>
            <w:pPr>
              <w:pStyle w:val="TableContents"/>
              <w:bidi w:val="0"/>
              <w:spacing w:before="0" w:after="283"/>
              <w:jc w:val="right"/>
              <w:rPr/>
            </w:pPr>
            <w:r>
              <w:rPr/>
              <w:t> </w:t>
            </w:r>
          </w:p>
        </w:tc>
        <w:tc>
          <w:tcPr>
            <w:tcW w:w="1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795,040</w:t>
            </w:r>
          </w:p>
        </w:tc>
        <w:tc>
          <w:tcPr>
            <w:tcW w:w="391" w:type="dxa"/>
            <w:tcBorders/>
            <w:shd w:fill="CFF0FC" w:val="clear"/>
            <w:vAlign w:val="center"/>
          </w:tcPr>
          <w:p>
            <w:pPr>
              <w:pStyle w:val="TableContents"/>
              <w:bidi w:val="0"/>
              <w:spacing w:before="0" w:after="283"/>
              <w:jc w:val="left"/>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29, 2024</w:t>
            </w:r>
          </w:p>
        </w:tc>
        <w:tc>
          <w:tcPr>
            <w:tcW w:w="146" w:type="dxa"/>
            <w:tcBorders/>
            <w:shd w:fill="FFFFFF" w:val="clear"/>
            <w:vAlign w:val="center"/>
          </w:tcPr>
          <w:p>
            <w:pPr>
              <w:pStyle w:val="TableContents"/>
              <w:bidi w:val="0"/>
              <w:spacing w:before="0" w:after="283"/>
              <w:jc w:val="right"/>
              <w:rPr/>
            </w:pPr>
            <w:r>
              <w:rPr/>
              <w:t> </w:t>
            </w:r>
          </w:p>
        </w:tc>
        <w:tc>
          <w:tcPr>
            <w:tcW w:w="1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2024</w:t>
            </w:r>
          </w:p>
        </w:tc>
        <w:tc>
          <w:tcPr>
            <w:tcW w:w="146" w:type="dxa"/>
            <w:tcBorders/>
            <w:shd w:fill="FFFFFF" w:val="clear"/>
            <w:vAlign w:val="center"/>
          </w:tcPr>
          <w:p>
            <w:pPr>
              <w:pStyle w:val="TableContents"/>
              <w:bidi w:val="0"/>
              <w:spacing w:before="0" w:after="283"/>
              <w:jc w:val="right"/>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7, 2024</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Common Shares Issued</w:t>
            </w:r>
          </w:p>
        </w:tc>
        <w:tc>
          <w:tcPr>
            <w:tcW w:w="146" w:type="dxa"/>
            <w:tcBorders/>
            <w:shd w:fill="CFF0FC" w:val="clear"/>
            <w:vAlign w:val="center"/>
          </w:tcPr>
          <w:p>
            <w:pPr>
              <w:pStyle w:val="TableContents"/>
              <w:bidi w:val="0"/>
              <w:spacing w:before="0" w:after="283"/>
              <w:jc w:val="right"/>
              <w:rPr/>
            </w:pPr>
            <w:r>
              <w:rPr/>
              <w:t> </w:t>
            </w:r>
          </w:p>
        </w:tc>
        <w:tc>
          <w:tcPr>
            <w:tcW w:w="16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7332" w:type="dxa"/>
        <w:jc w:val="left"/>
        <w:tblInd w:w="0" w:type="dxa"/>
        <w:tblLayout w:type="fixed"/>
        <w:tblCellMar>
          <w:top w:w="28" w:type="dxa"/>
          <w:left w:w="28" w:type="dxa"/>
          <w:bottom w:w="28" w:type="dxa"/>
          <w:right w:w="28" w:type="dxa"/>
        </w:tblCellMar>
      </w:tblPr>
      <w:tblGrid>
        <w:gridCol w:w="2796"/>
        <w:gridCol w:w="146"/>
        <w:gridCol w:w="1396"/>
        <w:gridCol w:w="146"/>
        <w:gridCol w:w="1246"/>
        <w:gridCol w:w="146"/>
        <w:gridCol w:w="167"/>
        <w:gridCol w:w="898"/>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9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vAlign w:val="center"/>
          </w:tcPr>
          <w:p>
            <w:pPr>
              <w:pStyle w:val="TableContents"/>
              <w:bidi w:val="0"/>
              <w:spacing w:before="0" w:after="283"/>
              <w:jc w:val="righ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2023</w:t>
            </w:r>
          </w:p>
        </w:tc>
        <w:tc>
          <w:tcPr>
            <w:tcW w:w="146" w:type="dxa"/>
            <w:tcBorders/>
            <w:shd w:fill="CFF0FC" w:val="clear"/>
            <w:vAlign w:val="center"/>
          </w:tcPr>
          <w:p>
            <w:pPr>
              <w:pStyle w:val="TableContents"/>
              <w:bidi w:val="0"/>
              <w:spacing w:before="0" w:after="283"/>
              <w:jc w:val="righ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2023</w:t>
            </w:r>
          </w:p>
        </w:tc>
        <w:tc>
          <w:tcPr>
            <w:tcW w:w="146" w:type="dxa"/>
            <w:tcBorders/>
            <w:shd w:fill="CFF0FC" w:val="clear"/>
            <w:vAlign w:val="center"/>
          </w:tcPr>
          <w:p>
            <w:pPr>
              <w:pStyle w:val="TableContents"/>
              <w:bidi w:val="0"/>
              <w:spacing w:before="0" w:after="283"/>
              <w:jc w:val="right"/>
              <w:rPr/>
            </w:pPr>
            <w:r>
              <w:rPr/>
              <w:t> </w:t>
            </w:r>
          </w:p>
        </w:tc>
        <w:tc>
          <w:tcPr>
            <w:tcW w:w="12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10, 2023</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371,108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Common Shares Issued</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371,108</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total Common Shares issued and proceeds received related to the Company’s capital drawdowns delivered pursuant to the Subscription Agreements for the six months ended June 30, 2024 and 2023:</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2281"/>
        <w:gridCol w:w="146"/>
        <w:gridCol w:w="320"/>
        <w:gridCol w:w="2275"/>
        <w:gridCol w:w="146"/>
        <w:gridCol w:w="146"/>
        <w:gridCol w:w="306"/>
        <w:gridCol w:w="1134"/>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6, 2024</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22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349,736</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25, 2024</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27,501,139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799,736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2281"/>
        <w:gridCol w:w="146"/>
        <w:gridCol w:w="320"/>
        <w:gridCol w:w="2275"/>
        <w:gridCol w:w="146"/>
        <w:gridCol w:w="146"/>
        <w:gridCol w:w="306"/>
        <w:gridCol w:w="1134"/>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2023</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22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28, 2023</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2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12,442,293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the computation of basic and diluted earnings per common share for the three and six months ended June 30, 2024 and 2023: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common share—basic</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61,049</w:t>
            </w:r>
          </w:p>
        </w:tc>
        <w:tc>
          <w:tcPr>
            <w:tcW w:w="191" w:type="dxa"/>
            <w:tcBorders/>
            <w:shd w:fill="FFFFFF" w:val="cle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84,817,784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31,830,160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77,232,840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27,469,663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common share—basic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11.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dividends declared during the six months ended June 30, 2024 and 2023:</w:t>
      </w:r>
    </w:p>
    <w:p>
      <w:pPr>
        <w:pStyle w:val="TextBody"/>
        <w:bidi w:val="0"/>
        <w:jc w:val="left"/>
        <w:rPr/>
      </w:pPr>
      <w:r>
        <w:rPr/>
        <w:t> </w:t>
      </w:r>
    </w:p>
    <w:tbl>
      <w:tblPr>
        <w:tblW w:w="7557" w:type="dxa"/>
        <w:jc w:val="left"/>
        <w:tblInd w:w="0" w:type="dxa"/>
        <w:tblLayout w:type="fixed"/>
        <w:tblCellMar>
          <w:top w:w="28" w:type="dxa"/>
          <w:left w:w="28" w:type="dxa"/>
          <w:bottom w:w="28" w:type="dxa"/>
          <w:right w:w="28" w:type="dxa"/>
        </w:tblCellMar>
      </w:tblPr>
      <w:tblGrid>
        <w:gridCol w:w="2481"/>
        <w:gridCol w:w="146"/>
        <w:gridCol w:w="1396"/>
        <w:gridCol w:w="146"/>
        <w:gridCol w:w="1351"/>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3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3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vAlign w:val="center"/>
          </w:tcPr>
          <w:p>
            <w:pPr>
              <w:pStyle w:val="TableContents"/>
              <w:bidi w:val="0"/>
              <w:spacing w:before="0" w:after="283"/>
              <w:jc w:val="right"/>
              <w:rPr/>
            </w:pPr>
            <w:r>
              <w:rPr/>
              <w:t> </w:t>
            </w:r>
          </w:p>
        </w:tc>
        <w:tc>
          <w:tcPr>
            <w:tcW w:w="13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29, 2024</w:t>
            </w:r>
          </w:p>
        </w:tc>
        <w:tc>
          <w:tcPr>
            <w:tcW w:w="146" w:type="dxa"/>
            <w:tcBorders/>
            <w:shd w:fill="CFF0FC" w:val="clear"/>
            <w:vAlign w:val="center"/>
          </w:tcPr>
          <w:p>
            <w:pPr>
              <w:pStyle w:val="TableContents"/>
              <w:bidi w:val="0"/>
              <w:spacing w:before="0" w:after="283"/>
              <w:jc w:val="righ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2024</w:t>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6, 2024</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28, 2024</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2024</w:t>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5, 2024</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8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vAlign w:val="center"/>
          </w:tcPr>
          <w:p>
            <w:pPr>
              <w:pStyle w:val="TableContents"/>
              <w:bidi w:val="0"/>
              <w:spacing w:before="0" w:after="283"/>
              <w:jc w:val="right"/>
              <w:rPr/>
            </w:pPr>
            <w:r>
              <w:rPr/>
              <w:t> </w:t>
            </w:r>
          </w:p>
        </w:tc>
        <w:tc>
          <w:tcPr>
            <w:tcW w:w="13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62" w:type="dxa"/>
        <w:jc w:val="left"/>
        <w:tblInd w:w="0" w:type="dxa"/>
        <w:tblLayout w:type="fixed"/>
        <w:tblCellMar>
          <w:top w:w="28" w:type="dxa"/>
          <w:left w:w="28" w:type="dxa"/>
          <w:bottom w:w="28" w:type="dxa"/>
          <w:right w:w="28" w:type="dxa"/>
        </w:tblCellMar>
      </w:tblPr>
      <w:tblGrid>
        <w:gridCol w:w="2481"/>
        <w:gridCol w:w="146"/>
        <w:gridCol w:w="1396"/>
        <w:gridCol w:w="146"/>
        <w:gridCol w:w="145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4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2023</w:t>
            </w:r>
          </w:p>
        </w:tc>
        <w:tc>
          <w:tcPr>
            <w:tcW w:w="146" w:type="dxa"/>
            <w:tcBorders/>
            <w:shd w:fill="CFF0FC" w:val="clear"/>
            <w:vAlign w:val="center"/>
          </w:tcPr>
          <w:p>
            <w:pPr>
              <w:pStyle w:val="TableContents"/>
              <w:bidi w:val="0"/>
              <w:spacing w:before="0" w:after="283"/>
              <w:jc w:val="righ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2023</w:t>
            </w:r>
          </w:p>
        </w:tc>
        <w:tc>
          <w:tcPr>
            <w:tcW w:w="146" w:type="dxa"/>
            <w:tcBorders/>
            <w:shd w:fill="CFF0FC" w:val="clear"/>
            <w:vAlign w:val="center"/>
          </w:tcPr>
          <w:p>
            <w:pPr>
              <w:pStyle w:val="TableContents"/>
              <w:bidi w:val="0"/>
              <w:spacing w:before="0" w:after="283"/>
              <w:jc w:val="righ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9, 2023</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2023</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2023</w:t>
            </w:r>
          </w:p>
        </w:tc>
        <w:tc>
          <w:tcPr>
            <w:tcW w:w="146" w:type="dxa"/>
            <w:tcBorders/>
            <w:shd w:fill="FFFFFF" w:val="clear"/>
            <w:vAlign w:val="center"/>
          </w:tcPr>
          <w:p>
            <w:pPr>
              <w:pStyle w:val="TableContents"/>
              <w:bidi w:val="0"/>
              <w:spacing w:before="0" w:after="283"/>
              <w:jc w:val="righ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15, 2023</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8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vAlign w:val="center"/>
          </w:tcPr>
          <w:p>
            <w:pPr>
              <w:pStyle w:val="TableContents"/>
              <w:bidi w:val="0"/>
              <w:spacing w:before="0" w:after="283"/>
              <w:jc w:val="right"/>
              <w:rPr/>
            </w:pPr>
            <w:r>
              <w:rPr/>
              <w:t> </w:t>
            </w:r>
          </w:p>
        </w:tc>
        <w:tc>
          <w:tcPr>
            <w:tcW w:w="13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dividends declared during the six months ended June 30, 2024 and 2023 were derived from net investment income, determined on a tax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Financial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 share data and ratios have been derived from information provided in the Consolidated Financial Statements. The following are the financial highlights for one share of Common Shares outstanding for the six months ended June 30, 2024 and 2023:</w:t>
      </w:r>
    </w:p>
    <w:tbl>
      <w:tblPr>
        <w:tblW w:w="10205" w:type="dxa"/>
        <w:jc w:val="left"/>
        <w:tblInd w:w="0" w:type="dxa"/>
        <w:tblLayout w:type="fixed"/>
        <w:tblCellMar>
          <w:top w:w="28" w:type="dxa"/>
          <w:left w:w="28" w:type="dxa"/>
          <w:bottom w:w="28" w:type="dxa"/>
          <w:right w:w="28" w:type="dxa"/>
        </w:tblCellMar>
      </w:tblPr>
      <w:tblGrid>
        <w:gridCol w:w="6757"/>
        <w:gridCol w:w="146"/>
        <w:gridCol w:w="211"/>
        <w:gridCol w:w="1036"/>
        <w:gridCol w:w="271"/>
        <w:gridCol w:w="146"/>
        <w:gridCol w:w="211"/>
        <w:gridCol w:w="1036"/>
        <w:gridCol w:w="391"/>
      </w:tblGrid>
      <w:tr>
        <w:trPr/>
        <w:tc>
          <w:tcPr>
            <w:tcW w:w="6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6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391" w:type="dxa"/>
            <w:tcBorders/>
            <w:shd w:fill="FFFFFF" w:val="clear"/>
            <w:vAlign w:val="center"/>
          </w:tcPr>
          <w:p>
            <w:pPr>
              <w:pStyle w:val="TableContents"/>
              <w:bidi w:val="0"/>
              <w:spacing w:before="0" w:after="283"/>
              <w:jc w:val="left"/>
              <w:rPr/>
            </w:pPr>
            <w:r>
              <w:rPr/>
              <w:t> </w:t>
            </w:r>
          </w:p>
        </w:tc>
      </w:tr>
      <w:tr>
        <w:trPr/>
        <w:tc>
          <w:tcPr>
            <w:tcW w:w="67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7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FFFFFF" w:val="clear"/>
            <w:vAlign w:val="center"/>
          </w:tcPr>
          <w:p>
            <w:pPr>
              <w:pStyle w:val="TableContents"/>
              <w:bidi w:val="0"/>
              <w:spacing w:before="0" w:after="283"/>
              <w:jc w:val="left"/>
              <w:rPr/>
            </w:pPr>
            <w:r>
              <w:rPr/>
              <w:t> </w:t>
            </w:r>
          </w:p>
        </w:tc>
      </w:tr>
      <w:tr>
        <w:trPr/>
        <w:tc>
          <w:tcPr>
            <w:tcW w:w="675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and unrealized gain (loss)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91" w:type="dxa"/>
            <w:tcBorders/>
            <w:shd w:fill="FFFFFF" w:val="clear"/>
            <w:vAlign w:val="center"/>
          </w:tcPr>
          <w:p>
            <w:pPr>
              <w:pStyle w:val="TableContents"/>
              <w:bidi w:val="0"/>
              <w:spacing w:before="0" w:after="283"/>
              <w:jc w:val="left"/>
              <w:rPr/>
            </w:pPr>
            <w:r>
              <w:rPr/>
              <w:t> </w:t>
            </w:r>
          </w:p>
        </w:tc>
      </w:tr>
      <w:tr>
        <w:trPr/>
        <w:tc>
          <w:tcPr>
            <w:tcW w:w="675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Common Share Issuance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Dividends declared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increase (decrease) in net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return based on net asset value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outstanding,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94,644,720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34,695,429</w:t>
            </w:r>
          </w:p>
        </w:tc>
        <w:tc>
          <w:tcPr>
            <w:tcW w:w="391" w:type="dxa"/>
            <w:tcBorders/>
            <w:shd w:fill="FFFFFF" w:val="clear"/>
            <w:vAlign w:val="center"/>
          </w:tcPr>
          <w:p>
            <w:pPr>
              <w:pStyle w:val="TableContents"/>
              <w:bidi w:val="0"/>
              <w:spacing w:before="0" w:after="283"/>
              <w:jc w:val="left"/>
              <w:rPr/>
            </w:pPr>
            <w:r>
              <w:rPr/>
              <w:t> </w:t>
            </w:r>
          </w:p>
        </w:tc>
      </w:tr>
      <w:tr>
        <w:trPr/>
        <w:tc>
          <w:tcPr>
            <w:tcW w:w="675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Ratios / Supplemental Data </w:t>
            </w:r>
            <w:r>
              <w:rPr>
                <w:rFonts w:ascii="Times New Roman" w:hAnsi="Times New Roman"/>
                <w:b/>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7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gross expenses to average net assets without management fee waiver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expenses to average net assets with</w:t>
              <w:br/>
              <w:t>management fee waiver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 without management fee waiver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 with management fee waiver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2,749,507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906,467</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weighted average Common Shares outstanding during the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shown at this caption is the balancing amount derived from share issuances. The amount shown for share issuance will fluctuate due to the timing of share issuances and the weighting of average shares over the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actual shares outstanding at the date of the relevant transactions.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net asset value is calculated as the change in net asset value per share during the period plus declared dividends, assuming reinvestment of dividends, divided by the beginning net asset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sz w:val="24"/>
        </w:rPr>
      </w:pPr>
      <w:r>
        <w:rPr>
          <w:rFonts w:ascii="Times New Roman" w:hAnsi="Times New Roman"/>
          <w:color w:val="000000"/>
          <w:sz w:val="20"/>
        </w:rPr>
        <w:t>T</w:t>
      </w:r>
      <w:r>
        <w:rPr>
          <w:rFonts w:ascii="Times New Roman" w:hAnsi="Times New Roman"/>
          <w:color w:val="1D1C1D"/>
          <w:sz w:val="20"/>
        </w:rPr>
        <w:t>he ratios, excluding nonrecurring expenses, such as organization costs, are annualized.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six months ended June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LLC, Sixth Street LP Holding II, LLC and Sixth Street Lending Partners Sub, LLC in which we may hold certain investments. Sixth Street LP Holding, LLC has legally dissolved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be regulated as a BDC under the 1940 Act and have elected to be treated as a RIC under the Code. As a result, we are required to comply with various statutory and regulatory requirements,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invest at least 70% of our assets in “qualifying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of income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 diversification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Investment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June 30, 2024, we have originated approximately $13.9 billion aggregate principal amount of investments and retained approximately $5.2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June 30, 2024, our portfolio companies had a weighted average annual revenue of $637.9 million and weighted average annual EBITDA of $219.7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seek to create a portfolio over time that includes primarily senior secured investments by investing approximately $125 million to $300 million of capital, on average, across our core positions of upper middle-market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companies in which we invest use our capital to support organic growth, acquisitions, market or product expansion and recapitalizations (including restructurings). As of June 30, 2024, the largest single investment based on fair value represented 5.8% of our total investment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the average investment size in each of our portfolio companies was approximately $92.7 million based on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our Adviser, we consider potential investments utilizing a four-tiered investment framework and against our existing portfolio as a whole: </w:t>
      </w:r>
    </w:p>
    <w:p>
      <w:pPr>
        <w:pStyle w:val="TextBody"/>
        <w:bidi w:val="0"/>
        <w:spacing w:before="240" w:after="283"/>
        <w:jc w:val="left"/>
        <w:rPr>
          <w:rFonts w:ascii="Times New Roman" w:hAnsi="Times New Roman"/>
          <w:sz w:val="20"/>
        </w:rPr>
      </w:pPr>
      <w:r>
        <w:rPr>
          <w:rFonts w:ascii="Times New Roman" w:hAnsi="Times New Roman"/>
          <w:i/>
          <w:color w:val="000000"/>
          <w:sz w:val="20"/>
        </w:rPr>
        <w:t>Business and sector selection.</w:t>
      </w:r>
      <w:r>
        <w:rPr>
          <w:rFonts w:ascii="Times New Roman" w:hAnsi="Times New Roman"/>
          <w:color w:val="000000"/>
          <w:sz w:val="20"/>
        </w:rPr>
        <w:t xml:space="preserve"> We focus on companies with enterprise values above $750 million. When reviewing potential investments, we will 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the largest industry represented 22.9% of our total investment portfolio based on fair value. </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Structuring.</w:t>
      </w:r>
      <w:r>
        <w:rPr>
          <w:rFonts w:ascii="Times New Roman" w:hAnsi="Times New Roman"/>
          <w:color w:val="000000"/>
          <w:sz w:val="20"/>
        </w:rPr>
        <w:t xml:space="preserve"> We focus on investing at the top of the capital structure and protecting that position. As of June 30, 2024, approximately 95.8% of our portfolio was invested in secured debt, including 94.0%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six months ended June 30, 2024, the weighted average term on new debt investment commitments in new portfolio companies was 6.6 years. </w:t>
      </w:r>
    </w:p>
    <w:p>
      <w:pPr>
        <w:pStyle w:val="TextBody"/>
        <w:bidi w:val="0"/>
        <w:spacing w:before="240" w:after="283"/>
        <w:jc w:val="left"/>
        <w:rPr>
          <w:rFonts w:ascii="Times New Roman" w:hAnsi="Times New Roman"/>
          <w:sz w:val="20"/>
        </w:rPr>
      </w:pPr>
      <w:r>
        <w:rPr>
          <w:rFonts w:ascii="Times New Roman" w:hAnsi="Times New Roman"/>
          <w:i/>
          <w:color w:val="000000"/>
          <w:sz w:val="20"/>
        </w:rPr>
        <w:t>Deal Dynamics.</w:t>
      </w:r>
      <w:r>
        <w:rPr>
          <w:rFonts w:ascii="Times New Roman" w:hAnsi="Times New Roman"/>
          <w:color w:val="000000"/>
          <w:sz w:val="20"/>
        </w:rPr>
        <w:t xml:space="preserve"> We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 Mitigation. </w:t>
      </w:r>
      <w:r>
        <w:rPr>
          <w:rFonts w:ascii="Times New Roman" w:hAnsi="Times New Roman"/>
          <w:color w:val="000000"/>
          <w:sz w:val="20"/>
        </w:rPr>
        <w:t xml:space="preserve">We seek to mitigate non-credit-related risk on our returns in several ways, including call protection provisions to protect future interest income. As of June 30, 2024, we had call protection on 95.5% of our debt investments based on fair value, with weighted average call prices of 107.9% for the first year, 103.7% for the second year and 101.5% for the third year, in each case from the date of the initial investment. As of June 30, 2024, 99.7% of our debt investments based on fair value bore interest at floating rates, with 100% of these subject to interest rate floors, which we believe helps act as a portfolio-wide hedge against inflation.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our Adviser and Sixth Street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Sixth Street is a global investment business with over $78 billion of assets under management as of June 30, 2024.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across industries, geographies, capital structures and asset classes. Sixth Street has extensive experience with highly complex, global public and private investments executed through primary originations, secondary market purchases and restructurings, and has a team of over 610 investment and operating professionals. As of June 30, 2024, sixty-six (66) of these personnel are dedicated to direct lending, including fifty-one (51) investment professionals.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focus primarily on the direct origination of loans to upper middle-market companies domiciled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part of our risk strategy on investments, we may reduce certain levels of investments through partial sales or syndication to additional investors.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June 30, 2024, 99.7%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and six months ended June 30, 2024, 5.0% and 4.7% of our total investment income was comprised of PIK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common equity investments is recorded on the record date for private portfolio companies or on the ex-dividend date for publicly traded portfolio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calculating individual asset values and our net asset value (including the cost and expenses of any independent valuation firms);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public offerings of our Common Shares and other securities, including registration and listing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Management Fee and any Incentive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costs and expenses relating to distributions paid on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fees payable under our Administration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and other costs of borrowings or other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allocable share of costs incurred in providing significant managerial assistance to those portfolio companies that request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payable to third parties relating to, or associated with, making or holding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agent and custodial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hedging;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and other compensation payable to brokers or dealers;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Trustees fees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reports, proxy statements or other notices to our shareholders (including printing and mailing costs), the costs of any shareholders’ meetings and the compensation of investor relations personnel responsible for the preparation of the foregoing and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fidelity bond;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trustees and officers/errors and omissions liability insurance, and any other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indemnification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costs and expenses of administration, including audit, accounting, consulting and legal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other expenses reasonably incurred by us in connection with making investments and administering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during periods of asset growth, our general and administrative expenses will be relatively stable or will decline as a percentage of total assets, and will increase as a percentage of total assets during periods of asset declines. </w:t>
      </w:r>
    </w:p>
    <w:p>
      <w:pPr>
        <w:pStyle w:val="TextBody"/>
        <w:bidi w:val="0"/>
        <w:spacing w:before="360" w:after="283"/>
        <w:jc w:val="left"/>
        <w:rPr>
          <w:rFonts w:ascii="Times New Roman" w:hAnsi="Times New Roman"/>
          <w:sz w:val="20"/>
        </w:rPr>
      </w:pPr>
      <w:r>
        <w:rPr>
          <w:rFonts w:ascii="Times New Roman" w:hAnsi="Times New Roman"/>
          <w:b/>
          <w:i/>
          <w:color w:val="000000"/>
          <w:sz w:val="20"/>
        </w:rPr>
        <w:t>Leverage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Portfolio and Investment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our portfolio based on fair value consisted of 94.0% first-lien debt investments, 1.8% second-lien debt investments, 2.3% mezzanine investments and 1.9% equity and other investments. As of December 31, 2023, our portfolio based on fair value consisted of 92.0% first-lien debt investments, 2.6% second-lien debt investments, 3.4% mezzanine investments and 2.0% equity and other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our weighted average total yield of debt and income-producing securities at fair value (which includes interest income and amortization of fees and discounts) was 12.4% and 13.4% respectively, and our weighted average total yield of debt and income-producing securities at amortized cost (which includes interest income and amortization of fees and discounts) was 12.6% and 13.7%,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we had investments in 54 and 37 portfolio companies, respectively, with an aggregate fair value of $5,006.1 million and $3,099.2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2024, the principal amount of new investments funded was $810.9 million in nine new portfolio companies. For this period, we had $247.5 million aggregate principal amount in exits, sales and repayments.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2023, the principal amount of new investments funded was $588.9 million in six new portfolio companies. For this period, we had no exits or repayments.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activity for the three months ended June 30, 2024 and 2023, is presented below (information presented herein is at par value unless otherwise indicated). </w:t>
      </w:r>
    </w:p>
    <w:p>
      <w:pPr>
        <w:pStyle w:val="TextBody"/>
        <w:bidi w:val="0"/>
        <w:spacing w:before="120" w:after="283"/>
        <w:jc w:val="left"/>
        <w:rPr/>
      </w:pPr>
      <w:r>
        <w:rPr/>
        <w:t> </w:t>
      </w:r>
    </w:p>
    <w:tbl>
      <w:tblPr>
        <w:tblW w:w="7450" w:type="dxa"/>
        <w:jc w:val="left"/>
        <w:tblInd w:w="0" w:type="dxa"/>
        <w:tblLayout w:type="fixed"/>
        <w:tblCellMar>
          <w:top w:w="28" w:type="dxa"/>
          <w:left w:w="28" w:type="dxa"/>
          <w:bottom w:w="28" w:type="dxa"/>
          <w:right w:w="28" w:type="dxa"/>
        </w:tblCellMar>
      </w:tblPr>
      <w:tblGrid>
        <w:gridCol w:w="4246"/>
        <w:gridCol w:w="146"/>
        <w:gridCol w:w="254"/>
        <w:gridCol w:w="871"/>
        <w:gridCol w:w="271"/>
        <w:gridCol w:w="146"/>
        <w:gridCol w:w="254"/>
        <w:gridCol w:w="871"/>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w:t>
            </w:r>
          </w:p>
        </w:tc>
        <w:tc>
          <w:tcPr>
            <w:tcW w:w="3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3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w:t>
              <w:br/>
              <w:t>   new floating rate investment commitments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affiliates of Sixth Street.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and December 31, 2023, our investments consisted of the following: </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82"/>
        <w:gridCol w:w="963"/>
        <w:gridCol w:w="246"/>
        <w:gridCol w:w="246"/>
        <w:gridCol w:w="211"/>
        <w:gridCol w:w="721"/>
        <w:gridCol w:w="246"/>
        <w:gridCol w:w="246"/>
        <w:gridCol w:w="282"/>
        <w:gridCol w:w="963"/>
        <w:gridCol w:w="246"/>
        <w:gridCol w:w="246"/>
        <w:gridCol w:w="211"/>
        <w:gridCol w:w="7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2,850.9</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no non-accrual investments as of June 30, 2024 or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yields and interest rates of our performing debt investments at fair value as of June 30, 2024 and December 31, 2023 were as follows: </w:t>
      </w:r>
    </w:p>
    <w:p>
      <w:pPr>
        <w:pStyle w:val="TextBody"/>
        <w:bidi w:val="0"/>
        <w:jc w:val="left"/>
        <w:rPr/>
      </w:pPr>
      <w:r>
        <w:rPr/>
        <w:t> </w:t>
      </w:r>
    </w:p>
    <w:tbl>
      <w:tblPr>
        <w:tblW w:w="7890" w:type="dxa"/>
        <w:jc w:val="left"/>
        <w:tblInd w:w="0" w:type="dxa"/>
        <w:tblLayout w:type="fixed"/>
        <w:tblCellMar>
          <w:top w:w="28" w:type="dxa"/>
          <w:left w:w="28" w:type="dxa"/>
          <w:bottom w:w="28" w:type="dxa"/>
          <w:right w:w="28" w:type="dxa"/>
        </w:tblCellMar>
      </w:tblPr>
      <w:tblGrid>
        <w:gridCol w:w="4186"/>
        <w:gridCol w:w="146"/>
        <w:gridCol w:w="268"/>
        <w:gridCol w:w="857"/>
        <w:gridCol w:w="371"/>
        <w:gridCol w:w="246"/>
        <w:gridCol w:w="357"/>
        <w:gridCol w:w="1143"/>
        <w:gridCol w:w="31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total yield of debt and income</w:t>
              <w:br/>
              <w:t xml:space="preserve">   producing securities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of debt and income</w:t>
              <w:br/>
              <w:t>   producing securities</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over reference rate of all</w:t>
              <w:br/>
              <w:t>   floating rate investments</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 average total portfolio yield at fair value was 12.2% at June 30, 2024 and 13.2% at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assessment of success of the portfolio company in adhering to its business plan and compliance with covenants;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comparisons to other companies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attendance at, and participation in, board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monthly and quarterly financial statements and financial projections for portfolio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performance rating scale at fair value as of June 30, 2024 and December 31, 2023.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261"/>
        <w:gridCol w:w="89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color w:val="000000"/>
              </w:rPr>
            </w:pPr>
            <w:r>
              <w:rPr>
                <w:color w:val="000000"/>
              </w:rPr>
              <w:t>—</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results for the three and six months ended June 30, 2024 and 2023,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5"/>
        <w:gridCol w:w="346"/>
        <w:gridCol w:w="262"/>
        <w:gridCol w:w="710"/>
        <w:gridCol w:w="346"/>
        <w:gridCol w:w="346"/>
        <w:gridCol w:w="288"/>
        <w:gridCol w:w="637"/>
        <w:gridCol w:w="346"/>
        <w:gridCol w:w="346"/>
        <w:gridCol w:w="262"/>
        <w:gridCol w:w="710"/>
        <w:gridCol w:w="346"/>
        <w:gridCol w:w="346"/>
        <w:gridCol w:w="288"/>
        <w:gridCol w:w="637"/>
        <w:gridCol w:w="394"/>
      </w:tblGrid>
      <w:tr>
        <w:trPr/>
        <w:tc>
          <w:tcPr>
            <w:tcW w:w="35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59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394" w:type="dxa"/>
            <w:tcBorders/>
            <w:shd w:fill="CFF0FC" w:val="clear"/>
            <w:vAlign w:val="center"/>
          </w:tcPr>
          <w:p>
            <w:pPr>
              <w:pStyle w:val="TableContents"/>
              <w:bidi w:val="0"/>
              <w:spacing w:before="0" w:after="283"/>
              <w:jc w:val="left"/>
              <w:rPr/>
            </w:pPr>
            <w:r>
              <w:rPr/>
              <w:t> </w:t>
            </w:r>
          </w:p>
        </w:tc>
      </w:tr>
      <w:tr>
        <w:trPr/>
        <w:tc>
          <w:tcPr>
            <w:tcW w:w="35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expenses</w:t>
            </w:r>
          </w:p>
        </w:tc>
        <w:tc>
          <w:tcPr>
            <w:tcW w:w="346"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9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 before income taxes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595" w:type="dxa"/>
            <w:tcBorders/>
            <w:shd w:fill="FFFFFF"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Income taxes, including excise taxes </w:t>
            </w:r>
            <w:r>
              <w:rPr>
                <w:rFonts w:ascii="Times New Roman" w:hAnsi="Times New Roman"/>
                <w:color w:val="000000"/>
                <w:sz w:val="13"/>
              </w:rPr>
              <w:t>(1)</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9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94" w:type="dxa"/>
            <w:tcBorders/>
            <w:shd w:fill="CFF0FC" w:val="clear"/>
            <w:vAlign w:val="center"/>
          </w:tcPr>
          <w:p>
            <w:pPr>
              <w:pStyle w:val="TableContents"/>
              <w:bidi w:val="0"/>
              <w:spacing w:before="0" w:after="283"/>
              <w:jc w:val="left"/>
              <w:rPr/>
            </w:pPr>
            <w:r>
              <w:rPr/>
              <w:t> </w:t>
            </w:r>
          </w:p>
        </w:tc>
      </w:tr>
      <w:tr>
        <w:trPr/>
        <w:tc>
          <w:tcPr>
            <w:tcW w:w="35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w:t>
            </w:r>
            <w:r>
              <w:rPr>
                <w:rFonts w:ascii="Times New Roman" w:hAnsi="Times New Roman"/>
                <w:color w:val="000000"/>
                <w:sz w:val="13"/>
              </w:rPr>
              <w:t>(1)(2)</w:t>
            </w:r>
          </w:p>
        </w:tc>
        <w:tc>
          <w:tcPr>
            <w:tcW w:w="3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4" w:type="dxa"/>
            <w:tcBorders/>
            <w:shd w:fill="FFFFFF" w:val="clear"/>
            <w:vAlign w:val="center"/>
          </w:tcPr>
          <w:p>
            <w:pPr>
              <w:pStyle w:val="TableContents"/>
              <w:bidi w:val="0"/>
              <w:spacing w:before="0" w:after="283"/>
              <w:jc w:val="left"/>
              <w:rPr/>
            </w:pPr>
            <w:r>
              <w:rPr/>
              <w:t> </w:t>
            </w:r>
          </w:p>
        </w:tc>
      </w:tr>
      <w:tr>
        <w:trPr/>
        <w:tc>
          <w:tcPr>
            <w:tcW w:w="359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change in unrealized gains (losses) </w:t>
            </w:r>
            <w:r>
              <w:rPr>
                <w:rFonts w:ascii="Times New Roman" w:hAnsi="Times New Roman"/>
                <w:color w:val="000000"/>
                <w:sz w:val="13"/>
              </w:rPr>
              <w:t>(2)</w:t>
            </w:r>
          </w:p>
        </w:tc>
        <w:tc>
          <w:tcPr>
            <w:tcW w:w="346" w:type="dxa"/>
            <w:tcBorders/>
            <w:shd w:fill="CFF0FC" w:val="cle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95"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Income</w:t>
      </w:r>
      <w:r>
        <w:rPr>
          <w:rFonts w:ascii="Times New Roman" w:hAnsi="Times New Roman"/>
          <w:color w:val="000000"/>
          <w:sz w:val="20"/>
        </w:rPr>
        <w:t xml:space="preserve"> </w:t>
      </w:r>
    </w:p>
    <w:tbl>
      <w:tblPr>
        <w:tblW w:w="9744" w:type="dxa"/>
        <w:jc w:val="left"/>
        <w:tblInd w:w="0" w:type="dxa"/>
        <w:tblLayout w:type="fixed"/>
        <w:tblCellMar>
          <w:top w:w="28" w:type="dxa"/>
          <w:left w:w="28" w:type="dxa"/>
          <w:bottom w:w="28" w:type="dxa"/>
          <w:right w:w="28" w:type="dxa"/>
        </w:tblCellMar>
      </w:tblPr>
      <w:tblGrid>
        <w:gridCol w:w="2431"/>
        <w:gridCol w:w="346"/>
        <w:gridCol w:w="303"/>
        <w:gridCol w:w="822"/>
        <w:gridCol w:w="346"/>
        <w:gridCol w:w="346"/>
        <w:gridCol w:w="350"/>
        <w:gridCol w:w="775"/>
        <w:gridCol w:w="346"/>
        <w:gridCol w:w="346"/>
        <w:gridCol w:w="303"/>
        <w:gridCol w:w="822"/>
        <w:gridCol w:w="346"/>
        <w:gridCol w:w="346"/>
        <w:gridCol w:w="350"/>
        <w:gridCol w:w="775"/>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from investments</w:t>
            </w:r>
          </w:p>
        </w:tc>
        <w:tc>
          <w:tcPr>
            <w:tcW w:w="3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391" w:type="dxa"/>
            <w:tcBorders/>
            <w:shd w:fill="CFF0FC" w:val="clear"/>
            <w:vAlign w:val="center"/>
          </w:tcPr>
          <w:p>
            <w:pPr>
              <w:pStyle w:val="TableContents"/>
              <w:bidi w:val="0"/>
              <w:spacing w:before="0" w:after="283"/>
              <w:jc w:val="left"/>
              <w:rPr/>
            </w:pPr>
            <w:r>
              <w:rPr/>
              <w:t> </w:t>
            </w:r>
          </w:p>
        </w:tc>
      </w:tr>
      <w:tr>
        <w:trPr/>
        <w:tc>
          <w:tcPr>
            <w:tcW w:w="2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Arranger fees</w:t>
            </w:r>
          </w:p>
        </w:tc>
        <w:tc>
          <w:tcPr>
            <w:tcW w:w="3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3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FF0FC" w:val="clear"/>
            <w:vAlign w:val="center"/>
          </w:tcPr>
          <w:p>
            <w:pPr>
              <w:pStyle w:val="TableContents"/>
              <w:bidi w:val="0"/>
              <w:spacing w:before="0" w:after="283"/>
              <w:jc w:val="left"/>
              <w:rPr/>
            </w:pPr>
            <w:r>
              <w:rPr/>
              <w:t> </w:t>
            </w:r>
          </w:p>
        </w:tc>
      </w:tr>
      <w:tr>
        <w:trPr/>
        <w:tc>
          <w:tcPr>
            <w:tcW w:w="2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increased from $49.2 for the three months ended June 30, 2023 to $140.3 million for the three months ended June 30, 2024. The increase in interest from investments was primarily the result of growth in our investment portfolio. Arranger fees were $5.9 million for the three months ended June 30, 2024. Paid-in-kind interest income increased from $3.8 million for the three months ended June 30, 2023 to $7.9 million for the three months ended June 30, 2024, primarily due to increased PIK election. Other income decreased from $4.8 million for the three months ended June 30, 2023 to $3.4 million for the three months ended June 30, 2024, primarily due to decreased miscellaneous fees offset by an increase in interest from 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increased from $79.8 million for the six months ended June 30, 2023 to $254.2 million for the six months ended June 30, 2024. The increase in interest from investments was primarily the result of growth in our investment portfolio. Arranger fees were $15.9 million for the six months ended June 30, 2024. Paid-in-kind interest income increased from $3.8 million for the six months ended June 30, 2023 to $7.9 million for the six months ended June 30, 2024, primarily due to increased PIK election. Other income increased from $5.2 million for the six months ended June 30, 2023 to $5.3 million for the six months ended June 30, 2024.</w:t>
      </w:r>
    </w:p>
    <w:p>
      <w:pPr>
        <w:pStyle w:val="TextBody"/>
        <w:bidi w:val="0"/>
        <w:spacing w:before="1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for the three and six months ended June 30, 2024 and 2023, were as follows: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31"/>
        <w:gridCol w:w="346"/>
        <w:gridCol w:w="313"/>
        <w:gridCol w:w="694"/>
        <w:gridCol w:w="146"/>
        <w:gridCol w:w="146"/>
        <w:gridCol w:w="313"/>
        <w:gridCol w:w="694"/>
        <w:gridCol w:w="346"/>
        <w:gridCol w:w="346"/>
        <w:gridCol w:w="279"/>
        <w:gridCol w:w="756"/>
        <w:gridCol w:w="146"/>
        <w:gridCol w:w="146"/>
        <w:gridCol w:w="313"/>
        <w:gridCol w:w="694"/>
        <w:gridCol w:w="196"/>
      </w:tblGrid>
      <w:tr>
        <w:trPr/>
        <w:tc>
          <w:tcPr>
            <w:tcW w:w="43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3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3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6" w:type="dxa"/>
            <w:tcBorders/>
            <w:shd w:fill="CFF0FC" w:val="clear"/>
            <w:vAlign w:val="center"/>
          </w:tcPr>
          <w:p>
            <w:pPr>
              <w:pStyle w:val="TableContents"/>
              <w:bidi w:val="0"/>
              <w:spacing w:before="0" w:after="283"/>
              <w:jc w:val="left"/>
              <w:rPr/>
            </w:pPr>
            <w:r>
              <w:rPr/>
              <w:t> </w:t>
            </w:r>
          </w:p>
        </w:tc>
      </w:tr>
      <w:tr>
        <w:trPr/>
        <w:tc>
          <w:tcPr>
            <w:tcW w:w="4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(net of waivers)</w:t>
            </w:r>
          </w:p>
        </w:tc>
        <w:tc>
          <w:tcPr>
            <w:tcW w:w="3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6" w:type="dxa"/>
            <w:tcBorders/>
            <w:shd w:fill="FFFFFF" w:val="clear"/>
            <w:vAlign w:val="center"/>
          </w:tcPr>
          <w:p>
            <w:pPr>
              <w:pStyle w:val="TableContents"/>
              <w:bidi w:val="0"/>
              <w:spacing w:before="0" w:after="283"/>
              <w:jc w:val="left"/>
              <w:rPr/>
            </w:pPr>
            <w:r>
              <w:rPr/>
              <w:t> </w:t>
            </w:r>
          </w:p>
        </w:tc>
      </w:tr>
      <w:tr>
        <w:trPr/>
        <w:tc>
          <w:tcPr>
            <w:tcW w:w="4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related to pre-incentive net investment income</w:t>
            </w:r>
          </w:p>
        </w:tc>
        <w:tc>
          <w:tcPr>
            <w:tcW w:w="3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6" w:type="dxa"/>
            <w:tcBorders/>
            <w:shd w:fill="CFF0FC" w:val="clear"/>
            <w:vAlign w:val="center"/>
          </w:tcPr>
          <w:p>
            <w:pPr>
              <w:pStyle w:val="TableContents"/>
              <w:bidi w:val="0"/>
              <w:spacing w:before="0" w:after="283"/>
              <w:jc w:val="left"/>
              <w:rPr/>
            </w:pPr>
            <w:r>
              <w:rPr/>
              <w:t> </w:t>
            </w:r>
          </w:p>
        </w:tc>
      </w:tr>
      <w:tr>
        <w:trPr/>
        <w:tc>
          <w:tcPr>
            <w:tcW w:w="4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related to realized/unrealized capital gains (losses)</w:t>
            </w:r>
          </w:p>
        </w:tc>
        <w:tc>
          <w:tcPr>
            <w:tcW w:w="3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6" w:type="dxa"/>
            <w:tcBorders/>
            <w:shd w:fill="FFFFFF" w:val="clear"/>
            <w:vAlign w:val="center"/>
          </w:tcPr>
          <w:p>
            <w:pPr>
              <w:pStyle w:val="TableContents"/>
              <w:bidi w:val="0"/>
              <w:spacing w:before="0" w:after="283"/>
              <w:jc w:val="left"/>
              <w:rPr/>
            </w:pPr>
            <w:r>
              <w:rPr/>
              <w:t> </w:t>
            </w:r>
          </w:p>
        </w:tc>
      </w:tr>
      <w:tr>
        <w:trPr/>
        <w:tc>
          <w:tcPr>
            <w:tcW w:w="4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Organizational and offering expense</w:t>
            </w:r>
          </w:p>
        </w:tc>
        <w:tc>
          <w:tcPr>
            <w:tcW w:w="3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6" w:type="dxa"/>
            <w:tcBorders/>
            <w:shd w:fill="CFF0FC" w:val="clear"/>
            <w:vAlign w:val="center"/>
          </w:tcPr>
          <w:p>
            <w:pPr>
              <w:pStyle w:val="TableContents"/>
              <w:bidi w:val="0"/>
              <w:spacing w:before="0" w:after="283"/>
              <w:jc w:val="left"/>
              <w:rPr/>
            </w:pPr>
            <w:r>
              <w:rPr/>
              <w:t> </w:t>
            </w:r>
          </w:p>
        </w:tc>
      </w:tr>
      <w:tr>
        <w:trPr/>
        <w:tc>
          <w:tcPr>
            <w:tcW w:w="4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6" w:type="dxa"/>
            <w:tcBorders/>
            <w:shd w:fill="FFFFFF" w:val="clear"/>
            <w:vAlign w:val="center"/>
          </w:tcPr>
          <w:p>
            <w:pPr>
              <w:pStyle w:val="TableContents"/>
              <w:bidi w:val="0"/>
              <w:spacing w:before="0" w:after="283"/>
              <w:jc w:val="left"/>
              <w:rPr/>
            </w:pPr>
            <w:r>
              <w:rPr/>
              <w:t> </w:t>
            </w:r>
          </w:p>
        </w:tc>
      </w:tr>
      <w:tr>
        <w:trPr/>
        <w:tc>
          <w:tcPr>
            <w:tcW w:w="4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Trustees fees</w:t>
            </w:r>
          </w:p>
        </w:tc>
        <w:tc>
          <w:tcPr>
            <w:tcW w:w="3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6" w:type="dxa"/>
            <w:tcBorders/>
            <w:shd w:fill="CFF0FC" w:val="clear"/>
            <w:vAlign w:val="center"/>
          </w:tcPr>
          <w:p>
            <w:pPr>
              <w:pStyle w:val="TableContents"/>
              <w:bidi w:val="0"/>
              <w:spacing w:before="0" w:after="283"/>
              <w:jc w:val="left"/>
              <w:rPr/>
            </w:pPr>
            <w:r>
              <w:rPr/>
              <w:t> </w:t>
            </w:r>
          </w:p>
        </w:tc>
      </w:tr>
      <w:tr>
        <w:trPr/>
        <w:tc>
          <w:tcPr>
            <w:tcW w:w="4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346" w:type="dxa"/>
            <w:tcBorders/>
            <w:shd w:fill="FFFFFF" w:val="cle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including other debt financing costs, increased from $16.4 million for the three months ended June 30, 2023 to $47.0 million for the three months ended June 30, 2024. This increase was primarily due to an increase in average debt outstanding from $0.7 billion for the three months ended June 30, 2023 to $2.4 billion for the three months ended June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including other debt financing expenses, increased from $25.2 million for the six months ended June 30, 2023 to $82.1 million for the six months ended June 30, 2024. This increase was primarily due to an increase in the average debt outstanding from $0.6 billion for the six months ended June 30, 2023 to $2.1 billion for the six months ended June 30, 2024.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Fees (gross of waivers) increased from $5.6 million for the three months ended June 30, 2023 to $14.9 million for the three months ended June 30, 2024 due to an increase in average assets for the three months ended June 30, 2024 compared to the same period in 2023. Management Fees (net of waivers) increased from $2.0 million for the three months ended June 30, 2023 to $5.7 million for the three months ended June 30, 2024. For the three months ended June 30, 2023 and 2024, the Adviser waived Management Fees of $3.6 million and $9.3 million, respectively, pursuant to the Leverage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Fees (gross of waivers) increased from $9.5 million for the six months ended June 30, 2023 to $26.2 million for the six months ended June 30, 2024 due to an increase in average assets for the six months ended June 30, 2024 compared to the same period in 2023. Management Fees (net of waivers) increased from $3.4 million for the six months ended June 30, 2023 to $10.1 million for the six months ended June 30, 2024. For the six months ended June 30, 2023 and 2024, the Adviser waived Management Fees of $6.2 million and $16.1 million, respectively, pursuant to the Leverage Waiver.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Incentive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 Fees related to pre-incentive net investment income increased from $4.7 million for the three months ended June 30, 2023 to $12.7 million three months ended June 30, 2024. This increase resulted from an increase in portfolio size for the three months ended June 30, 2024. For the three months ended June 30, 2024 and 2023, $2.7 million and $0.1 million were accrued related to Capital Gains Fees. As of June 30, 2024, these accrued Incentive Fees are not contractually payable to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Incentive Fees related to pre-Incentive Fee net investment income increased from $7.0 million for the six months ended June 30, 2023 to $23.5 million for the six months ended June 30, 2024. This increase resulted from an increase in portfolio size for the six months ended June 30, 2024. For the six months ended June 30, 2024 and 2023, $5.8 million and $1.5 million, respectively, of Incentive Fees were accrued related to Capital Gains Fees. As of June 30, 2024, these accrued Incentive Fees are not contractually payable to the Adviser.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Organizational and Offering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Organizational and offering expenses increased from $0.2 million for the three months ended June 30, 2023 to $0.4 million for the three months ended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Organizational and offering expenses increased from $0.3 million for the six months ended June 30, 2023 to $0.9 million for the six months ended June 30, 2024. We will not bear more than an amount equal to 0.10% of the aggregate capital commitments for organizational and offering expenses in connection with the offering of our Common Shares.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Professional Fees and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increased from $0.7 million for the three months ended June 30, 2023 to $1.2 million for the three months ended June 30, 2024. Trustees Fees remained constant at $0.1 million for the three months ended June 30, 2023 and 2024. Other general and administrative expenses increased from $0.8 million for the three months ended June 30, 2023 to $1.4 million for the three months ended June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Professional fees increased from $1.3 million for the six months ended June 30, 2023 to $2.5 million for the six months ended June 30, 2024. Trustees Fees remained constant at $0.3 million for the six months ended June 30, 2023 and 2024. Other general and administrative expenses increased from $1.6 million for the six months ended June 30, 2023 to $2.7 million for the six months ended June 30, 2024.</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elected to be treated as a RIC under Subchapter M of the Code, and we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we recorded a net expense of less than $0.1 million and $2.2 million, respectively, for U.S. federal excise tax and other taxes. For the three and six months ended June 30, 2023, we recorded a net expense of $0.4 million and $0.7 million, respectively, for U.S. federal excise tax and other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realized and unrealized gains (losses) for the three and six months ended June 30, 2024 and 2023:</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11"/>
        <w:gridCol w:w="146"/>
        <w:gridCol w:w="308"/>
        <w:gridCol w:w="768"/>
        <w:gridCol w:w="166"/>
        <w:gridCol w:w="146"/>
        <w:gridCol w:w="308"/>
        <w:gridCol w:w="768"/>
        <w:gridCol w:w="166"/>
        <w:gridCol w:w="146"/>
        <w:gridCol w:w="308"/>
        <w:gridCol w:w="768"/>
        <w:gridCol w:w="166"/>
        <w:gridCol w:w="146"/>
        <w:gridCol w:w="332"/>
        <w:gridCol w:w="736"/>
        <w:gridCol w:w="216"/>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1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foreign currency investments</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8"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transactions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6" w:type="dxa"/>
            <w:tcBorders/>
            <w:shd w:fill="CFF0FC" w:val="cle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realized gains (losses) on foreign currency borrowings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CFF0FC" w:val="cle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on investments</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16" w:type="dxa"/>
            <w:tcBorders/>
            <w:shd w:fill="CFF0FC" w:val="cle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(losses) on investments</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6" w:type="dxa"/>
            <w:tcBorders/>
            <w:shd w:fill="CFF0FC" w:val="cle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foreign currency borrowings</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Unrealized gains (losses) on foreign currency cash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CFF0FC" w:val="cle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Amounts round to less than $0.1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we had net realized gains on investments of $1.3 million and $3.6 million, respectively. For the three and six months ended June 30, 2023 we had no realized gains or losses on investments. For the three and six months ended June 30, 2024, we had net realized gains on foreign currency investments of $0.3 million and $0.8 million, respectively. For the three and six months ended June 30, 2023, we had no net realized gains or losses on foreign currency investments. For the three and six months ended June 30, 2024, we had net realized gains of $0.2 million and $0.2 million, respectively, on foreign currency transactions. For the three and six months ended June 30, 2023, we had net realized losses of less than $0.1 million and net realized gains of less than $0.1 million, respectively, on foreign currency transactions, primarily as a result of translating foreign currency related to our non-USD denominated investments. For the three and six months ended June 30, 2024, we had net realized gains of $2.8 million and $2.3 million, respectively, on foreign currency borrowings. For the three and six months ended June 30, 2023, we had net realized gains of less than $0.1 million and net realized gains of less than $0.1 million, respectively, on foreign currency borrowings.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2024, we had $29.2 million in unrealized gains on 38 portfolio company investments, which was offset by $13.3 million in unrealized losses on 16 portfolio company investments. Unrealized gains primarily resulted from tightening credit spreads and positive portfolio company specific developments. Unrealized losses primarily resulted from negative portfolio company specific developments. For the six months ended June 30, 2024, we had $47.0 million in unrealized gains on 38 portfolio company investments, which was offset by $12.5 million in unrealized losses on 17 portfolio company investments. Unrealized gains primarily resulted from tightening credit spreads and positive portfolio company specific developments. Unrealized losses primarily resulted from negative portfolio company specific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2023, we had $12.0 million in unrealized gains on 20 portfolio company investments, which was offset by $11.2 million in unrealized losses on 2 portfolio company investments. Unrealized gains primarily resulted from tightening credit spreads and positive portfolio company specific developments. Unrealized losses primarily resulted from negative portfolio company specific developments. For the six months ended June 30, 2023, we had $21.3 million in unrealized gains on 20 portfolio company investments, which was offset by $6.6 million in unrealized losses on 2 portfolio company investments. Unrealized gains primarily resulted from tightening credit spreads and positive portfolio company specific developments. Unrealized losses primarily resulted from negative portfolio company specific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we had $0.8 million and $4.9 million, respectively, in unrealized gains on foreign currency borrowings, primarily as a result of fluctuations in the GBP, EUR, and SEK exchange rates. For the three and six months ended June 30, 2023, we had $0.4 million and $1.2 million in unrealized losses, respectively, on foreign currency borrowings, primarily as a result of fluctuations in EUR and GBP. For the three and six months ended June 30, 2024, we had less than $0.1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less than $0.1 million in unrealized gains, respectively, on foreign currency cash. For the three and six months ended June 30, 2023, we had less than $0.1 million and less than $0.1 million in unrealized gains, respectively, on foreign currency cash.</w:t>
      </w:r>
    </w:p>
    <w:p>
      <w:pPr>
        <w:pStyle w:val="TextBody"/>
        <w:bidi w:val="0"/>
        <w:spacing w:before="360" w:after="283"/>
        <w:jc w:val="left"/>
        <w:rPr>
          <w:rFonts w:ascii="Times New Roman" w:hAnsi="Times New Roman"/>
          <w:sz w:val="20"/>
        </w:rPr>
      </w:pPr>
      <w:r>
        <w:rPr>
          <w:rFonts w:ascii="Times New Roman" w:hAnsi="Times New Roman"/>
          <w:b/>
          <w:i/>
          <w:color w:val="000000"/>
          <w:sz w:val="20"/>
        </w:rPr>
        <w:t>Realized</w:t>
      </w:r>
      <w:r>
        <w:rPr>
          <w:rFonts w:ascii="Times New Roman" w:hAnsi="Times New Roman"/>
          <w:color w:val="000000"/>
          <w:sz w:val="20"/>
        </w:rPr>
        <w:t xml:space="preserve"> </w:t>
      </w:r>
      <w:r>
        <w:rPr>
          <w:rFonts w:ascii="Times New Roman" w:hAnsi="Times New Roman"/>
          <w:b/>
          <w:i/>
          <w:color w:val="000000"/>
          <w:sz w:val="20"/>
        </w:rPr>
        <w:t>Gross Internal Rate of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we began investing in 2022 through June 30, 2024, weighted by capital invested, our exited investments have generated an average realized gross internal rate of return to us of 20.2% (based on total capital invested of $3.4 million and total proceeds from these exited investments of $4.1 million). One hundred percent of these exited investments resulted in a realized gross internal rate of return to us of 10% or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and Foreign Currency Hedging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approach to hedging the foreign currency exposure in our non-U.S. dollar denominated investments is primarily to borrow the par amount in local currency under our Credit Facilities to fund these investments. For the three and six months ended June 30, 2024, we had $0.8 million and $4.9 million, respectively, of unrealized gains on the translation of our non-U.S. dollar denominated debt into U.S. dollars; such amounts approximate the corresponding unrealized losses on the translation of our non-U.S. dollar denominated investments into U.S. dollars for the three and six months ended June 30, 2024. For the three and six months ended June 30, 2023, we had $0.4 million and $1.1 million, respectively, of unrealized losses, on the translation of our non-U.S. dollar denominated debt into U.S. dollars; such amounts approximate the corresponding unrealized gains on the translation of our non-U.S. dollar denominated investments into U.S. dollars for the three and six months ended June 30, 2023. See our Consolidated Schedule of Investments for additional disclosure regarding the foreign currency amounts (in both par and fair value) of our non-U.S. dollar denominated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and capital resources are derived primarily from proceeds from equity issuances, advances from our Credit Facilities, and cash flows from operations. The primary uses of our cash and cash equivalents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portfolio companies and other investments and to comply with certain portfolio diversification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operations (including paying our Adviser);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repayment, and other financing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dividends to the holders of our shares. </w:t>
      </w:r>
    </w:p>
    <w:p>
      <w:pPr>
        <w:pStyle w:val="TextBody"/>
        <w:bidi w:val="0"/>
        <w:spacing w:before="240" w:after="283"/>
        <w:jc w:val="left"/>
        <w:rPr>
          <w:rFonts w:ascii="Times New Roman" w:hAnsi="Times New Roman"/>
          <w:sz w:val="20"/>
        </w:rPr>
      </w:pPr>
      <w:r>
        <w:rPr>
          <w:rFonts w:ascii="Times New Roman" w:hAnsi="Times New Roman"/>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hAnsi="Times New Roman"/>
          <w:i/>
          <w:color w:val="000000"/>
          <w:sz w:val="20"/>
        </w:rPr>
        <w:t>Key Components of Our Results of Operations —Leverage</w:t>
      </w:r>
      <w:r>
        <w:rPr>
          <w:rFonts w:ascii="Times New Roman" w:hAnsi="Times New Roman"/>
          <w:color w:val="000000"/>
          <w:sz w:val="20"/>
        </w:rPr>
        <w:t>” above. As of June 30, 2024 and December 31, 2023, our asset coverage ratio was 204.7% and 245.6%,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and cash equivalents as of June 30, 2024 taken together with cash available under our Credit Facilities, and cash available from undrawn Capital Commitments, is expected to be sufficient for our investing activities and to conduct our operations in the near term. As of June 30, 2024, we had approximately $625.4 million and $412.5 million of availability on our Subscription Facility and Revolving Credit Facility, respectively, subject to asset coverage limitations.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we had $425.6 million in cash and cash equivalents, including $32.7 million of restricted cash. For the six months ended June 30, 2024, cash used in operating activities was $1,697.9 million, primarily attributable to funding portfolio investments of $2,295.6 million and other net operating activities of $57.8 million which was offset by repayments and proceeds from investments of $450.2 million, an increase in net assets resulting from operations of $205.3. Cash provided by financing activities was $2,114.7 million during the period due to borrowings of $3,256.0 million and proceeds from the capital calls of $799.7 million, which were partially offset by paydowns on debt of $1,872.3 million and other financing activities of $68.7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subscription agreements (the “Subscription Agreements”) with investors providing for the private placement of our Common Shares. Under the terms of the Subscription Agreements, investors are required to fund drawdowns to purchase our Common Shares up to the amount of their respective Capital Commitment on an as-needed basis each time we deliver a drawdown notice to our investors. As of June 30, 2024, we had received Capital Commitments totaling $7.4 billion ($4.9 billion remaining undrawn). As of December 31, 2023 we had received Capital Commitments totaling $7.4 billion ($5.7 billion remaining undrawn).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total Common Shares issued and proceeds received related to the Company’s capital drawdowns delivered pursuant to the Subscription Agreements for the six months ended June 30, 2024 and 2023:</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2281"/>
        <w:gridCol w:w="146"/>
        <w:gridCol w:w="320"/>
        <w:gridCol w:w="2275"/>
        <w:gridCol w:w="146"/>
        <w:gridCol w:w="146"/>
        <w:gridCol w:w="388"/>
        <w:gridCol w:w="1052"/>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w:t>
              <w:br/>
              <w:t> ($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6, 2024</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22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25, 2024</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22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pPr>
            <w:r>
              <w:rPr/>
              <w:t> </w:t>
            </w:r>
          </w:p>
        </w:tc>
        <w:tc>
          <w:tcPr>
            <w:tcW w:w="10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27,501,139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6945" w:type="dxa"/>
        <w:jc w:val="left"/>
        <w:tblInd w:w="0" w:type="dxa"/>
        <w:tblLayout w:type="fixed"/>
        <w:tblCellMar>
          <w:top w:w="28" w:type="dxa"/>
          <w:left w:w="28" w:type="dxa"/>
          <w:bottom w:w="28" w:type="dxa"/>
          <w:right w:w="28" w:type="dxa"/>
        </w:tblCellMar>
      </w:tblPr>
      <w:tblGrid>
        <w:gridCol w:w="2281"/>
        <w:gridCol w:w="146"/>
        <w:gridCol w:w="320"/>
        <w:gridCol w:w="2275"/>
        <w:gridCol w:w="146"/>
        <w:gridCol w:w="146"/>
        <w:gridCol w:w="388"/>
        <w:gridCol w:w="1052"/>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w:t>
              <w:br/>
              <w:t> ($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2023</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22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28, 2023</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2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12,442,293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we also issued 1,664,806 shares to investors who have not opted out of our dividend reinvestment plan for proceeds of $46.8 million. During the six months ended June 30, 2023, we also issued 371,108 shares to investors who have not opted out of our dividend reinvestment plan for proceeds of $9.6 million.</w:t>
      </w:r>
    </w:p>
    <w:p>
      <w:pPr>
        <w:pStyle w:val="TextBody"/>
        <w:bidi w:val="0"/>
        <w:spacing w:before="24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Subscription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 2022 (the “Subscription Facility Closing Date”), we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will mature upon the earliest of: (i) August 30, 2024 (the “Subscription Facility Stated Maturity”); (ii) the date upon which the Administrative Agent declares the obligations under the Subscription Facility due and payable after the occurrence of an event of default; (iii) forty-five (45) days prior to the date on which our ability to call capital commitments for purposes of repaying the obligations under the Subscription Facility is terminated; and (iv) the date we terminate the commitments pursuant to the Subscription Facility. At our option, the Subscription Facility Stated Maturity Date may be extended by up to 364 days, subject to satisfaction of customary conditions. On July 3, 2024, we exercised our option to extend the maturity date to August 29,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June 30, 2024, we had outstanding debt denominated in British pounds of (GBP) 10.3 million, and Euros (EUR) of 10.3 million on our Subscription Facility, included in the outstanding principal amount in the table below. As of December 31, 2023, the Company had outstanding debt denominated in British pounds (GBP) of 10.3 million, and Euros (EUR) of 13.4 million on its Subscription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also provides for the issuance of letters of credit up to an aggregate amount of 10% of the Maximum Commitment. As of June 30, 2024 and December 31, 2023, we had no outstanding letters of credit issued through the Subscription Facility. The amount available for borrowing under the Subscription Facility is reduced by any letters of credit issued through the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includes customary events of default, as well as customary covenants, including restrictions on 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the Company was in compliance with the terms of the Subscription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19, 2023 (the “Revolving Credit Facility Closing Date”),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commitments under the facility were $600 million and included an uncommitted accordion feature that allows the Company, under certain circumstances, to increase the size of the facility up to $1 billion. On February 28, 2023, the aggregate commitments under the facility were upsized to $700 million. On July 27, 2023, the aggregate commitments under the facility were upsized to $725 million. Pursuant to the first amendment to the Revolving Credit Facility dated February 8, 2024 (the “Revolving Credit Facility First Amendment”), the aggregate commitments under the Revolving Credit Facility were upsized to $1.0 billion and the stated maturity date was extended to February 8, 2029. On April 8, 2024, the aggregate commitments under the facility were upsized to $1.2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The facility includes an uncommitted accordion feature that allows the Company, under certain circumstances, to increase the size of the facility to up to $1.75 billion.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June 30, 2024, we had outstanding debt denominated in British pounds (GBP) of 141.2 million, Euros (EUR) 368.2 million and Swedish Krona (SEK) 78.1 million on its Revolving Credit Facility, included in the outstanding principal amount in the table below. As of December 31, 2023, we had outstanding debt denominated in British pounds (GBP) of 68.7 million and Euros (EUR) 95.7 million on our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$400 million. As of June 30, 2024, we had $5.9 million in outstanding letters of credit issued through the Revolving Credit Facility. As of December 31, 2023, the Company had $5.5 million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(with customary cure and notice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further details, see Note 7 "Debt - Revolving Credit Facility" to our consolidated financial statements included in this Annual Report.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4,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10, 2024, we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We used the net proceeds of the 2029 Notes to repay outstanding indebtedness under the Revolving Credit Facility and Subscription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two interest rate swaps to align the interest rates of its liabilities with our investment portfolio, which consists of predominately floating rate loans. The notional amount of the two interest rates swaps are $600.0 million and $150.0 million, respectively, each of which matures on March 11, 2029, matching the maturity date of the 2029 Notes. As a result of the swap, the Company’s effective interest rate on the 2029 Notes is SOFR plus 2.45% (on a weighted average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June 30, 2024 and December 31, 2023: </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available may be subject to limitations related to the borrowing base under the Subscription Facility, the Revolving Credit Facility, outstanding letters of credit issued and asset coverage requirements.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values of the Subscription Facility, the Revolving Credit Facility and the 2029 Notes are presented net of deferred financing costs and original issue discounts of $0.9 million, $9.6 million, and $15.4 million, respectively.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value of the 2029 Notes is presented inclusive of an incremental $2.3 million, which represents an adjustment in the carrying value of the 2029 Notes, each resulting from a hedge accounting relationship.</w:t>
      </w:r>
    </w:p>
    <w:p>
      <w:pPr>
        <w:pStyle w:val="TextBody"/>
        <w:bidi w:val="0"/>
        <w:spacing w:before="40" w:after="283"/>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righ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Subscription Facility, the Revolving Credit Facility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Subscription Facility and the Revolving Credit Facility are presented net deferred financing costs of $3.7 million and $4.5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w:t>
      </w:r>
    </w:p>
    <w:p>
      <w:pPr>
        <w:pStyle w:val="TextBody"/>
        <w:bidi w:val="0"/>
        <w:jc w:val="left"/>
        <w:rPr>
          <w:rFonts w:ascii="Times New Roman" w:hAnsi="Times New Roman"/>
          <w:color w:val="000000"/>
          <w:sz w:val="20"/>
        </w:rPr>
      </w:pPr>
      <w:r>
        <w:rPr>
          <w:rFonts w:ascii="Times New Roman" w:hAnsi="Times New Roman"/>
          <w:color w:val="000000"/>
          <w:sz w:val="20"/>
        </w:rPr>
        <w:t>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we were in compliance with the terms of our debt arrangements. We intend to continue to utilize our Credit Facilities to fund investments and for other general corporate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June 30, 2024 and December 31, 2023 we had the following commitments to fund investments in current portfolio companies: </w:t>
      </w:r>
    </w:p>
    <w:p>
      <w:pPr>
        <w:pStyle w:val="TextBody"/>
        <w:bidi w:val="0"/>
        <w:jc w:val="left"/>
        <w:rPr/>
      </w:pPr>
      <w:r>
        <w:rPr/>
        <w:t> </w:t>
      </w:r>
    </w:p>
    <w:tbl>
      <w:tblPr>
        <w:tblW w:w="9305" w:type="dxa"/>
        <w:jc w:val="left"/>
        <w:tblInd w:w="0" w:type="dxa"/>
        <w:tblLayout w:type="fixed"/>
        <w:tblCellMar>
          <w:top w:w="28" w:type="dxa"/>
          <w:left w:w="28" w:type="dxa"/>
          <w:bottom w:w="28" w:type="dxa"/>
          <w:right w:w="28" w:type="dxa"/>
        </w:tblCellMar>
      </w:tblPr>
      <w:tblGrid>
        <w:gridCol w:w="5851"/>
        <w:gridCol w:w="146"/>
        <w:gridCol w:w="303"/>
        <w:gridCol w:w="822"/>
        <w:gridCol w:w="146"/>
        <w:gridCol w:w="146"/>
        <w:gridCol w:w="403"/>
        <w:gridCol w:w="1097"/>
        <w:gridCol w:w="39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 Bidco Oy - Delayed Draw &amp;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 - Delayed Draw</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Aptean, Inc. - Delayed Draw &amp;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 Buyer, Inc. - Delayed Draw</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Avalara, Inc. -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Delayed Draw, Revolver &amp; Equity</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Babylon Finco Limited - Delayed Draw</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Banyan Software Holdings, LLC - Delayed Draw</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Bluebill Buyer, Inc. - Delayed Draw</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Nevis Midco Limited - Delayed Draw</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BTRS Holdings, Inc. - Delayed Draw &amp;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 Parent, Inc. -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 Bidco B.V. - Delayed Draw &amp;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Elements Finco Limited - Delayed Draw</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Fullsteam Operations LLC - Delayed Draw &amp;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Environmental Services, Inc. -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Hornetsecurity Holding GmbH - Delayed Draw &amp;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 S - Delayed Draw</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Laramie Energy, LLC - Delayed Draw</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Merit Software Finance Holdings, LLC - Delayed Draw &amp;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OutSystems Holdings S.A. - Delayed Draw</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Delayed Draw &amp;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Ping Identity Corporation -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SkyLark UK DebtCo Limited - Delayed Draw</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 Buyer Corp - Delayed Draw</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146" w:type="dxa"/>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146"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Revolver</w:t>
            </w:r>
          </w:p>
        </w:tc>
        <w:tc>
          <w:tcPr>
            <w:tcW w:w="146" w:type="dxa"/>
            <w:tcBorders/>
            <w:shd w:fill="CFF0FC" w:val="cle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color w:val="000000"/>
                <w:sz w:val="20"/>
              </w:rPr>
              <w:t>Total Portfolio Company Commitments</w:t>
            </w:r>
            <w:r>
              <w:rPr>
                <w:rFonts w:ascii="Times New Roman" w:hAnsi="Times New Roman"/>
                <w:color w:val="000000"/>
                <w:sz w:val="20"/>
              </w:rPr>
              <w:t xml:space="preserve"> </w:t>
            </w:r>
            <w:r>
              <w:rPr>
                <w:rFonts w:ascii="Times New Roman" w:hAnsi="Times New Roman"/>
                <w:b/>
                <w:color w:val="000000"/>
                <w:sz w:val="13"/>
              </w:rPr>
              <w:t>(1)(2)</w:t>
            </w:r>
          </w:p>
        </w:tc>
        <w:tc>
          <w:tcPr>
            <w:tcW w:w="146" w:type="dxa"/>
            <w:tcBorders/>
            <w:shd w:fill="FFFFFF" w:val="cle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we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a party to certain legal proceedings incidental to the normal course of our business. As of June 30, 2024,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certain contracts under which we have material future commitments. Under the Investment Advisory Agreement, our Adviser provides us with investment advisory and management services. For these services, we pay the Management Fee and the Incentive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our contractual payment obligations as of June 30, 2024 is as follows: </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11"/>
        <w:gridCol w:w="571"/>
        <w:gridCol w:w="146"/>
        <w:gridCol w:w="146"/>
        <w:gridCol w:w="295"/>
        <w:gridCol w:w="485"/>
        <w:gridCol w:w="146"/>
        <w:gridCol w:w="146"/>
        <w:gridCol w:w="211"/>
        <w:gridCol w:w="721"/>
        <w:gridCol w:w="146"/>
        <w:gridCol w:w="146"/>
        <w:gridCol w:w="403"/>
        <w:gridCol w:w="662"/>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65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tax-exempt interest income (which is the excess of our gross tax-exempt interest income over certain disallowed deductions) for such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RIC, we (but not our shareholders) generally will not be subject to U.S. federal income tax on investment company taxable income and net capital gains that we distribute to our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 of our net ordinary income excluding certain ordinary gains or losses for that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98.2% of our capital gain net income, adjusted for certain ordinary gains and losses, recognized for the twelve-month period ending on October 31 of that calendar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100% of any income or gains recognized, but not distributed, in preceding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pStyle w:val="TextBody"/>
        <w:bidi w:val="0"/>
        <w:spacing w:before="360" w:after="283"/>
        <w:jc w:val="left"/>
        <w:rPr>
          <w:rFonts w:ascii="Times New Roman" w:hAnsi="Times New Roman"/>
          <w:sz w:val="20"/>
        </w:rPr>
      </w:pPr>
      <w:r>
        <w:rPr>
          <w:rFonts w:ascii="Times New Roman" w:hAnsi="Times New Roman"/>
          <w:b/>
          <w:i/>
          <w:color w:val="000000"/>
          <w:sz w:val="20"/>
        </w:rPr>
        <w:t>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number of business relationships with affiliated or related parties,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Investment Advisory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Administration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including those relating to the valuation of our investment portfolio, are described in our Annual Report on Form 10-K for the fiscal year ended December 31, 2023, filed with the SEC on February 16, 2024, and elsewhere in our filings with the SEC. The critical accounting policies and estimates should be read in connection with our risk factors discussed in Part I, “Item 1A. Risk Factors” in our Annual Report on Form 10-K for the fiscal year ended December 31, 2023.</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financial market risks, including valuation risk, interest rate risk and currency risk. </w:t>
      </w:r>
    </w:p>
    <w:p>
      <w:pPr>
        <w:pStyle w:val="TextBody"/>
        <w:bidi w:val="0"/>
        <w:spacing w:before="240" w:after="283"/>
        <w:jc w:val="left"/>
        <w:rPr>
          <w:rFonts w:ascii="Times New Roman" w:hAnsi="Times New Roman"/>
          <w:sz w:val="20"/>
        </w:rPr>
      </w:pPr>
      <w:r>
        <w:rPr>
          <w:rFonts w:ascii="Times New Roman" w:hAnsi="Times New Roman"/>
          <w:b/>
          <w:i/>
          <w:color w:val="000000"/>
          <w:sz w:val="20"/>
        </w:rPr>
        <w:t>Valuation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99.7% of our debt investments based on fair value in our portfolio bore interest at floating rates, with 100% of these subject to interest rate floors. Our credit facilities also bear interest at floating rates, and in connection with our 2029 Notes, which bear interest at fixed rates, we entered into fixed-to-floating interest rate swaps in order to align the interest rates of our liabilities with our investment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Consolidated Balance Sheet as of June 30, 2024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1861"/>
        <w:gridCol w:w="146"/>
        <w:gridCol w:w="332"/>
        <w:gridCol w:w="898"/>
        <w:gridCol w:w="166"/>
        <w:gridCol w:w="146"/>
        <w:gridCol w:w="369"/>
        <w:gridCol w:w="921"/>
        <w:gridCol w:w="166"/>
        <w:gridCol w:w="146"/>
        <w:gridCol w:w="438"/>
        <w:gridCol w:w="1092"/>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23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300 basis points</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200 basis points</w:t>
            </w:r>
          </w:p>
        </w:tc>
        <w:tc>
          <w:tcPr>
            <w:tcW w:w="146"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100 basis points</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25 basis points</w:t>
            </w:r>
          </w:p>
        </w:tc>
        <w:tc>
          <w:tcPr>
            <w:tcW w:w="146"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50 basis points</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pStyle w:val="TextBody"/>
        <w:bidi w:val="0"/>
        <w:spacing w:before="360" w:after="283"/>
        <w:jc w:val="left"/>
        <w:rPr>
          <w:rFonts w:ascii="Times New Roman" w:hAnsi="Times New Roman"/>
          <w:sz w:val="20"/>
        </w:rPr>
      </w:pPr>
      <w:r>
        <w:rPr>
          <w:rFonts w:ascii="Times New Roman" w:hAnsi="Times New Roman"/>
          <w:b/>
          <w:i/>
          <w:color w:val="000000"/>
          <w:sz w:val="20"/>
        </w:rPr>
        <w:t>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 timely alerting them to material information relating to us that is required to be disclosed by us in the reports we file or submit under the Exchange Act.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There have been no changes in our internal control over financial reporting that occurred during our most recently completed fiscal quarter that have materially affected, or are reasonably likely to materially affect, our internal control over financial reporting. </w:t>
      </w:r>
    </w:p>
    <w:p>
      <w:pPr>
        <w:pStyle w:val="TextBody"/>
        <w:bidi w:val="0"/>
        <w:spacing w:before="36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 </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Risk Factors” in our Annual Report on Form 10-K for the fiscal year ended December 31, 2023. These risks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our Current Report on Form 8-K filed with SEC on June 27, 2024, for information about unregistered sales of our equity securities during the quarter ended June 30, 2024.</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12"/>
        <w:gridCol w:w="146"/>
        <w:gridCol w:w="9447"/>
      </w:tblGrid>
      <w:tr>
        <w:trPr/>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7" w:type="dxa"/>
            <w:tcBorders/>
            <w:vAlign w:val="center"/>
          </w:tcPr>
          <w:p>
            <w:pPr>
              <w:pStyle w:val="TableContents"/>
              <w:bidi w:val="0"/>
              <w:spacing w:before="0" w:after="283"/>
              <w:jc w:val="left"/>
              <w:rPr>
                <w:sz w:val="4"/>
                <w:szCs w:val="4"/>
              </w:rPr>
            </w:pPr>
            <w:r>
              <w:rPr>
                <w:sz w:val="4"/>
                <w:szCs w:val="4"/>
              </w:rPr>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r:id="rId2">
              <w:r>
                <w:rPr>
                  <w:rStyle w:val="InternetLink"/>
                  <w:rFonts w:ascii="Times New Roman" w:hAnsi="Times New Roman"/>
                  <w:color w:val="0000FF"/>
                  <w:sz w:val="20"/>
                  <w:u w:val="single"/>
                </w:rPr>
                <w:t>Second Amended and Restated Declaration of Trust (incorporated by reference to Exhibit 3.1 to the Company’s Registration Statement on Form 10, filed on August 22, 2022)</w:t>
              </w:r>
            </w:hyperlink>
            <w:r>
              <w:rPr>
                <w:rFonts w:ascii="Times New Roman" w:hAnsi="Times New Roman"/>
                <w:color w:val="000000"/>
                <w:sz w:val="20"/>
              </w:rPr>
              <w:t xml:space="preserve"> </w:t>
            </w:r>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r:id="rId3">
              <w:r>
                <w:rPr>
                  <w:rStyle w:val="InternetLink"/>
                  <w:rFonts w:ascii="Times New Roman" w:hAnsi="Times New Roman"/>
                  <w:color w:val="0000FF"/>
                  <w:sz w:val="20"/>
                  <w:u w:val="single"/>
                </w:rPr>
                <w:t>Bylaws (incorporated by reference to Exhibit 3.2 to the Company’s Registration Statement on Form 10, filed on June 28, 2022)</w:t>
              </w:r>
            </w:hyperlink>
            <w:r>
              <w:rPr>
                <w:rFonts w:ascii="Times New Roman" w:hAnsi="Times New Roman"/>
                <w:color w:val="000000"/>
                <w:sz w:val="20"/>
              </w:rPr>
              <w:t xml:space="preserve"> </w:t>
            </w:r>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r:id="rId4">
              <w:r>
                <w:rPr>
                  <w:rStyle w:val="InternetLink"/>
                  <w:rFonts w:ascii="Times New Roman" w:hAnsi="Times New Roman"/>
                  <w:color w:val="0000FF"/>
                  <w:sz w:val="20"/>
                  <w:u w:val="single"/>
                </w:rPr>
                <w:t>Indenture, dated as of March 11, 2024, between Sixth Street Lending Partners and U.S. Bank Trust Company, National Association, as Trustee (incorporated by reference to Exhibit 4.1 to the Company’s Current Report on Form 8-K, filed on March 15, 2024)</w:t>
              </w:r>
            </w:hyperlink>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r:id="rId5">
              <w:r>
                <w:rPr>
                  <w:rStyle w:val="InternetLink"/>
                  <w:rFonts w:ascii="Times New Roman" w:hAnsi="Times New Roman"/>
                  <w:color w:val="0000FF"/>
                  <w:sz w:val="20"/>
                  <w:u w:val="single"/>
                </w:rPr>
                <w:t>First Supplemental Indenture, dated as of March 11, 2024, between Sixth Street Lending Partners and U.S. Bank Trust Company, National Association, as Trustee (incorporated by reference to Exhibit 4.2 to the Company’s Current Report on Form 8-K, filed on March 15, 2024)</w:t>
              </w:r>
            </w:hyperlink>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r:id="rId6">
              <w:r>
                <w:rPr>
                  <w:rStyle w:val="InternetLink"/>
                  <w:rFonts w:ascii="Times New Roman" w:hAnsi="Times New Roman"/>
                  <w:color w:val="0000FF"/>
                  <w:sz w:val="20"/>
                  <w:u w:val="single"/>
                </w:rPr>
                <w:t>Second Supplemental Indenture, dated as of June 17, 2024, between Sixth Street Lending Partners and U.S. Bank Trust</w:t>
              </w:r>
            </w:hyperlink>
          </w:p>
          <w:p>
            <w:pPr>
              <w:pStyle w:val="TableContents"/>
              <w:bidi w:val="0"/>
              <w:jc w:val="left"/>
              <w:rPr/>
            </w:pPr>
            <w:hyperlink r:id="rId7">
              <w:r>
                <w:rPr>
                  <w:rStyle w:val="InternetLink"/>
                  <w:rFonts w:ascii="Times New Roman" w:hAnsi="Times New Roman"/>
                  <w:color w:val="0000FF"/>
                  <w:sz w:val="20"/>
                  <w:u w:val="single"/>
                </w:rPr>
                <w:t>Company, National Association, as Trustee (incorporated by reference to Exhibit 4.3 to the Company’s Current Report on</w:t>
              </w:r>
            </w:hyperlink>
          </w:p>
          <w:p>
            <w:pPr>
              <w:pStyle w:val="TableContents"/>
              <w:bidi w:val="0"/>
              <w:jc w:val="left"/>
              <w:rPr/>
            </w:pPr>
            <w:hyperlink r:id="rId8">
              <w:r>
                <w:rPr>
                  <w:rStyle w:val="InternetLink"/>
                  <w:rFonts w:ascii="Times New Roman" w:hAnsi="Times New Roman"/>
                  <w:color w:val="0000FF"/>
                  <w:sz w:val="20"/>
                  <w:u w:val="single"/>
                </w:rPr>
                <w:t>Form 8-K, filed on June 17, 2024)</w:t>
              </w:r>
            </w:hyperlink>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r:id="rId9">
              <w:r>
                <w:rPr>
                  <w:rStyle w:val="InternetLink"/>
                  <w:rFonts w:ascii="Times New Roman" w:hAnsi="Times New Roman"/>
                  <w:color w:val="0000FF"/>
                  <w:sz w:val="20"/>
                  <w:u w:val="single"/>
                </w:rPr>
                <w:t>Form of 6.500% Notes Due 2029 (included in Exhibit 4.2 to the Company’s Current Report on Form 8-K, filed on March 15, 2024)</w:t>
              </w:r>
            </w:hyperlink>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r:id="rId10">
              <w:r>
                <w:rPr>
                  <w:rStyle w:val="InternetLink"/>
                  <w:rFonts w:ascii="Times New Roman" w:hAnsi="Times New Roman"/>
                  <w:color w:val="0000FF"/>
                  <w:sz w:val="20"/>
                  <w:u w:val="single"/>
                </w:rPr>
                <w:t>Registration Rights Agreement, dated as of June 17, 2024, relating to the 6.500% Notes Due 2029, by and among Sixth Street Lending Partners and BofA Securities, Inc. as representative of the initial purchasers (incorporated by reference to Exhibit 4.5 to the Company’s Current Report on Form 8-K, filed on June 17, 2024)</w:t>
              </w:r>
            </w:hyperlink>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w:anchor="ck0001925309-ex31_1.htm">
              <w:r>
                <w:rPr>
                  <w:rStyle w:val="InternetLink"/>
                  <w:rFonts w:ascii="Times New Roman" w:hAnsi="Times New Roman"/>
                  <w:color w:val="0000FF"/>
                  <w:sz w:val="20"/>
                  <w:u w:val="single"/>
                </w:rPr>
                <w:t>Certification of Chief Executive Officer Pursuant to 18 U.S.C. Section 1350, as Adopted Pursuant to Section 302 of the Sarbanes-Oxley Act of 2002</w:t>
              </w:r>
            </w:hyperlink>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w:anchor="ck0001925309-ex31_2.htm">
              <w:r>
                <w:rPr>
                  <w:rStyle w:val="InternetLink"/>
                  <w:rFonts w:ascii="Times New Roman" w:hAnsi="Times New Roman"/>
                  <w:color w:val="0000FF"/>
                  <w:sz w:val="20"/>
                  <w:u w:val="single"/>
                </w:rPr>
                <w:t>Certification of Chief Financial Officer Pursuant to 18 U.S.C. Section 1350, as Adopted Pursuant to Section 302 of the Sarbanes-Oxley Act of 2002</w:t>
              </w:r>
            </w:hyperlink>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jc w:val="left"/>
              <w:rPr/>
            </w:pPr>
            <w:hyperlink w:anchor="ck0001925309-ex32.htm">
              <w:r>
                <w:rPr>
                  <w:rStyle w:val="InternetLink"/>
                  <w:rFonts w:ascii="Times New Roman" w:hAnsi="Times New Roman"/>
                  <w:color w:val="0000FF"/>
                  <w:sz w:val="20"/>
                  <w:u w:val="single"/>
                </w:rPr>
                <w:t>Certification of CEO and CFO Pursuant to 18 U.S.C. Section 1350, as Adopted Pursuant to Section 906 of the Sarbanes-Oxley Act of 2002</w:t>
              </w:r>
            </w:hyperlink>
          </w:p>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4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Sixth Street Lending Partners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Easterly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Easterly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bookmarkStart w:id="22" w:name="ck0001925309-ex31_1.htm"/>
      <w:bookmarkStart w:id="23" w:name="ksck0001925309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Joshua Easterly,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Sixth Street Lending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Easterly</w:t>
            </w:r>
          </w:p>
        </w:tc>
      </w:tr>
      <w:tr>
        <w:trPr/>
        <w:tc>
          <w:tcPr>
            <w:tcW w:w="184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416" w:type="dxa"/>
            <w:tcBorders/>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Joshua Easterly</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k0001925309-ex31_2.htm"/>
      <w:bookmarkStart w:id="25" w:name="ksck0001925309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CFO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Ian Simmonds,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Sixth Street Lending Partners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885" w:type="dxa"/>
        <w:jc w:val="left"/>
        <w:tblInd w:w="0" w:type="dxa"/>
        <w:tblLayout w:type="fixed"/>
        <w:tblCellMar>
          <w:top w:w="28" w:type="dxa"/>
          <w:left w:w="28" w:type="dxa"/>
          <w:bottom w:w="28" w:type="dxa"/>
          <w:right w:w="28" w:type="dxa"/>
        </w:tblCellMar>
      </w:tblPr>
      <w:tblGrid>
        <w:gridCol w:w="1846"/>
        <w:gridCol w:w="146"/>
        <w:gridCol w:w="406"/>
        <w:gridCol w:w="146"/>
        <w:gridCol w:w="23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3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84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341" w:type="dxa"/>
            <w:tcBorders/>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Ian Simmonds</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ck0001925309-ex32.htm"/>
      <w:bookmarkStart w:id="27" w:name="ksck0001925309ex32"/>
      <w:bookmarkEnd w:id="26"/>
      <w:bookmarkEnd w:id="27"/>
      <w:r>
        <w:rPr>
          <w:rFonts w:ascii="Times New Roman" w:hAnsi="Times New Roman"/>
          <w:b/>
          <w:color w:val="000000"/>
          <w:sz w:val="20"/>
        </w:rPr>
        <w:t>Exhibit 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Sixth Street Lending Partners (the “Company”) for the quarterly period ended June 30, 2024,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3208" w:type="dxa"/>
        <w:jc w:val="left"/>
        <w:tblInd w:w="0" w:type="dxa"/>
        <w:tblLayout w:type="fixed"/>
        <w:tblCellMar>
          <w:top w:w="28" w:type="dxa"/>
          <w:left w:w="28" w:type="dxa"/>
          <w:bottom w:w="28" w:type="dxa"/>
          <w:right w:w="28" w:type="dxa"/>
        </w:tblCellMar>
      </w:tblPr>
      <w:tblGrid>
        <w:gridCol w:w="646"/>
        <w:gridCol w:w="146"/>
        <w:gridCol w:w="241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Easterly</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Easterly</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 2024</w:t>
            </w:r>
          </w:p>
        </w:tc>
      </w:tr>
    </w:tbl>
    <w:tbl>
      <w:tblPr>
        <w:tblW w:w="3133" w:type="dxa"/>
        <w:jc w:val="left"/>
        <w:tblInd w:w="0" w:type="dxa"/>
        <w:tblLayout w:type="fixed"/>
        <w:tblCellMar>
          <w:top w:w="28" w:type="dxa"/>
          <w:left w:w="28" w:type="dxa"/>
          <w:bottom w:w="28" w:type="dxa"/>
          <w:right w:w="28" w:type="dxa"/>
        </w:tblCellMar>
      </w:tblPr>
      <w:tblGrid>
        <w:gridCol w:w="646"/>
        <w:gridCol w:w="146"/>
        <w:gridCol w:w="23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 2024</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§1350 and is not being filed as part of the Report or as a separate disclosure document.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5309/000119312522226504/d260658dex31.htm" TargetMode="External"/><Relationship Id="rId3" Type="http://schemas.openxmlformats.org/officeDocument/2006/relationships/hyperlink" Target="https://www.sec.gov/Archives/edgar/data/1925309/000119312522183512/d260658dex32.htm" TargetMode="External"/><Relationship Id="rId4" Type="http://schemas.openxmlformats.org/officeDocument/2006/relationships/hyperlink" Target="https://www.sec.gov/Archives/edgar/data/1925309/000119312524069137/d813134dex41.htm" TargetMode="External"/><Relationship Id="rId5" Type="http://schemas.openxmlformats.org/officeDocument/2006/relationships/hyperlink" Target="https://www.sec.gov/Archives/edgar/data/1925309/000119312524069137/d813134dex42.htm" TargetMode="External"/><Relationship Id="rId6" Type="http://schemas.openxmlformats.org/officeDocument/2006/relationships/hyperlink" Target="https://www.sec.gov/Archives/edgar/data/1925309/000119312524165652/d859581dex43.htm" TargetMode="External"/><Relationship Id="rId7" Type="http://schemas.openxmlformats.org/officeDocument/2006/relationships/hyperlink" Target="https://www.sec.gov/Archives/edgar/data/1925309/000119312524165652/d859581dex43.htm" TargetMode="External"/><Relationship Id="rId8" Type="http://schemas.openxmlformats.org/officeDocument/2006/relationships/hyperlink" Target="https://www.sec.gov/Archives/edgar/data/1925309/000119312524165652/d859581dex43.htm" TargetMode="External"/><Relationship Id="rId9" Type="http://schemas.openxmlformats.org/officeDocument/2006/relationships/hyperlink" Target="https://www.sec.gov/Archives/edgar/data/1925309/000119312524069137/d813134dex42.htm" TargetMode="External"/><Relationship Id="rId10" Type="http://schemas.openxmlformats.org/officeDocument/2006/relationships/hyperlink" Target="https://www.sec.gov/Archives/edgar/data/1925309/000119312524165652/d859581dex45.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35475</Words>
  <Characters>190209</Characters>
  <CharactersWithSpaces>230104</CharactersWithSpaces>
  <Paragraphs>14221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