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28, 2022</w:t>
      </w:r>
    </w:p>
    <w:p>
      <w:pPr>
        <w:spacing w:after="0" w:line="31" w:lineRule="exact"/>
        <w:rPr>
          <w:sz w:val="24"/>
          <w:szCs w:val="24"/>
          <w:color w:val="auto"/>
        </w:rPr>
      </w:pPr>
    </w:p>
    <w:p>
      <w:pPr>
        <w:ind w:left="10000"/>
        <w:spacing w:after="0"/>
        <w:rPr>
          <w:sz w:val="20"/>
          <w:szCs w:val="20"/>
          <w:color w:val="auto"/>
        </w:rPr>
      </w:pPr>
      <w:r>
        <w:rPr>
          <w:rFonts w:ascii="Times New Roman" w:cs="Times New Roman" w:eastAsia="Times New Roman" w:hAnsi="Times New Roman"/>
          <w:sz w:val="18"/>
          <w:szCs w:val="18"/>
          <w:b w:val="1"/>
          <w:bCs w:val="1"/>
          <w:color w:val="auto"/>
        </w:rPr>
        <w:t>File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117475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U.S. SECURITIES AND EXCHANGE COMMISSION</w:t>
      </w:r>
    </w:p>
    <w:p>
      <w:pPr>
        <w:spacing w:after="0" w:line="4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FORM 10</w:t>
      </w:r>
    </w:p>
    <w:p>
      <w:pPr>
        <w:spacing w:after="0" w:line="3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GENERAL FORM FOR REGISTRATION OF SECURITIES</w:t>
      </w: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PURSUANT TO SECTION 12(b) OR 12(g)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210185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43"/>
          <w:szCs w:val="43"/>
          <w:b w:val="1"/>
          <w:bCs w:val="1"/>
          <w:color w:val="auto"/>
        </w:rPr>
        <w:t>Sixth Street Lending Partners</w:t>
      </w:r>
    </w:p>
    <w:p>
      <w:pPr>
        <w:spacing w:after="0" w:line="5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210185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1080" w:type="dxa"/>
        <w:tblCellMar>
          <w:top w:w="0" w:type="dxa"/>
          <w:left w:w="0" w:type="dxa"/>
          <w:bottom w:w="0" w:type="dxa"/>
          <w:right w:w="0" w:type="dxa"/>
        </w:tblCellMar>
      </w:tblPr>
      <w:tr>
        <w:trPr>
          <w:trHeight w:val="214"/>
        </w:trPr>
        <w:tc>
          <w:tcPr>
            <w:tcW w:w="6700" w:type="dxa"/>
            <w:vAlign w:val="bottom"/>
          </w:tcPr>
          <w:p>
            <w:pPr>
              <w:jc w:val="center"/>
              <w:ind w:right="2974"/>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88-1710161</w:t>
            </w:r>
          </w:p>
        </w:tc>
      </w:tr>
      <w:tr>
        <w:trPr>
          <w:trHeight w:val="149"/>
        </w:trPr>
        <w:tc>
          <w:tcPr>
            <w:tcW w:w="6700" w:type="dxa"/>
            <w:vAlign w:val="bottom"/>
          </w:tcPr>
          <w:p>
            <w:pPr>
              <w:jc w:val="center"/>
              <w:ind w:right="2974"/>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 incorporation</w:t>
            </w:r>
          </w:p>
        </w:tc>
        <w:tc>
          <w:tcPr>
            <w:tcW w:w="1240" w:type="dxa"/>
            <w:vAlign w:val="bottom"/>
          </w:tcPr>
          <w:p>
            <w:pPr>
              <w:jc w:val="center"/>
              <w:ind w:left="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700" w:type="dxa"/>
            <w:vAlign w:val="bottom"/>
          </w:tcPr>
          <w:p>
            <w:pPr>
              <w:jc w:val="center"/>
              <w:ind w:right="2994"/>
              <w:spacing w:after="0"/>
              <w:rPr>
                <w:sz w:val="20"/>
                <w:szCs w:val="20"/>
                <w:color w:val="auto"/>
              </w:rPr>
            </w:pPr>
            <w:r>
              <w:rPr>
                <w:rFonts w:ascii="Times New Roman" w:cs="Times New Roman" w:eastAsia="Times New Roman" w:hAnsi="Times New Roman"/>
                <w:sz w:val="14"/>
                <w:szCs w:val="14"/>
                <w:b w:val="1"/>
                <w:bCs w:val="1"/>
                <w:color w:val="auto"/>
              </w:rPr>
              <w:t>or registration)</w:t>
            </w:r>
          </w:p>
        </w:tc>
        <w:tc>
          <w:tcPr>
            <w:tcW w:w="1240" w:type="dxa"/>
            <w:vAlign w:val="bottom"/>
          </w:tcPr>
          <w:p>
            <w:pPr>
              <w:jc w:val="center"/>
              <w:ind w:left="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4"/>
        </w:trPr>
        <w:tc>
          <w:tcPr>
            <w:tcW w:w="6700" w:type="dxa"/>
            <w:vAlign w:val="bottom"/>
          </w:tcPr>
          <w:p>
            <w:pPr>
              <w:jc w:val="center"/>
              <w:ind w:right="2994"/>
              <w:spacing w:after="0"/>
              <w:rPr>
                <w:sz w:val="20"/>
                <w:szCs w:val="20"/>
                <w:color w:val="auto"/>
              </w:rPr>
            </w:pPr>
            <w:r>
              <w:rPr>
                <w:rFonts w:ascii="Times New Roman" w:cs="Times New Roman" w:eastAsia="Times New Roman" w:hAnsi="Times New Roman"/>
                <w:sz w:val="18"/>
                <w:szCs w:val="18"/>
                <w:b w:val="1"/>
                <w:bCs w:val="1"/>
                <w:color w:val="auto"/>
                <w:w w:val="99"/>
              </w:rPr>
              <w:t>2100 McKinney Avenue, Suite 1500, Dallas, TX</w:t>
            </w:r>
          </w:p>
        </w:tc>
        <w:tc>
          <w:tcPr>
            <w:tcW w:w="124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75201</w:t>
            </w:r>
          </w:p>
        </w:tc>
      </w:tr>
      <w:tr>
        <w:trPr>
          <w:trHeight w:val="190"/>
        </w:trPr>
        <w:tc>
          <w:tcPr>
            <w:tcW w:w="6700" w:type="dxa"/>
            <w:vAlign w:val="bottom"/>
          </w:tcPr>
          <w:p>
            <w:pPr>
              <w:jc w:val="center"/>
              <w:ind w:right="299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240" w:type="dxa"/>
            <w:vAlign w:val="bottom"/>
          </w:tcPr>
          <w:p>
            <w:pPr>
              <w:jc w:val="center"/>
              <w:ind w:left="4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52"/>
        </w:trPr>
        <w:tc>
          <w:tcPr>
            <w:tcW w:w="6700" w:type="dxa"/>
            <w:vAlign w:val="bottom"/>
          </w:tcPr>
          <w:p>
            <w:pPr>
              <w:jc w:val="center"/>
              <w:ind w:left="2294"/>
              <w:spacing w:after="0"/>
              <w:rPr>
                <w:sz w:val="20"/>
                <w:szCs w:val="20"/>
                <w:color w:val="auto"/>
              </w:rPr>
            </w:pPr>
            <w:r>
              <w:rPr>
                <w:rFonts w:ascii="Times New Roman" w:cs="Times New Roman" w:eastAsia="Times New Roman" w:hAnsi="Times New Roman"/>
                <w:sz w:val="18"/>
                <w:szCs w:val="18"/>
                <w:b w:val="1"/>
                <w:bCs w:val="1"/>
                <w:color w:val="auto"/>
                <w:w w:val="99"/>
              </w:rPr>
              <w:t>(469) 621-3001</w:t>
            </w:r>
          </w:p>
        </w:tc>
        <w:tc>
          <w:tcPr>
            <w:tcW w:w="1240" w:type="dxa"/>
            <w:vAlign w:val="bottom"/>
          </w:tcPr>
          <w:p>
            <w:pPr>
              <w:spacing w:after="0"/>
              <w:rPr>
                <w:sz w:val="24"/>
                <w:szCs w:val="24"/>
                <w:color w:val="auto"/>
              </w:rPr>
            </w:pPr>
          </w:p>
        </w:tc>
      </w:tr>
      <w:tr>
        <w:trPr>
          <w:trHeight w:val="238"/>
        </w:trPr>
        <w:tc>
          <w:tcPr>
            <w:tcW w:w="6700" w:type="dxa"/>
            <w:vAlign w:val="bottom"/>
          </w:tcPr>
          <w:p>
            <w:pPr>
              <w:jc w:val="center"/>
              <w:ind w:left="2314"/>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1240" w:type="dxa"/>
            <w:vAlign w:val="bottom"/>
          </w:tcPr>
          <w:p>
            <w:pPr>
              <w:spacing w:after="0"/>
              <w:rPr>
                <w:sz w:val="20"/>
                <w:szCs w:val="20"/>
                <w:color w:val="auto"/>
              </w:rPr>
            </w:pPr>
          </w:p>
        </w:tc>
      </w:tr>
      <w:tr>
        <w:trPr>
          <w:trHeight w:val="405"/>
        </w:trPr>
        <w:tc>
          <w:tcPr>
            <w:tcW w:w="6700" w:type="dxa"/>
            <w:vAlign w:val="bottom"/>
          </w:tcPr>
          <w:p>
            <w:pPr>
              <w:jc w:val="center"/>
              <w:ind w:left="2294"/>
              <w:spacing w:after="0"/>
              <w:rPr>
                <w:sz w:val="20"/>
                <w:szCs w:val="20"/>
                <w:color w:val="auto"/>
              </w:rPr>
            </w:pPr>
            <w:r>
              <w:rPr>
                <w:rFonts w:ascii="Times New Roman" w:cs="Times New Roman" w:eastAsia="Times New Roman" w:hAnsi="Times New Roman"/>
                <w:sz w:val="18"/>
                <w:szCs w:val="18"/>
                <w:b w:val="1"/>
                <w:bCs w:val="1"/>
                <w:color w:val="auto"/>
              </w:rPr>
              <w:t>with copies to:</w:t>
            </w:r>
          </w:p>
        </w:tc>
        <w:tc>
          <w:tcPr>
            <w:tcW w:w="1240" w:type="dxa"/>
            <w:vAlign w:val="bottom"/>
          </w:tcPr>
          <w:p>
            <w:pPr>
              <w:spacing w:after="0"/>
              <w:rPr>
                <w:sz w:val="24"/>
                <w:szCs w:val="24"/>
                <w:color w:val="auto"/>
              </w:rPr>
            </w:pPr>
          </w:p>
        </w:tc>
      </w:tr>
      <w:tr>
        <w:trPr>
          <w:trHeight w:val="369"/>
        </w:trPr>
        <w:tc>
          <w:tcPr>
            <w:tcW w:w="6700" w:type="dxa"/>
            <w:vAlign w:val="bottom"/>
          </w:tcPr>
          <w:p>
            <w:pPr>
              <w:jc w:val="center"/>
              <w:ind w:left="2294"/>
              <w:spacing w:after="0"/>
              <w:rPr>
                <w:sz w:val="20"/>
                <w:szCs w:val="20"/>
                <w:color w:val="auto"/>
              </w:rPr>
            </w:pPr>
            <w:r>
              <w:rPr>
                <w:rFonts w:ascii="Times New Roman" w:cs="Times New Roman" w:eastAsia="Times New Roman" w:hAnsi="Times New Roman"/>
                <w:sz w:val="18"/>
                <w:szCs w:val="18"/>
                <w:b w:val="1"/>
                <w:bCs w:val="1"/>
                <w:color w:val="auto"/>
                <w:w w:val="99"/>
              </w:rPr>
              <w:t>Rajib Chanda</w:t>
            </w:r>
          </w:p>
        </w:tc>
        <w:tc>
          <w:tcPr>
            <w:tcW w:w="1240" w:type="dxa"/>
            <w:vAlign w:val="bottom"/>
          </w:tcPr>
          <w:p>
            <w:pPr>
              <w:spacing w:after="0"/>
              <w:rPr>
                <w:sz w:val="24"/>
                <w:szCs w:val="24"/>
                <w:color w:val="auto"/>
              </w:rPr>
            </w:pPr>
          </w:p>
        </w:tc>
      </w:tr>
      <w:tr>
        <w:trPr>
          <w:trHeight w:val="216"/>
        </w:trPr>
        <w:tc>
          <w:tcPr>
            <w:tcW w:w="6700" w:type="dxa"/>
            <w:vAlign w:val="bottom"/>
          </w:tcPr>
          <w:p>
            <w:pPr>
              <w:jc w:val="center"/>
              <w:ind w:left="2294"/>
              <w:spacing w:after="0"/>
              <w:rPr>
                <w:sz w:val="20"/>
                <w:szCs w:val="20"/>
                <w:color w:val="auto"/>
              </w:rPr>
            </w:pPr>
            <w:r>
              <w:rPr>
                <w:rFonts w:ascii="Times New Roman" w:cs="Times New Roman" w:eastAsia="Times New Roman" w:hAnsi="Times New Roman"/>
                <w:sz w:val="18"/>
                <w:szCs w:val="18"/>
                <w:b w:val="1"/>
                <w:bCs w:val="1"/>
                <w:color w:val="auto"/>
                <w:w w:val="99"/>
              </w:rPr>
              <w:t>Ryan Brizek</w:t>
            </w:r>
          </w:p>
        </w:tc>
        <w:tc>
          <w:tcPr>
            <w:tcW w:w="1240" w:type="dxa"/>
            <w:vAlign w:val="bottom"/>
          </w:tcPr>
          <w:p>
            <w:pPr>
              <w:spacing w:after="0"/>
              <w:rPr>
                <w:sz w:val="18"/>
                <w:szCs w:val="18"/>
                <w:color w:val="auto"/>
              </w:rPr>
            </w:pPr>
          </w:p>
        </w:tc>
      </w:tr>
      <w:tr>
        <w:trPr>
          <w:trHeight w:val="216"/>
        </w:trPr>
        <w:tc>
          <w:tcPr>
            <w:tcW w:w="6700" w:type="dxa"/>
            <w:vAlign w:val="bottom"/>
          </w:tcPr>
          <w:p>
            <w:pPr>
              <w:jc w:val="center"/>
              <w:ind w:left="2294"/>
              <w:spacing w:after="0"/>
              <w:rPr>
                <w:sz w:val="20"/>
                <w:szCs w:val="20"/>
                <w:color w:val="auto"/>
              </w:rPr>
            </w:pPr>
            <w:r>
              <w:rPr>
                <w:rFonts w:ascii="Times New Roman" w:cs="Times New Roman" w:eastAsia="Times New Roman" w:hAnsi="Times New Roman"/>
                <w:sz w:val="18"/>
                <w:szCs w:val="18"/>
                <w:b w:val="1"/>
                <w:bCs w:val="1"/>
                <w:color w:val="auto"/>
                <w:w w:val="99"/>
              </w:rPr>
              <w:t>Steven Grigoriou</w:t>
            </w:r>
          </w:p>
        </w:tc>
        <w:tc>
          <w:tcPr>
            <w:tcW w:w="1240" w:type="dxa"/>
            <w:vAlign w:val="bottom"/>
          </w:tcPr>
          <w:p>
            <w:pPr>
              <w:spacing w:after="0"/>
              <w:rPr>
                <w:sz w:val="18"/>
                <w:szCs w:val="18"/>
                <w:color w:val="auto"/>
              </w:rPr>
            </w:pPr>
          </w:p>
        </w:tc>
      </w:tr>
      <w:tr>
        <w:trPr>
          <w:trHeight w:val="216"/>
        </w:trPr>
        <w:tc>
          <w:tcPr>
            <w:tcW w:w="6700" w:type="dxa"/>
            <w:vAlign w:val="bottom"/>
          </w:tcPr>
          <w:p>
            <w:pPr>
              <w:jc w:val="center"/>
              <w:ind w:left="2314"/>
              <w:spacing w:after="0"/>
              <w:rPr>
                <w:sz w:val="20"/>
                <w:szCs w:val="20"/>
                <w:color w:val="auto"/>
              </w:rPr>
            </w:pPr>
            <w:r>
              <w:rPr>
                <w:rFonts w:ascii="Times New Roman" w:cs="Times New Roman" w:eastAsia="Times New Roman" w:hAnsi="Times New Roman"/>
                <w:sz w:val="18"/>
                <w:szCs w:val="18"/>
                <w:b w:val="1"/>
                <w:bCs w:val="1"/>
                <w:color w:val="auto"/>
                <w:w w:val="99"/>
              </w:rPr>
              <w:t>Simpson Thacher &amp; Bartlett LLP</w:t>
            </w:r>
          </w:p>
        </w:tc>
        <w:tc>
          <w:tcPr>
            <w:tcW w:w="1240" w:type="dxa"/>
            <w:vAlign w:val="bottom"/>
          </w:tcPr>
          <w:p>
            <w:pPr>
              <w:spacing w:after="0"/>
              <w:rPr>
                <w:sz w:val="18"/>
                <w:szCs w:val="18"/>
                <w:color w:val="auto"/>
              </w:rPr>
            </w:pPr>
          </w:p>
        </w:tc>
      </w:tr>
      <w:tr>
        <w:trPr>
          <w:trHeight w:val="216"/>
        </w:trPr>
        <w:tc>
          <w:tcPr>
            <w:tcW w:w="6700" w:type="dxa"/>
            <w:vAlign w:val="bottom"/>
          </w:tcPr>
          <w:p>
            <w:pPr>
              <w:jc w:val="center"/>
              <w:ind w:left="2294"/>
              <w:spacing w:after="0"/>
              <w:rPr>
                <w:sz w:val="20"/>
                <w:szCs w:val="20"/>
                <w:color w:val="auto"/>
              </w:rPr>
            </w:pPr>
            <w:r>
              <w:rPr>
                <w:rFonts w:ascii="Times New Roman" w:cs="Times New Roman" w:eastAsia="Times New Roman" w:hAnsi="Times New Roman"/>
                <w:sz w:val="18"/>
                <w:szCs w:val="18"/>
                <w:b w:val="1"/>
                <w:bCs w:val="1"/>
                <w:color w:val="auto"/>
              </w:rPr>
              <w:t>900 G Street NW</w:t>
            </w:r>
          </w:p>
        </w:tc>
        <w:tc>
          <w:tcPr>
            <w:tcW w:w="1240" w:type="dxa"/>
            <w:vAlign w:val="bottom"/>
          </w:tcPr>
          <w:p>
            <w:pPr>
              <w:spacing w:after="0"/>
              <w:rPr>
                <w:sz w:val="18"/>
                <w:szCs w:val="18"/>
                <w:color w:val="auto"/>
              </w:rPr>
            </w:pPr>
          </w:p>
        </w:tc>
      </w:tr>
      <w:tr>
        <w:trPr>
          <w:trHeight w:val="238"/>
        </w:trPr>
        <w:tc>
          <w:tcPr>
            <w:tcW w:w="6700" w:type="dxa"/>
            <w:vAlign w:val="bottom"/>
          </w:tcPr>
          <w:p>
            <w:pPr>
              <w:jc w:val="center"/>
              <w:ind w:left="2294"/>
              <w:spacing w:after="0"/>
              <w:rPr>
                <w:sz w:val="20"/>
                <w:szCs w:val="20"/>
                <w:color w:val="auto"/>
              </w:rPr>
            </w:pPr>
            <w:r>
              <w:rPr>
                <w:rFonts w:ascii="Times New Roman" w:cs="Times New Roman" w:eastAsia="Times New Roman" w:hAnsi="Times New Roman"/>
                <w:sz w:val="18"/>
                <w:szCs w:val="18"/>
                <w:b w:val="1"/>
                <w:bCs w:val="1"/>
                <w:color w:val="auto"/>
                <w:w w:val="99"/>
              </w:rPr>
              <w:t>Washington, DC 20001</w:t>
            </w:r>
          </w:p>
        </w:tc>
        <w:tc>
          <w:tcPr>
            <w:tcW w:w="1240" w:type="dxa"/>
            <w:vAlign w:val="bottom"/>
          </w:tcPr>
          <w:p>
            <w:pPr>
              <w:spacing w:after="0"/>
              <w:rPr>
                <w:sz w:val="20"/>
                <w:szCs w:val="20"/>
                <w:color w:val="auto"/>
              </w:rPr>
            </w:pPr>
          </w:p>
        </w:tc>
      </w:tr>
    </w:tbl>
    <w:p>
      <w:pPr>
        <w:spacing w:after="0" w:line="15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Securities to be registered pursuant to Section 12(b) of the Act:</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17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Securities to be registered pursuant to Section 12(g) of the Act:</w:t>
      </w:r>
    </w:p>
    <w:p>
      <w:pPr>
        <w:spacing w:after="0" w:line="18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Common shares of beneficial interest, par value $0.001</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211455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7" w:lineRule="exact"/>
        <w:rPr>
          <w:sz w:val="24"/>
          <w:szCs w:val="24"/>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47" w:lineRule="exact"/>
        <w:rPr>
          <w:sz w:val="24"/>
          <w:szCs w:val="24"/>
          <w:color w:val="auto"/>
        </w:rPr>
      </w:pPr>
    </w:p>
    <w:tbl>
      <w:tblPr>
        <w:tblLayout w:type="fixed"/>
        <w:tblInd w:w="12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37" w:lineRule="exact"/>
        <w:rPr>
          <w:sz w:val="24"/>
          <w:szCs w:val="24"/>
          <w:color w:val="auto"/>
        </w:rPr>
      </w:pPr>
    </w:p>
    <w:p>
      <w:pPr>
        <w:ind w:left="120" w:right="100" w:firstLine="4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133985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176530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80"/>
          </w:cols>
          <w:pgMar w:left="320" w:top="226" w:right="4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20" w:type="dxa"/>
            <w:vAlign w:val="bottom"/>
            <w:gridSpan w:val="6"/>
          </w:tcPr>
          <w:p>
            <w:pPr>
              <w:ind w:left="3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580" w:type="dxa"/>
            <w:vAlign w:val="bottom"/>
          </w:tcPr>
          <w:p>
            <w:pPr>
              <w:spacing w:after="0"/>
              <w:rPr>
                <w:sz w:val="20"/>
                <w:szCs w:val="20"/>
                <w:color w:val="auto"/>
              </w:rPr>
            </w:pPr>
          </w:p>
        </w:tc>
      </w:tr>
      <w:tr>
        <w:trPr>
          <w:trHeight w:val="408"/>
        </w:trPr>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ind w:left="1280"/>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375"/>
        </w:trPr>
        <w:tc>
          <w:tcPr>
            <w:tcW w:w="12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8"/>
              </w:rPr>
              <w:t>Explanatory Note</w:t>
            </w:r>
          </w:p>
        </w:tc>
        <w:tc>
          <w:tcPr>
            <w:tcW w:w="8140" w:type="dxa"/>
            <w:vAlign w:val="bottom"/>
            <w:gridSpan w:val="18"/>
          </w:tcPr>
          <w:p>
            <w:pPr>
              <w:spacing w:after="0"/>
              <w:rPr>
                <w:sz w:val="24"/>
                <w:szCs w:val="24"/>
                <w:color w:val="auto"/>
              </w:rPr>
            </w:pPr>
          </w:p>
        </w:tc>
        <w:tc>
          <w:tcPr>
            <w:tcW w:w="1580" w:type="dxa"/>
            <w:vAlign w:val="bottom"/>
          </w:tcPr>
          <w:p>
            <w:pPr>
              <w:jc w:val="center"/>
              <w:ind w:left="1171"/>
              <w:spacing w:after="0"/>
              <w:rPr>
                <w:sz w:val="20"/>
                <w:szCs w:val="20"/>
                <w:color w:val="auto"/>
              </w:rPr>
            </w:pPr>
            <w:r>
              <w:rPr>
                <w:rFonts w:ascii="Times New Roman" w:cs="Times New Roman" w:eastAsia="Times New Roman" w:hAnsi="Times New Roman"/>
                <w:sz w:val="18"/>
                <w:szCs w:val="18"/>
                <w:color w:val="auto"/>
                <w:w w:val="88"/>
              </w:rPr>
              <w:t>1</w:t>
            </w:r>
          </w:p>
        </w:tc>
      </w:tr>
      <w:tr>
        <w:trPr>
          <w:trHeight w:val="196"/>
        </w:trPr>
        <w:tc>
          <w:tcPr>
            <w:tcW w:w="94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1580" w:type="dxa"/>
            <w:vAlign w:val="bottom"/>
          </w:tcPr>
          <w:p>
            <w:pPr>
              <w:jc w:val="center"/>
              <w:ind w:left="1171"/>
              <w:spacing w:after="0" w:line="196" w:lineRule="exact"/>
              <w:rPr>
                <w:sz w:val="20"/>
                <w:szCs w:val="20"/>
                <w:color w:val="auto"/>
              </w:rPr>
            </w:pPr>
            <w:r>
              <w:rPr>
                <w:rFonts w:ascii="Times New Roman" w:cs="Times New Roman" w:eastAsia="Times New Roman" w:hAnsi="Times New Roman"/>
                <w:sz w:val="18"/>
                <w:szCs w:val="18"/>
                <w:color w:val="auto"/>
                <w:w w:val="88"/>
              </w:rPr>
              <w:t>2</w:t>
            </w:r>
          </w:p>
        </w:tc>
      </w:tr>
      <w:tr>
        <w:trPr>
          <w:trHeight w:val="196"/>
        </w:trPr>
        <w:tc>
          <w:tcPr>
            <w:tcW w:w="880" w:type="dxa"/>
            <w:vAlign w:val="bottom"/>
            <w:tcBorders>
              <w:top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Business</w:t>
            </w:r>
          </w:p>
        </w:tc>
        <w:tc>
          <w:tcPr>
            <w:tcW w:w="580" w:type="dxa"/>
            <w:vAlign w:val="bottom"/>
            <w:tcBorders>
              <w:top w:val="single" w:sz="8" w:color="0000EE"/>
            </w:tcBorders>
            <w:gridSpan w:val="3"/>
          </w:tcPr>
          <w:p>
            <w:pPr>
              <w:spacing w:after="0"/>
              <w:rPr>
                <w:sz w:val="17"/>
                <w:szCs w:val="17"/>
                <w:color w:val="auto"/>
              </w:rPr>
            </w:pPr>
          </w:p>
        </w:tc>
        <w:tc>
          <w:tcPr>
            <w:tcW w:w="7320" w:type="dxa"/>
            <w:vAlign w:val="bottom"/>
            <w:gridSpan w:val="14"/>
          </w:tcPr>
          <w:p>
            <w:pPr>
              <w:spacing w:after="0"/>
              <w:rPr>
                <w:sz w:val="17"/>
                <w:szCs w:val="17"/>
                <w:color w:val="auto"/>
              </w:rPr>
            </w:pPr>
          </w:p>
        </w:tc>
        <w:tc>
          <w:tcPr>
            <w:tcW w:w="1580" w:type="dxa"/>
            <w:vAlign w:val="bottom"/>
          </w:tcPr>
          <w:p>
            <w:pPr>
              <w:jc w:val="center"/>
              <w:ind w:left="1171"/>
              <w:spacing w:after="0" w:line="196" w:lineRule="exact"/>
              <w:rPr>
                <w:sz w:val="20"/>
                <w:szCs w:val="20"/>
                <w:color w:val="auto"/>
              </w:rPr>
            </w:pPr>
            <w:r>
              <w:rPr>
                <w:rFonts w:ascii="Times New Roman" w:cs="Times New Roman" w:eastAsia="Times New Roman" w:hAnsi="Times New Roman"/>
                <w:sz w:val="18"/>
                <w:szCs w:val="18"/>
                <w:color w:val="auto"/>
                <w:w w:val="88"/>
              </w:rPr>
              <w:t>4</w:t>
            </w: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Risk Factors</w:t>
            </w:r>
          </w:p>
        </w:tc>
        <w:tc>
          <w:tcPr>
            <w:tcW w:w="7640" w:type="dxa"/>
            <w:vAlign w:val="bottom"/>
            <w:gridSpan w:val="15"/>
          </w:tcPr>
          <w:p>
            <w:pPr>
              <w:spacing w:after="0"/>
              <w:rPr>
                <w:sz w:val="17"/>
                <w:szCs w:val="17"/>
                <w:color w:val="auto"/>
              </w:rPr>
            </w:pPr>
          </w:p>
        </w:tc>
        <w:tc>
          <w:tcPr>
            <w:tcW w:w="1580" w:type="dxa"/>
            <w:vAlign w:val="bottom"/>
          </w:tcPr>
          <w:p>
            <w:pPr>
              <w:jc w:val="center"/>
              <w:ind w:left="1191"/>
              <w:spacing w:after="0" w:line="196" w:lineRule="exact"/>
              <w:rPr>
                <w:sz w:val="20"/>
                <w:szCs w:val="20"/>
                <w:color w:val="auto"/>
              </w:rPr>
            </w:pPr>
            <w:r>
              <w:rPr>
                <w:rFonts w:ascii="Times New Roman" w:cs="Times New Roman" w:eastAsia="Times New Roman" w:hAnsi="Times New Roman"/>
                <w:sz w:val="18"/>
                <w:szCs w:val="18"/>
                <w:color w:val="auto"/>
                <w:w w:val="99"/>
              </w:rPr>
              <w:t>42</w:t>
            </w: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85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Financial Information</w:t>
            </w:r>
          </w:p>
        </w:tc>
        <w:tc>
          <w:tcPr>
            <w:tcW w:w="1580" w:type="dxa"/>
            <w:vAlign w:val="bottom"/>
          </w:tcPr>
          <w:p>
            <w:pPr>
              <w:jc w:val="center"/>
              <w:ind w:left="1191"/>
              <w:spacing w:after="0" w:line="196" w:lineRule="exact"/>
              <w:rPr>
                <w:sz w:val="20"/>
                <w:szCs w:val="20"/>
                <w:color w:val="auto"/>
              </w:rPr>
            </w:pPr>
            <w:r>
              <w:rPr>
                <w:rFonts w:ascii="Times New Roman" w:cs="Times New Roman" w:eastAsia="Times New Roman" w:hAnsi="Times New Roman"/>
                <w:sz w:val="18"/>
                <w:szCs w:val="18"/>
                <w:color w:val="auto"/>
                <w:w w:val="99"/>
              </w:rPr>
              <w:t>82</w:t>
            </w: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156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Properties.</w:t>
            </w:r>
          </w:p>
        </w:tc>
        <w:tc>
          <w:tcPr>
            <w:tcW w:w="6980" w:type="dxa"/>
            <w:vAlign w:val="bottom"/>
            <w:gridSpan w:val="12"/>
          </w:tcPr>
          <w:p>
            <w:pPr>
              <w:spacing w:after="0"/>
              <w:rPr>
                <w:sz w:val="17"/>
                <w:szCs w:val="17"/>
                <w:color w:val="auto"/>
              </w:rPr>
            </w:pPr>
          </w:p>
        </w:tc>
        <w:tc>
          <w:tcPr>
            <w:tcW w:w="1580" w:type="dxa"/>
            <w:vAlign w:val="bottom"/>
          </w:tcPr>
          <w:p>
            <w:pPr>
              <w:jc w:val="center"/>
              <w:ind w:left="1191"/>
              <w:spacing w:after="0" w:line="196" w:lineRule="exact"/>
              <w:rPr>
                <w:sz w:val="20"/>
                <w:szCs w:val="20"/>
                <w:color w:val="auto"/>
              </w:rPr>
            </w:pPr>
            <w:r>
              <w:rPr>
                <w:rFonts w:ascii="Times New Roman" w:cs="Times New Roman" w:eastAsia="Times New Roman" w:hAnsi="Times New Roman"/>
                <w:sz w:val="18"/>
                <w:szCs w:val="18"/>
                <w:color w:val="auto"/>
                <w:w w:val="99"/>
              </w:rPr>
              <w:t>90</w:t>
            </w:r>
          </w:p>
        </w:tc>
      </w:tr>
      <w:tr>
        <w:trPr>
          <w:trHeight w:val="20"/>
        </w:trPr>
        <w:tc>
          <w:tcPr>
            <w:tcW w:w="88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488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w:t>
            </w:r>
          </w:p>
        </w:tc>
        <w:tc>
          <w:tcPr>
            <w:tcW w:w="3660" w:type="dxa"/>
            <w:vAlign w:val="bottom"/>
            <w:gridSpan w:val="4"/>
          </w:tcPr>
          <w:p>
            <w:pPr>
              <w:spacing w:after="0"/>
              <w:rPr>
                <w:sz w:val="17"/>
                <w:szCs w:val="17"/>
                <w:color w:val="auto"/>
              </w:rPr>
            </w:pPr>
          </w:p>
        </w:tc>
        <w:tc>
          <w:tcPr>
            <w:tcW w:w="1580" w:type="dxa"/>
            <w:vAlign w:val="bottom"/>
          </w:tcPr>
          <w:p>
            <w:pPr>
              <w:jc w:val="center"/>
              <w:ind w:left="1191"/>
              <w:spacing w:after="0" w:line="196" w:lineRule="exact"/>
              <w:rPr>
                <w:sz w:val="20"/>
                <w:szCs w:val="20"/>
                <w:color w:val="auto"/>
              </w:rPr>
            </w:pPr>
            <w:r>
              <w:rPr>
                <w:rFonts w:ascii="Times New Roman" w:cs="Times New Roman" w:eastAsia="Times New Roman" w:hAnsi="Times New Roman"/>
                <w:sz w:val="18"/>
                <w:szCs w:val="18"/>
                <w:color w:val="auto"/>
                <w:w w:val="99"/>
              </w:rPr>
              <w:t>90</w:t>
            </w: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230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Trustees and Executive Officers</w:t>
            </w:r>
          </w:p>
        </w:tc>
        <w:tc>
          <w:tcPr>
            <w:tcW w:w="6240" w:type="dxa"/>
            <w:vAlign w:val="bottom"/>
            <w:gridSpan w:val="10"/>
          </w:tcPr>
          <w:p>
            <w:pPr>
              <w:spacing w:after="0"/>
              <w:rPr>
                <w:sz w:val="17"/>
                <w:szCs w:val="17"/>
                <w:color w:val="auto"/>
              </w:rPr>
            </w:pPr>
          </w:p>
        </w:tc>
        <w:tc>
          <w:tcPr>
            <w:tcW w:w="1580" w:type="dxa"/>
            <w:vAlign w:val="bottom"/>
          </w:tcPr>
          <w:p>
            <w:pPr>
              <w:jc w:val="center"/>
              <w:ind w:left="1191"/>
              <w:spacing w:after="0" w:line="196" w:lineRule="exact"/>
              <w:rPr>
                <w:sz w:val="20"/>
                <w:szCs w:val="20"/>
                <w:color w:val="auto"/>
              </w:rPr>
            </w:pPr>
            <w:r>
              <w:rPr>
                <w:rFonts w:ascii="Times New Roman" w:cs="Times New Roman" w:eastAsia="Times New Roman" w:hAnsi="Times New Roman"/>
                <w:sz w:val="18"/>
                <w:szCs w:val="18"/>
                <w:color w:val="auto"/>
                <w:w w:val="99"/>
              </w:rPr>
              <w:t>90</w:t>
            </w: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180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Executive Compensation</w:t>
            </w:r>
          </w:p>
        </w:tc>
        <w:tc>
          <w:tcPr>
            <w:tcW w:w="6740" w:type="dxa"/>
            <w:vAlign w:val="bottom"/>
            <w:gridSpan w:val="11"/>
          </w:tcPr>
          <w:p>
            <w:pPr>
              <w:spacing w:after="0"/>
              <w:rPr>
                <w:sz w:val="17"/>
                <w:szCs w:val="17"/>
                <w:color w:val="auto"/>
              </w:rPr>
            </w:pPr>
          </w:p>
        </w:tc>
        <w:tc>
          <w:tcPr>
            <w:tcW w:w="1580" w:type="dxa"/>
            <w:vAlign w:val="bottom"/>
          </w:tcPr>
          <w:p>
            <w:pPr>
              <w:jc w:val="center"/>
              <w:ind w:left="1191"/>
              <w:spacing w:after="0" w:line="196" w:lineRule="exact"/>
              <w:rPr>
                <w:sz w:val="20"/>
                <w:szCs w:val="20"/>
                <w:color w:val="auto"/>
              </w:rPr>
            </w:pPr>
            <w:r>
              <w:rPr>
                <w:rFonts w:ascii="Times New Roman" w:cs="Times New Roman" w:eastAsia="Times New Roman" w:hAnsi="Times New Roman"/>
                <w:sz w:val="18"/>
                <w:szCs w:val="18"/>
                <w:color w:val="auto"/>
                <w:w w:val="99"/>
              </w:rPr>
              <w:t>97</w:t>
            </w: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538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Certain Relationships and Related Transactions, and Trustee Independence</w:t>
            </w:r>
          </w:p>
        </w:tc>
        <w:tc>
          <w:tcPr>
            <w:tcW w:w="3160" w:type="dxa"/>
            <w:vAlign w:val="bottom"/>
            <w:gridSpan w:val="3"/>
          </w:tcPr>
          <w:p>
            <w:pPr>
              <w:spacing w:after="0"/>
              <w:rPr>
                <w:sz w:val="17"/>
                <w:szCs w:val="17"/>
                <w:color w:val="auto"/>
              </w:rPr>
            </w:pPr>
          </w:p>
        </w:tc>
        <w:tc>
          <w:tcPr>
            <w:tcW w:w="1580" w:type="dxa"/>
            <w:vAlign w:val="bottom"/>
          </w:tcPr>
          <w:p>
            <w:pPr>
              <w:jc w:val="center"/>
              <w:ind w:left="1191"/>
              <w:spacing w:after="0" w:line="196" w:lineRule="exact"/>
              <w:rPr>
                <w:sz w:val="20"/>
                <w:szCs w:val="20"/>
                <w:color w:val="auto"/>
              </w:rPr>
            </w:pPr>
            <w:r>
              <w:rPr>
                <w:rFonts w:ascii="Times New Roman" w:cs="Times New Roman" w:eastAsia="Times New Roman" w:hAnsi="Times New Roman"/>
                <w:sz w:val="18"/>
                <w:szCs w:val="18"/>
                <w:color w:val="auto"/>
                <w:w w:val="99"/>
              </w:rPr>
              <w:t>98</w:t>
            </w: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85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Legal Proceedings</w:t>
            </w:r>
          </w:p>
        </w:tc>
        <w:tc>
          <w:tcPr>
            <w:tcW w:w="1580" w:type="dxa"/>
            <w:vAlign w:val="bottom"/>
          </w:tcPr>
          <w:p>
            <w:pPr>
              <w:jc w:val="center"/>
              <w:ind w:left="1191"/>
              <w:spacing w:after="0" w:line="196" w:lineRule="exact"/>
              <w:rPr>
                <w:sz w:val="20"/>
                <w:szCs w:val="20"/>
                <w:color w:val="auto"/>
              </w:rPr>
            </w:pPr>
            <w:r>
              <w:rPr>
                <w:rFonts w:ascii="Times New Roman" w:cs="Times New Roman" w:eastAsia="Times New Roman" w:hAnsi="Times New Roman"/>
                <w:sz w:val="18"/>
                <w:szCs w:val="18"/>
                <w:color w:val="auto"/>
                <w:w w:val="99"/>
              </w:rPr>
              <w:t>98</w:t>
            </w:r>
          </w:p>
        </w:tc>
      </w:tr>
      <w:tr>
        <w:trPr>
          <w:trHeight w:val="20"/>
        </w:trPr>
        <w:tc>
          <w:tcPr>
            <w:tcW w:w="880" w:type="dxa"/>
            <w:vAlign w:val="bottom"/>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726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Market Price of and Dividends on the Registrant’s Common Equity and Related Shareholder Matters</w:t>
            </w:r>
          </w:p>
        </w:tc>
        <w:tc>
          <w:tcPr>
            <w:tcW w:w="1280" w:type="dxa"/>
            <w:vAlign w:val="bottom"/>
          </w:tcPr>
          <w:p>
            <w:pPr>
              <w:spacing w:after="0"/>
              <w:rPr>
                <w:sz w:val="17"/>
                <w:szCs w:val="17"/>
                <w:color w:val="auto"/>
              </w:rPr>
            </w:pPr>
          </w:p>
        </w:tc>
        <w:tc>
          <w:tcPr>
            <w:tcW w:w="1580" w:type="dxa"/>
            <w:vAlign w:val="bottom"/>
          </w:tcPr>
          <w:p>
            <w:pPr>
              <w:jc w:val="center"/>
              <w:ind w:left="1191"/>
              <w:spacing w:after="0" w:line="196" w:lineRule="exact"/>
              <w:rPr>
                <w:sz w:val="20"/>
                <w:szCs w:val="20"/>
                <w:color w:val="auto"/>
              </w:rPr>
            </w:pPr>
            <w:r>
              <w:rPr>
                <w:rFonts w:ascii="Times New Roman" w:cs="Times New Roman" w:eastAsia="Times New Roman" w:hAnsi="Times New Roman"/>
                <w:sz w:val="18"/>
                <w:szCs w:val="18"/>
                <w:color w:val="auto"/>
                <w:w w:val="99"/>
              </w:rPr>
              <w:t>98</w:t>
            </w: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10.</w:t>
            </w:r>
          </w:p>
        </w:tc>
        <w:tc>
          <w:tcPr>
            <w:tcW w:w="85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Recent Sales of Unregistered Securities</w:t>
            </w:r>
          </w:p>
        </w:tc>
        <w:tc>
          <w:tcPr>
            <w:tcW w:w="1580" w:type="dxa"/>
            <w:vAlign w:val="bottom"/>
          </w:tcPr>
          <w:p>
            <w:pPr>
              <w:jc w:val="center"/>
              <w:ind w:left="1171"/>
              <w:spacing w:after="0" w:line="196" w:lineRule="exact"/>
              <w:rPr>
                <w:sz w:val="20"/>
                <w:szCs w:val="20"/>
                <w:color w:val="auto"/>
              </w:rPr>
            </w:pPr>
            <w:r>
              <w:rPr>
                <w:rFonts w:ascii="Times New Roman" w:cs="Times New Roman" w:eastAsia="Times New Roman" w:hAnsi="Times New Roman"/>
                <w:sz w:val="18"/>
                <w:szCs w:val="18"/>
                <w:color w:val="auto"/>
              </w:rPr>
              <w:t>101</w:t>
            </w:r>
          </w:p>
        </w:tc>
      </w:tr>
      <w:tr>
        <w:trPr>
          <w:trHeight w:val="20"/>
        </w:trPr>
        <w:tc>
          <w:tcPr>
            <w:tcW w:w="880" w:type="dxa"/>
            <w:vAlign w:val="bottom"/>
          </w:tcPr>
          <w:p>
            <w:pPr>
              <w:spacing w:after="0" w:line="20" w:lineRule="exact"/>
              <w:rPr>
                <w:sz w:val="1"/>
                <w:szCs w:val="1"/>
                <w:color w:val="auto"/>
              </w:rPr>
            </w:pPr>
          </w:p>
        </w:tc>
        <w:tc>
          <w:tcPr>
            <w:tcW w:w="2440" w:type="dxa"/>
            <w:vAlign w:val="bottom"/>
            <w:gridSpan w:val="10"/>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85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Description of Registrant’s Securities to be Registered</w:t>
            </w:r>
          </w:p>
        </w:tc>
        <w:tc>
          <w:tcPr>
            <w:tcW w:w="1580" w:type="dxa"/>
            <w:vAlign w:val="bottom"/>
          </w:tcPr>
          <w:p>
            <w:pPr>
              <w:jc w:val="center"/>
              <w:ind w:left="1171"/>
              <w:spacing w:after="0" w:line="196" w:lineRule="exact"/>
              <w:rPr>
                <w:sz w:val="20"/>
                <w:szCs w:val="20"/>
                <w:color w:val="auto"/>
              </w:rPr>
            </w:pPr>
            <w:r>
              <w:rPr>
                <w:rFonts w:ascii="Times New Roman" w:cs="Times New Roman" w:eastAsia="Times New Roman" w:hAnsi="Times New Roman"/>
                <w:sz w:val="18"/>
                <w:szCs w:val="18"/>
                <w:color w:val="auto"/>
              </w:rPr>
              <w:t>101</w:t>
            </w: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390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Indemnification of Trustees and Officers</w:t>
            </w:r>
          </w:p>
        </w:tc>
        <w:tc>
          <w:tcPr>
            <w:tcW w:w="4640" w:type="dxa"/>
            <w:vAlign w:val="bottom"/>
            <w:gridSpan w:val="5"/>
          </w:tcPr>
          <w:p>
            <w:pPr>
              <w:spacing w:after="0"/>
              <w:rPr>
                <w:sz w:val="17"/>
                <w:szCs w:val="17"/>
                <w:color w:val="auto"/>
              </w:rPr>
            </w:pPr>
          </w:p>
        </w:tc>
        <w:tc>
          <w:tcPr>
            <w:tcW w:w="1580" w:type="dxa"/>
            <w:vAlign w:val="bottom"/>
          </w:tcPr>
          <w:p>
            <w:pPr>
              <w:jc w:val="center"/>
              <w:ind w:left="1171"/>
              <w:spacing w:after="0" w:line="196" w:lineRule="exact"/>
              <w:rPr>
                <w:sz w:val="20"/>
                <w:szCs w:val="20"/>
                <w:color w:val="auto"/>
              </w:rPr>
            </w:pPr>
            <w:r>
              <w:rPr>
                <w:rFonts w:ascii="Times New Roman" w:cs="Times New Roman" w:eastAsia="Times New Roman" w:hAnsi="Times New Roman"/>
                <w:sz w:val="18"/>
                <w:szCs w:val="18"/>
                <w:color w:val="auto"/>
              </w:rPr>
              <w:t>106</w:t>
            </w:r>
          </w:p>
        </w:tc>
      </w:tr>
      <w:tr>
        <w:trPr>
          <w:trHeight w:val="20"/>
        </w:trPr>
        <w:tc>
          <w:tcPr>
            <w:tcW w:w="880" w:type="dxa"/>
            <w:vAlign w:val="bottom"/>
          </w:tcPr>
          <w:p>
            <w:pPr>
              <w:spacing w:after="0" w:line="20" w:lineRule="exact"/>
              <w:rPr>
                <w:sz w:val="1"/>
                <w:szCs w:val="1"/>
                <w:color w:val="auto"/>
              </w:rPr>
            </w:pPr>
          </w:p>
        </w:tc>
        <w:tc>
          <w:tcPr>
            <w:tcW w:w="2440" w:type="dxa"/>
            <w:vAlign w:val="bottom"/>
            <w:gridSpan w:val="10"/>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140" w:type="dxa"/>
            <w:vAlign w:val="bottom"/>
            <w:gridSpan w:val="4"/>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85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1580" w:type="dxa"/>
            <w:vAlign w:val="bottom"/>
          </w:tcPr>
          <w:p>
            <w:pPr>
              <w:jc w:val="center"/>
              <w:ind w:left="1171"/>
              <w:spacing w:after="0" w:line="196" w:lineRule="exact"/>
              <w:rPr>
                <w:sz w:val="20"/>
                <w:szCs w:val="20"/>
                <w:color w:val="auto"/>
              </w:rPr>
            </w:pPr>
            <w:r>
              <w:rPr>
                <w:rFonts w:ascii="Times New Roman" w:cs="Times New Roman" w:eastAsia="Times New Roman" w:hAnsi="Times New Roman"/>
                <w:sz w:val="18"/>
                <w:szCs w:val="18"/>
                <w:color w:val="auto"/>
              </w:rPr>
              <w:t>106</w:t>
            </w:r>
          </w:p>
        </w:tc>
      </w:tr>
      <w:tr>
        <w:trPr>
          <w:trHeight w:val="20"/>
        </w:trPr>
        <w:tc>
          <w:tcPr>
            <w:tcW w:w="880" w:type="dxa"/>
            <w:vAlign w:val="bottom"/>
          </w:tcPr>
          <w:p>
            <w:pPr>
              <w:spacing w:after="0" w:line="20" w:lineRule="exact"/>
              <w:rPr>
                <w:sz w:val="1"/>
                <w:szCs w:val="1"/>
                <w:color w:val="auto"/>
              </w:rPr>
            </w:pPr>
          </w:p>
        </w:tc>
        <w:tc>
          <w:tcPr>
            <w:tcW w:w="2440" w:type="dxa"/>
            <w:vAlign w:val="bottom"/>
            <w:gridSpan w:val="10"/>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3140" w:type="dxa"/>
            <w:vAlign w:val="bottom"/>
            <w:gridSpan w:val="4"/>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85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1580" w:type="dxa"/>
            <w:vAlign w:val="bottom"/>
          </w:tcPr>
          <w:p>
            <w:pPr>
              <w:jc w:val="center"/>
              <w:ind w:left="1171"/>
              <w:spacing w:after="0" w:line="196" w:lineRule="exact"/>
              <w:rPr>
                <w:sz w:val="20"/>
                <w:szCs w:val="20"/>
                <w:color w:val="auto"/>
              </w:rPr>
            </w:pPr>
            <w:r>
              <w:rPr>
                <w:rFonts w:ascii="Times New Roman" w:cs="Times New Roman" w:eastAsia="Times New Roman" w:hAnsi="Times New Roman"/>
                <w:sz w:val="18"/>
                <w:szCs w:val="18"/>
                <w:color w:val="auto"/>
              </w:rPr>
              <w:t>107</w:t>
            </w: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15.</w:t>
            </w:r>
          </w:p>
        </w:tc>
        <w:tc>
          <w:tcPr>
            <w:tcW w:w="6460" w:type="dxa"/>
            <w:vAlign w:val="bottom"/>
            <w:tcBorders>
              <w:top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Financial Statements and Exhibits</w:t>
            </w:r>
          </w:p>
        </w:tc>
        <w:tc>
          <w:tcPr>
            <w:tcW w:w="2080" w:type="dxa"/>
            <w:vAlign w:val="bottom"/>
            <w:gridSpan w:val="2"/>
          </w:tcPr>
          <w:p>
            <w:pPr>
              <w:spacing w:after="0"/>
              <w:rPr>
                <w:sz w:val="17"/>
                <w:szCs w:val="17"/>
                <w:color w:val="auto"/>
              </w:rPr>
            </w:pPr>
          </w:p>
        </w:tc>
        <w:tc>
          <w:tcPr>
            <w:tcW w:w="1580" w:type="dxa"/>
            <w:vAlign w:val="bottom"/>
          </w:tcPr>
          <w:p>
            <w:pPr>
              <w:jc w:val="center"/>
              <w:ind w:left="1171"/>
              <w:spacing w:after="0" w:line="196" w:lineRule="exact"/>
              <w:rPr>
                <w:sz w:val="20"/>
                <w:szCs w:val="20"/>
                <w:color w:val="auto"/>
              </w:rPr>
            </w:pPr>
            <w:r>
              <w:rPr>
                <w:rFonts w:ascii="Times New Roman" w:cs="Times New Roman" w:eastAsia="Times New Roman" w:hAnsi="Times New Roman"/>
                <w:sz w:val="18"/>
                <w:szCs w:val="18"/>
                <w:color w:val="auto"/>
              </w:rPr>
              <w:t>107</w:t>
            </w:r>
          </w:p>
        </w:tc>
      </w:tr>
      <w:tr>
        <w:trPr>
          <w:trHeight w:val="20"/>
        </w:trPr>
        <w:tc>
          <w:tcPr>
            <w:tcW w:w="8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120"/>
          </w:cols>
          <w:pgMar w:left="320" w:top="455"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Sixth Street Lending Partners is filing this registration statement on Form 10 (the “Registration Statement”) with the Securities and Exchange Commission (the “SEC”) under the Securities Exchange Act of 1934, as amended (the “Exchange Act”), on a voluntary basis in order to permit it to file an election to be regulated as a business development company (a “BDC”) under the Investment Company Act of 1940, as amended (the “1940 Act”), and to provide current public information to the investment community and comply with applicable requirements for the possible future quotation or listing of its securities on a national securities exchange or other public trading market.</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Unless indicated otherwise in this Registration Statement or the context requires otherwise, the terms:</w:t>
      </w:r>
    </w:p>
    <w:p>
      <w:pPr>
        <w:spacing w:after="0" w:line="131" w:lineRule="exact"/>
        <w:rPr>
          <w:sz w:val="20"/>
          <w:szCs w:val="20"/>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terms “we,” “us,” “our,” and the “Fund” refer to Sixth Street Lending Partners</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“Sixth Street” refers collectively to Sixth Street Partners, LLC and its subsidiaries and affiliated entities;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“Adviser,” and our “investment adviser” refer to Sixth Street Lending Partners Advisers, LLC, our investment adviser;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“Administrator” and our “administrator” refer to Sixth Street Lending Partners Advisers, LLC, which is also our investment adviser;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“shareholders” refers to holders of our common shares of beneficial interest, par value $0.001 per share (the “Common Shares”).</w:t>
      </w:r>
    </w:p>
    <w:p>
      <w:pPr>
        <w:spacing w:after="0" w:line="227"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Fund is an emerging growth company as defined in the Jumpstart Our Business Startups Act of 2012 (the “JOBS Act”) and the Fund will take advantage of the extended transition period provided in Section 7(a)(2)(B) of the Securities Act of 1933, as amended (the “Securities Act”).</w:t>
      </w:r>
    </w:p>
    <w:p>
      <w:pPr>
        <w:spacing w:after="0" w:line="162"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Upon the effective date of this Registration Statement, we will be subject to the requirements of Section 13(a) of the Exchange Act, including the rules and regulations promulgated under the Exchange Act, which will require us to file annual reports on Form 10-K, quarterly reports on Form 10-Q, and current reports on Form 8-K. We will also be required to comply with all other obligations of the Exchange Act applicable to issuers filing registration statements pursuant to Section 12(g) of the Exchange Act. Additionally, we will be subject to the proxy rules in Section 14 of the Exchange Act and the Fund, directors, officers, and principal shareholders will be subject to the reporting requirements of Sections 13 and 16 of the Exchange Act.</w:t>
      </w:r>
    </w:p>
    <w:p>
      <w:pPr>
        <w:spacing w:after="0" w:line="1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After filing this Registration Statement, we will file an election to be regulated as a BDC under the 1940 Act as soon as reasonably practical.</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Upon filing of such election, we will become subject to the 1940 Act requirements applicable to BDCs.</w:t>
      </w:r>
    </w:p>
    <w:p>
      <w:pPr>
        <w:spacing w:after="0" w:line="20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Investing in our shares may be considered speculative and involves a high degree of risk, including the following:</w:t>
      </w:r>
    </w:p>
    <w:p>
      <w:pPr>
        <w:spacing w:after="0" w:line="131" w:lineRule="exact"/>
        <w:rPr>
          <w:sz w:val="20"/>
          <w:szCs w:val="20"/>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 investment in our shares is not suitable for you if you might need access to the money you invest in the foreseeable future.</w:t>
      </w:r>
    </w:p>
    <w:p>
      <w:pPr>
        <w:spacing w:after="0" w:line="130" w:lineRule="exact"/>
        <w:rPr>
          <w:rFonts w:ascii="Times New Roman" w:cs="Times New Roman" w:eastAsia="Times New Roman" w:hAnsi="Times New Roman"/>
          <w:sz w:val="18"/>
          <w:szCs w:val="18"/>
          <w:b w:val="1"/>
          <w:bCs w:val="1"/>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You should not expect to be able to sell your shares regardless of how we perform.</w:t>
      </w:r>
    </w:p>
    <w:p>
      <w:pPr>
        <w:spacing w:after="0" w:line="130" w:lineRule="exact"/>
        <w:rPr>
          <w:rFonts w:ascii="Times New Roman" w:cs="Times New Roman" w:eastAsia="Times New Roman" w:hAnsi="Times New Roman"/>
          <w:sz w:val="18"/>
          <w:szCs w:val="18"/>
          <w:b w:val="1"/>
          <w:bCs w:val="1"/>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you are unable to sell your shares, you will be unable to reduce your exposure on any market downturn.</w:t>
      </w:r>
    </w:p>
    <w:p>
      <w:pPr>
        <w:spacing w:after="0" w:line="130" w:lineRule="exact"/>
        <w:rPr>
          <w:rFonts w:ascii="Times New Roman" w:cs="Times New Roman" w:eastAsia="Times New Roman" w:hAnsi="Times New Roman"/>
          <w:sz w:val="18"/>
          <w:szCs w:val="18"/>
          <w:b w:val="1"/>
          <w:bCs w:val="1"/>
          <w:color w:val="auto"/>
        </w:rPr>
      </w:pPr>
    </w:p>
    <w:p>
      <w:pPr>
        <w:ind w:left="1080" w:right="20" w:hanging="424"/>
        <w:spacing w:after="0" w:line="286" w:lineRule="auto"/>
        <w:tabs>
          <w:tab w:leader="none" w:pos="10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do not intend to list our shares on any securities exchange for what may be a significant time and we do not expect a secondary market in the shares to develop.</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00"/>
          </w:cols>
          <w:pgMar w:left="320" w:top="455" w:right="4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080" w:right="180" w:hanging="424"/>
        <w:spacing w:after="0" w:line="268" w:lineRule="auto"/>
        <w:tabs>
          <w:tab w:leader="none" w:pos="10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Our distributions may be funded from unlimited amounts of offering proceeds or borrowings, which may constitute a return of capital and reduce the amount of capital available to us for investment. Any capital returned to you through distributions will be distributed after payment of fees and expenses.</w:t>
      </w:r>
    </w:p>
    <w:p>
      <w:pPr>
        <w:spacing w:after="0" w:line="76" w:lineRule="exact"/>
        <w:rPr>
          <w:rFonts w:ascii="Times New Roman" w:cs="Times New Roman" w:eastAsia="Times New Roman" w:hAnsi="Times New Roman"/>
          <w:sz w:val="18"/>
          <w:szCs w:val="18"/>
          <w:b w:val="1"/>
          <w:bCs w:val="1"/>
          <w:color w:val="auto"/>
        </w:rPr>
      </w:pPr>
    </w:p>
    <w:p>
      <w:pPr>
        <w:ind w:left="1080" w:right="40" w:hanging="424"/>
        <w:spacing w:after="0" w:line="262" w:lineRule="auto"/>
        <w:tabs>
          <w:tab w:leader="none" w:pos="10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will invest in securities that are rated below investment grade by rating agencies or that would be rated below investment grade if they were rated. Below investment grade securities, which are often referred to as “junk,” have predominantly speculative characteristics with respect to the issuer’s capacity to pay interest and repay principal. They may also be difficult to value and are illiquid.</w:t>
      </w:r>
    </w:p>
    <w:p>
      <w:pPr>
        <w:spacing w:after="0" w:line="81" w:lineRule="exact"/>
        <w:rPr>
          <w:rFonts w:ascii="Times New Roman" w:cs="Times New Roman" w:eastAsia="Times New Roman" w:hAnsi="Times New Roman"/>
          <w:sz w:val="18"/>
          <w:szCs w:val="18"/>
          <w:b w:val="1"/>
          <w:bCs w:val="1"/>
          <w:color w:val="auto"/>
        </w:rPr>
      </w:pPr>
    </w:p>
    <w:p>
      <w:pPr>
        <w:ind w:left="1080" w:right="240" w:hanging="424"/>
        <w:spacing w:after="0" w:line="286" w:lineRule="auto"/>
        <w:tabs>
          <w:tab w:leader="none" w:pos="10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 investment in the Fund is suitable only for sophisticated investors and requires the financial ability and willingness to accept the high risks and lack of liquidity inherent in an investment in the Fund.</w:t>
      </w:r>
    </w:p>
    <w:p>
      <w:pPr>
        <w:spacing w:after="0" w:line="60" w:lineRule="exact"/>
        <w:rPr>
          <w:rFonts w:ascii="Times New Roman" w:cs="Times New Roman" w:eastAsia="Times New Roman" w:hAnsi="Times New Roman"/>
          <w:sz w:val="18"/>
          <w:szCs w:val="18"/>
          <w:b w:val="1"/>
          <w:bCs w:val="1"/>
          <w:color w:val="auto"/>
        </w:rPr>
      </w:pPr>
    </w:p>
    <w:p>
      <w:pPr>
        <w:ind w:left="1080" w:right="180" w:hanging="424"/>
        <w:spacing w:after="0" w:line="286" w:lineRule="auto"/>
        <w:tabs>
          <w:tab w:leader="none" w:pos="10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Fund intends to invest primarily in privately-held companies for which very little public information exists. Such companies are also generally more vulnerable to economic downturns and may experience substantial variations in operating results.</w:t>
      </w:r>
    </w:p>
    <w:p>
      <w:pPr>
        <w:spacing w:after="0" w:line="155"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As a result, there is a risk of a substantial loss of your investment. See “</w:t>
      </w:r>
      <w:r>
        <w:rPr>
          <w:rFonts w:ascii="Times New Roman" w:cs="Times New Roman" w:eastAsia="Times New Roman" w:hAnsi="Times New Roman"/>
          <w:sz w:val="18"/>
          <w:szCs w:val="18"/>
          <w:b w:val="1"/>
          <w:bCs w:val="1"/>
          <w:i w:val="1"/>
          <w:iCs w:val="1"/>
          <w:color w:val="auto"/>
        </w:rPr>
        <w:t>Item 1A. Risk Factors</w:t>
      </w:r>
      <w:r>
        <w:rPr>
          <w:rFonts w:ascii="Times New Roman" w:cs="Times New Roman" w:eastAsia="Times New Roman" w:hAnsi="Times New Roman"/>
          <w:sz w:val="18"/>
          <w:szCs w:val="18"/>
          <w:b w:val="1"/>
          <w:bCs w:val="1"/>
          <w:color w:val="auto"/>
        </w:rPr>
        <w:t>” for more information about these and other risks relating to our shares.</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left="120" w:right="80" w:firstLine="440"/>
        <w:spacing w:after="0" w:line="273" w:lineRule="auto"/>
        <w:rPr>
          <w:sz w:val="20"/>
          <w:szCs w:val="20"/>
          <w:color w:val="auto"/>
        </w:rPr>
      </w:pPr>
      <w:r>
        <w:rPr>
          <w:rFonts w:ascii="Times New Roman" w:cs="Times New Roman" w:eastAsia="Times New Roman" w:hAnsi="Times New Roman"/>
          <w:sz w:val="17"/>
          <w:szCs w:val="17"/>
          <w:color w:val="auto"/>
        </w:rPr>
        <w:t>This Registration Statement contains forward-looking statements that involve substantial known and unknown risks, uncertainties and other factors. Undue reliance should not be placed on such statements. These forward-looking statements are not historical facts, but rather are based on current expectations, estimates and projections about our company,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w:t>
      </w:r>
    </w:p>
    <w:p>
      <w:pPr>
        <w:spacing w:after="0" w:line="77" w:lineRule="exact"/>
        <w:rPr>
          <w:sz w:val="20"/>
          <w:szCs w:val="20"/>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operating results;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prospects and the prospects of the companies in which we may invest;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investments that we expect to make;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sufficient capital to execute our investment strategy;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portfolio companies to achieve their objectives;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and expected financing arrangements and investments;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general interest rate environment;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cash resources, financing sources and working capital;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cash flows, distributions and dividends, if any, from our portfolio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contractual arrangements and relationships with third parties;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55"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and potential conflicts of interest with Sixth Street, the Adviser and its affiliates, and its senior investment team;</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dependence of our future success on the general economy and its effect on the industries in which we may invest;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financial leverage;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Adviser to locate suitable investments for us and to monitor and administer our investments;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Adviser or its affiliates to attract and retain highly talented professionals;</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qualify and maintain our qualification as a BDC and as a regulated investment company (“RIC”) under the Internal Revenue Code of 1986, as amended (the “Code”);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business of the Dodd-Frank Act and the rules and regulations issued thereunder;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changes to tax legislation and our tax position;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status of the enterprises in which we may invest.</w:t>
      </w:r>
    </w:p>
    <w:p>
      <w:pPr>
        <w:spacing w:after="0" w:line="225"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81" w:lineRule="exact"/>
        <w:rPr>
          <w:sz w:val="20"/>
          <w:szCs w:val="20"/>
          <w:color w:val="auto"/>
        </w:rPr>
      </w:pPr>
    </w:p>
    <w:p>
      <w:pPr>
        <w:ind w:left="1080" w:right="400" w:hanging="424"/>
        <w:spacing w:after="0" w:line="266"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changes in political, economic or industry conditions, and changes in the interest rate environment or other conditions affecting the financial and capital markets, including with respect to changes resulting from or in response to, or potentially even the absence of changes as a result of, the impact of the Coronavirus (“COVID-19”) pandemic;</w:t>
      </w:r>
    </w:p>
    <w:p>
      <w:pPr>
        <w:spacing w:after="0" w:line="81" w:lineRule="exact"/>
        <w:rPr>
          <w:rFonts w:ascii="Times New Roman" w:cs="Times New Roman" w:eastAsia="Times New Roman" w:hAnsi="Times New Roman"/>
          <w:sz w:val="18"/>
          <w:szCs w:val="18"/>
          <w:color w:val="auto"/>
        </w:rPr>
      </w:pPr>
    </w:p>
    <w:p>
      <w:pPr>
        <w:ind w:left="1080" w:right="200" w:hanging="424"/>
        <w:spacing w:after="0" w:line="261"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and duration of the COVID-19 outbreak in the United States as well as worldwide, and the magnitude of its impact and time required for economic recovery, including with respect to the impact of travel restrictions and other isolation and quarantine measures on the ability of the Adviser’s investment professionals to conduct in-person diligence on, and otherwise monitor, existing and future investments;</w:t>
      </w:r>
    </w:p>
    <w:p>
      <w:pPr>
        <w:spacing w:after="0" w:line="85" w:lineRule="exact"/>
        <w:rPr>
          <w:rFonts w:ascii="Times New Roman" w:cs="Times New Roman" w:eastAsia="Times New Roman" w:hAnsi="Times New Roman"/>
          <w:sz w:val="18"/>
          <w:szCs w:val="18"/>
          <w:color w:val="auto"/>
        </w:rPr>
      </w:pPr>
    </w:p>
    <w:p>
      <w:pPr>
        <w:jc w:val="both"/>
        <w:ind w:left="1080" w:hanging="424"/>
        <w:spacing w:after="0" w:line="261"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economic downturn and the time period required for robust economic recovery therefrom, including the current economic downturn as a result of the impact of the COVID-19 pandemic, which will likely have a material impact on our portfolio companies’ results of operations and financial condition for its duration, which could lead to the loss of some or all of our investments in such portfolio companies and have a material adverse effect on our results of operations and financial condition;</w:t>
      </w:r>
    </w:p>
    <w:p>
      <w:pPr>
        <w:spacing w:after="0" w:line="85" w:lineRule="exact"/>
        <w:rPr>
          <w:rFonts w:ascii="Times New Roman" w:cs="Times New Roman" w:eastAsia="Times New Roman" w:hAnsi="Times New Roman"/>
          <w:sz w:val="18"/>
          <w:szCs w:val="18"/>
          <w:color w:val="auto"/>
        </w:rPr>
      </w:pPr>
    </w:p>
    <w:p>
      <w:pPr>
        <w:ind w:left="1080" w:right="240" w:hanging="424"/>
        <w:spacing w:after="0" w:line="266"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entry into an agreement with a lender, a contraction of available credit and/or an inability to access capital markets or additional sources of liquidity, including as a result of the impact and duration of the COVID-19 pandemic, could have a material adverse effect on our results of operations and financial condition and impair our lending and investment activities;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volatility could adversely affect our results, particularly given that we use leverage as part of our investment strategy;</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fluctuations could adversely affect the results of our investments in foreign companies, particularly to the extent that we receive payments denominated in foreign currency rather than U.S. dollars;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40"/>
          </w:cols>
          <w:pgMar w:left="320" w:top="455"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12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possible disruption in our or our portfolio companies’ operations due to wars and other forms of conflict, terrorist acts, security operations and catastrophic events such as fires, floods, earthquakes, tornadoes, hurricanes and global health epidemics; and</w:t>
      </w:r>
    </w:p>
    <w:p>
      <w:pPr>
        <w:spacing w:after="0" w:line="65" w:lineRule="exact"/>
        <w:rPr>
          <w:rFonts w:ascii="Times New Roman" w:cs="Times New Roman" w:eastAsia="Times New Roman" w:hAnsi="Times New Roman"/>
          <w:sz w:val="18"/>
          <w:szCs w:val="18"/>
          <w:color w:val="auto"/>
        </w:rPr>
      </w:pPr>
    </w:p>
    <w:p>
      <w:pPr>
        <w:ind w:left="1080" w:right="80" w:hanging="424"/>
        <w:spacing w:after="0" w:line="284"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uncertainties and other factors we identify in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in this Registration Statement, and in our other filings with the SEC that we make from time to time.</w:t>
      </w:r>
    </w:p>
    <w:p>
      <w:pPr>
        <w:spacing w:after="0" w:line="160"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Although we believe that the assumptions on which these forward-looking statements are based are reasonable, any of the assumptions could prove to be inaccurate, and as a result, the forward-looking statements based on those assumptions also could be inaccurate. In light of these and other uncertainties, the inclusion of a projection or forward-looking statement in this Registration Statement should not be regarded as a representation by us that our plans and objectives will be achieved. These risks and uncertainties include those described or identified in the section entitled “</w:t>
      </w:r>
      <w:r>
        <w:rPr>
          <w:rFonts w:ascii="Times New Roman" w:cs="Times New Roman" w:eastAsia="Times New Roman" w:hAnsi="Times New Roman"/>
          <w:sz w:val="18"/>
          <w:szCs w:val="18"/>
          <w:i w:val="1"/>
          <w:iCs w:val="1"/>
          <w:color w:val="auto"/>
        </w:rPr>
        <w:t>Item 1A. 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 and elsewhere in this Registration Statement. You should not place undue reliance on these forward-looking statements, which apply only as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date of this Registration Statement. Moreover, we assume no duty and do not undertake to update the forward-looking statements and projections contained in this Registration Statement are excluded from the safe harbor protection provided by Section 27A of the Securities Act and Section 21E of the Exchange Act.</w:t>
      </w:r>
    </w:p>
    <w:p>
      <w:pPr>
        <w:spacing w:after="0" w:line="336"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color w:val="auto"/>
        </w:rPr>
        <w:t>ITEM 1.</w:t>
      </w:r>
      <w:r>
        <w:rPr>
          <w:sz w:val="20"/>
          <w:szCs w:val="20"/>
          <w:color w:val="auto"/>
        </w:rPr>
        <w:tab/>
      </w:r>
      <w:r>
        <w:rPr>
          <w:rFonts w:ascii="Times New Roman" w:cs="Times New Roman" w:eastAsia="Times New Roman" w:hAnsi="Times New Roman"/>
          <w:sz w:val="18"/>
          <w:szCs w:val="18"/>
          <w:b w:val="1"/>
          <w:bCs w:val="1"/>
          <w:color w:val="auto"/>
        </w:rPr>
        <w:t>BUSINESS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Fund</w:t>
      </w:r>
    </w:p>
    <w:p>
      <w:pPr>
        <w:spacing w:after="0" w:line="121"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We are organized as a Delaware statutory trust named Sixth Street Lending Partners. We are a newly-organized, non-diversified, closed-end management investment company that intends to elect to be regulated as a BDC under the 1940 Act. In addition, we expect to elect to be treated as a RIC under Subchapter M of the Code, and we expect to qualify as a RIC annually thereafter. As a BDC and a RIC, we must comply with certain regulatory requirements. See “</w:t>
      </w:r>
      <w:r>
        <w:rPr>
          <w:rFonts w:ascii="Times New Roman" w:cs="Times New Roman" w:eastAsia="Times New Roman" w:hAnsi="Times New Roman"/>
          <w:sz w:val="18"/>
          <w:szCs w:val="18"/>
          <w:i w:val="1"/>
          <w:iCs w:val="1"/>
          <w:color w:val="auto"/>
        </w:rPr>
        <w:t>Item 1. Business—Regulation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Item 1. Business—Material U.S. Federal Income Tax Considerations.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investment objective is to generate current income by targeting investments with favorable risk-adjusted returns.</w:t>
      </w:r>
    </w:p>
    <w:p>
      <w:pPr>
        <w:spacing w:after="0" w:line="225"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We seek to generate current income and long-term capital appreciation primarily by investing in U.S.-domiciled upper middle-market companies through direct originations of senior secured loans and, to a lesser extent, originations of mezzanine and unsecured loans and investments in corporate bonds, equity securities, and other instruments.</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By “upper middle-market companies,” we mean companies that have annual EBITDA, which we believe is a useful proxy for cash flow, of greater than $75 million, although we may invest in smaller companies on occasion. 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187"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We seek to create a portfolio that includes primarily senior secured by primarily investing approximately $200 million to $500 million of capital, on average, in the securities of upper middle-market companies.</w:t>
      </w:r>
    </w:p>
    <w:p>
      <w:pPr>
        <w:spacing w:after="0" w:line="162"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debt in which we invest typically is not rated by any rating agency, but if these instruments were rated, they would likely receive a rating of below investment grade (that is, below BBB- or Baa3), which is often referred to as “junk.”</w:t>
      </w:r>
    </w:p>
    <w:p>
      <w:pPr>
        <w:spacing w:after="0" w:line="3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40"/>
          </w:cols>
          <w:pgMar w:left="320" w:top="455"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may, but are not required to, enter into interest rate, foreign exchange or other derivative agreements to hedge interest rate, currency, credit or other risks, but we do not generally intend to enter into any such derivative agreements for speculative purposes. Any derivative agreements entered into for speculative purposes are not expected to be material to our business or results of operations. These hedging activities, which will be in compliance with applicable legal and regulatory requirements, may include the use of futures, options and forward contracts. We will bear the costs incurred in connection with entering into, administering and settling any such derivative contracts. There can be no assurance any hedging strategy we employ will be successful.</w:t>
      </w:r>
    </w:p>
    <w:p>
      <w:pPr>
        <w:spacing w:after="0" w:line="187"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intend to employ leverage as market conditions permit and at the discretion of the Adviser, but in no event will leverage employed exceed the limitations set forth in the 1940 Act. Pursuant to the 1940 Act, we are required to have an asset coverage of at least 150% (i.e., the amount of debt may not exceed two-thirds of the value of our assets). We intend to use leverage in the form of borrowings, including loans from certain financial institutions and the issuance of debt securities. We may also use leverage in the form of the issuance of preferred shares, but do not currently intend to do so. In determining whether to borrow money, we will analyze the maturity, covenant package and rate structure of the proposed borrowings as well as the risks of such borrowings compared to our investment outlook. Any such leverage, if incurred, would be expected to increase the total capital available for investment by us.</w:t>
      </w:r>
    </w:p>
    <w:p>
      <w:pPr>
        <w:spacing w:after="0" w:line="189"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We expect to conduct private offerings of our Common Shares to investors in reliance on exemptions from the registration requirements of the Securities Act. See “</w:t>
      </w:r>
      <w:r>
        <w:rPr>
          <w:rFonts w:ascii="Times New Roman" w:cs="Times New Roman" w:eastAsia="Times New Roman" w:hAnsi="Times New Roman"/>
          <w:sz w:val="18"/>
          <w:szCs w:val="18"/>
          <w:i w:val="1"/>
          <w:iCs w:val="1"/>
          <w:color w:val="auto"/>
        </w:rPr>
        <w:t>Item 1. Business—The Private Offering</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Sixth Street</w:t>
      </w:r>
    </w:p>
    <w:p>
      <w:pPr>
        <w:spacing w:after="0" w:line="12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Sixth Street is a global investment business with over $60 billion of assets under management across a number of core platforms.</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xml:space="preserve"> Sixth Street conducts its investment activities primarily through the following investment platforms:</w:t>
      </w:r>
    </w:p>
    <w:p>
      <w:pPr>
        <w:spacing w:after="0" w:line="63" w:lineRule="exact"/>
        <w:rPr>
          <w:sz w:val="20"/>
          <w:szCs w:val="20"/>
          <w:color w:val="auto"/>
        </w:rPr>
      </w:pPr>
    </w:p>
    <w:p>
      <w:pPr>
        <w:ind w:left="1080" w:right="100" w:hanging="424"/>
        <w:spacing w:after="0" w:line="286" w:lineRule="auto"/>
        <w:tabs>
          <w:tab w:leader="none" w:pos="10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Sixth Street TAO </w:t>
      </w:r>
      <w:r>
        <w:rPr>
          <w:rFonts w:ascii="Times New Roman" w:cs="Times New Roman" w:eastAsia="Times New Roman" w:hAnsi="Times New Roman"/>
          <w:sz w:val="18"/>
          <w:szCs w:val="18"/>
          <w:color w:val="auto"/>
        </w:rPr>
        <w:t>seeks to generate attractive returns through strategies employed by Sixth Street’s other investment platforms while also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serving as home for between-the-box strategies and adjacent opportunities;</w:t>
      </w:r>
    </w:p>
    <w:p>
      <w:pPr>
        <w:spacing w:after="0" w:line="60" w:lineRule="exact"/>
        <w:rPr>
          <w:rFonts w:ascii="Times New Roman" w:cs="Times New Roman" w:eastAsia="Times New Roman" w:hAnsi="Times New Roman"/>
          <w:sz w:val="18"/>
          <w:szCs w:val="18"/>
          <w:color w:val="auto"/>
        </w:rPr>
      </w:pPr>
    </w:p>
    <w:p>
      <w:pPr>
        <w:ind w:left="1080" w:right="300" w:hanging="424"/>
        <w:spacing w:after="0" w:line="286" w:lineRule="auto"/>
        <w:tabs>
          <w:tab w:leader="none" w:pos="10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Sixth Street Opportunities </w:t>
      </w:r>
      <w:r>
        <w:rPr>
          <w:rFonts w:ascii="Times New Roman" w:cs="Times New Roman" w:eastAsia="Times New Roman" w:hAnsi="Times New Roman"/>
          <w:sz w:val="18"/>
          <w:szCs w:val="18"/>
          <w:color w:val="auto"/>
        </w:rPr>
        <w:t>is Sixth Street’s platform for pursuing thematic, control-oriented, actively managed investments exhibiting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downside protection;</w:t>
      </w:r>
    </w:p>
    <w:p>
      <w:pPr>
        <w:spacing w:after="0" w:line="60" w:lineRule="exact"/>
        <w:rPr>
          <w:rFonts w:ascii="Times New Roman" w:cs="Times New Roman" w:eastAsia="Times New Roman" w:hAnsi="Times New Roman"/>
          <w:sz w:val="18"/>
          <w:szCs w:val="18"/>
          <w:color w:val="auto"/>
        </w:rPr>
      </w:pPr>
    </w:p>
    <w:p>
      <w:pPr>
        <w:ind w:left="1080" w:right="320" w:hanging="424"/>
        <w:spacing w:after="0" w:line="268" w:lineRule="auto"/>
        <w:tabs>
          <w:tab w:leader="none" w:pos="10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Sixth Street Growth </w:t>
      </w:r>
      <w:r>
        <w:rPr>
          <w:rFonts w:ascii="Times New Roman" w:cs="Times New Roman" w:eastAsia="Times New Roman" w:hAnsi="Times New Roman"/>
          <w:sz w:val="18"/>
          <w:szCs w:val="18"/>
          <w:color w:val="auto"/>
        </w:rPr>
        <w:t>focuses on the purchase or origination of investments in non-stressed, growth-oriented issuers or borrowers,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particular through growth debt, structured equity and stapled debt and equity opportunities, which are in later stages of development as well as those which are post-venture stage but in a comparatively earlier stage of development;</w:t>
      </w:r>
    </w:p>
    <w:p>
      <w:pPr>
        <w:spacing w:after="0" w:line="76"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Sixth Street Agriculture </w:t>
      </w:r>
      <w:r>
        <w:rPr>
          <w:rFonts w:ascii="Times New Roman" w:cs="Times New Roman" w:eastAsia="Times New Roman" w:hAnsi="Times New Roman"/>
          <w:sz w:val="18"/>
          <w:szCs w:val="18"/>
          <w:color w:val="auto"/>
        </w:rPr>
        <w:t>focuses on agricultural investment opportunities primarily in the 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Specialty Lending </w:t>
      </w:r>
      <w:r>
        <w:rPr>
          <w:rFonts w:ascii="Times New Roman" w:cs="Times New Roman" w:eastAsia="Times New Roman" w:hAnsi="Times New Roman"/>
          <w:sz w:val="18"/>
          <w:szCs w:val="18"/>
          <w:color w:val="auto"/>
        </w:rPr>
        <w:t>is Sixth Street’s Specialty Lending platform, comprised of:</w:t>
      </w:r>
    </w:p>
    <w:p>
      <w:pPr>
        <w:spacing w:after="0" w:line="130" w:lineRule="exact"/>
        <w:rPr>
          <w:rFonts w:ascii="Times New Roman" w:cs="Times New Roman" w:eastAsia="Times New Roman" w:hAnsi="Times New Roman"/>
          <w:sz w:val="18"/>
          <w:szCs w:val="18"/>
          <w:color w:val="auto"/>
        </w:rPr>
      </w:pPr>
    </w:p>
    <w:p>
      <w:pPr>
        <w:ind w:left="2200" w:right="160" w:hanging="545"/>
        <w:spacing w:after="0" w:line="268" w:lineRule="auto"/>
        <w:tabs>
          <w:tab w:leader="none" w:pos="220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Sixth Street Specialty Lending, Inc. </w:t>
      </w:r>
      <w:r>
        <w:rPr>
          <w:rFonts w:ascii="Times New Roman" w:cs="Times New Roman" w:eastAsia="Times New Roman" w:hAnsi="Times New Roman"/>
          <w:sz w:val="18"/>
          <w:szCs w:val="18"/>
          <w:color w:val="auto"/>
        </w:rPr>
        <w:t>(“SLX”) is a New York Stock Exchange-listed, regulated BDC that focuses on 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middle market loan origination investment opportunities. SLX’s investment adviser is Sixth Street Specialty Lending Advisers, LLC; and</w:t>
      </w:r>
    </w:p>
    <w:p>
      <w:pPr>
        <w:spacing w:after="0" w:line="161" w:lineRule="exact"/>
        <w:rPr>
          <w:rFonts w:ascii="Times New Roman" w:cs="Times New Roman" w:eastAsia="Times New Roman" w:hAnsi="Times New Roman"/>
          <w:sz w:val="18"/>
          <w:szCs w:val="18"/>
          <w:color w:val="auto"/>
        </w:rPr>
      </w:pPr>
    </w:p>
    <w:p>
      <w:pPr>
        <w:ind w:left="540" w:hanging="432"/>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AUM presented as of March 31, 2022 includes capital commitments in Opps V, Growth II, and Mid-Stage Growth made through June 13, 2022, of approximately $7.9 billion which were activated on April 1, 2022. AUM presented also includes approximately $2.6 billion in certain assets under advisement by Cadence ALM, a business line of Sixth Street’s insurance platform that is not managed by Sixth Street’s registered investment advisers. Sixth Street assets under management excludes (1) Opps I, which was invested as a series of commitments across multiple vehicles of a former affiliate investment adviser and (2) assets and commitments of certain vehicles established by Sixth Street for the purpose of facilitating third party co-investment opportunities. Calculation of assets under management differs from the calculation of regulatory assets under management and may differ from the calculations of other investment managers, and the calculation of regulatory assets under management excludes assets under advisement by Cadence ALM.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-1134745</wp:posOffset>
            </wp:positionV>
            <wp:extent cx="7715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55"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2200" w:hanging="545"/>
        <w:spacing w:after="0"/>
        <w:tabs>
          <w:tab w:leader="none" w:pos="22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Sixth Street Specialty Lending Europe </w:t>
      </w:r>
      <w:r>
        <w:rPr>
          <w:rFonts w:ascii="Times New Roman" w:cs="Times New Roman" w:eastAsia="Times New Roman" w:hAnsi="Times New Roman"/>
          <w:sz w:val="18"/>
          <w:szCs w:val="18"/>
          <w:color w:val="auto"/>
        </w:rPr>
        <w:t>focuses on European middle-market loan origination investment opportunities;</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6"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Sixth Street Fundamental Strategies </w:t>
      </w:r>
      <w:r>
        <w:rPr>
          <w:rFonts w:ascii="Times New Roman" w:cs="Times New Roman" w:eastAsia="Times New Roman" w:hAnsi="Times New Roman"/>
          <w:sz w:val="18"/>
          <w:szCs w:val="18"/>
          <w:color w:val="auto"/>
        </w:rPr>
        <w:t>seeks to generate attractive risk-adjusted returns across credit cycles primarily through the purchase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secondary stressed credit along with other special situations investments;</w:t>
      </w:r>
    </w:p>
    <w:p>
      <w:pPr>
        <w:spacing w:after="0" w:line="60" w:lineRule="exact"/>
        <w:rPr>
          <w:rFonts w:ascii="Times New Roman" w:cs="Times New Roman" w:eastAsia="Times New Roman" w:hAnsi="Times New Roman"/>
          <w:sz w:val="18"/>
          <w:szCs w:val="18"/>
          <w:color w:val="auto"/>
        </w:rPr>
      </w:pPr>
    </w:p>
    <w:p>
      <w:pPr>
        <w:ind w:left="1080" w:right="20" w:hanging="424"/>
        <w:spacing w:after="0" w:line="257"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Sixth Street Credit Market Strategies </w:t>
      </w:r>
      <w:r>
        <w:rPr>
          <w:rFonts w:ascii="Times New Roman" w:cs="Times New Roman" w:eastAsia="Times New Roman" w:hAnsi="Times New Roman"/>
          <w:sz w:val="18"/>
          <w:szCs w:val="18"/>
          <w:color w:val="auto"/>
        </w:rPr>
        <w:t>(“Credit Market Strategies”) focuses on the purchase of performing corporate credit and structured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products. Credit Market Strategies sponsors and manages collateralized loan obligation issuers (“CLOs” and, such CLOs, “Sixth Street-managed CLOs”); funds that invest predominantly in the CLO Equity of Sixth Street-managed CLOs; and separately managed accounts (“SMAs”), funds of one and funds that pursue investment strategies that include acquiring and holding interests in CLO Equity, investment and non-investment grade CLO liabilities, leveraged loans, second lien loans, high yield bonds and other credit investments (collectively, “Credit Market Strategies Entities”);</w:t>
      </w:r>
    </w:p>
    <w:p>
      <w:pPr>
        <w:spacing w:after="0" w:line="87" w:lineRule="exact"/>
        <w:rPr>
          <w:rFonts w:ascii="Times New Roman" w:cs="Times New Roman" w:eastAsia="Times New Roman" w:hAnsi="Times New Roman"/>
          <w:sz w:val="18"/>
          <w:szCs w:val="18"/>
          <w:color w:val="auto"/>
        </w:rPr>
      </w:pPr>
    </w:p>
    <w:p>
      <w:pPr>
        <w:ind w:left="1080" w:right="140" w:hanging="424"/>
        <w:spacing w:after="0" w:line="268"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Sixth Street Infrastructure </w:t>
      </w:r>
      <w:r>
        <w:rPr>
          <w:rFonts w:ascii="Times New Roman" w:cs="Times New Roman" w:eastAsia="Times New Roman" w:hAnsi="Times New Roman"/>
          <w:sz w:val="18"/>
          <w:szCs w:val="18"/>
          <w:color w:val="auto"/>
        </w:rPr>
        <w:t>focuses on investments in companies and for assets in the global infrastructure and renewable energy spaces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primarily in the form of equity, debt, and structured investments. Investments include, but are not limited to, solar, wind, hydroelectric power, conventional power, midstream, and social infrastructure; and</w:t>
      </w:r>
    </w:p>
    <w:p>
      <w:pPr>
        <w:spacing w:after="0" w:line="76" w:lineRule="exact"/>
        <w:rPr>
          <w:rFonts w:ascii="Times New Roman" w:cs="Times New Roman" w:eastAsia="Times New Roman" w:hAnsi="Times New Roman"/>
          <w:sz w:val="18"/>
          <w:szCs w:val="18"/>
          <w:color w:val="auto"/>
        </w:rPr>
      </w:pPr>
    </w:p>
    <w:p>
      <w:pPr>
        <w:ind w:left="1080" w:right="540" w:hanging="424"/>
        <w:spacing w:after="0" w:line="259"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Sixth Street Insurance </w:t>
      </w:r>
      <w:r>
        <w:rPr>
          <w:rFonts w:ascii="Times New Roman" w:cs="Times New Roman" w:eastAsia="Times New Roman" w:hAnsi="Times New Roman"/>
          <w:sz w:val="18"/>
          <w:szCs w:val="18"/>
          <w:color w:val="auto"/>
        </w:rPr>
        <w:t>focuses on strategic partnerships, corporate acquisitions, reinsurance, and insurance company balance sheet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management across the global insurance sector. Sixth Street pursues these opportunities through a dedicated team of investment professionals and insurance experts located across North America and Europe. In connection with such opportunities, Sixth Street Insurance provides asset management services to the portfolio investments of certain funds and has, and may continue to enter into, investment management agreements and/or other advisory arrangements in connection therewith.</w:t>
      </w:r>
    </w:p>
    <w:p>
      <w:pPr>
        <w:spacing w:after="0" w:line="183"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Sixth Street has a long-term oriented, highly flexible capital base that allows it to invest across industries, geographies, capital structures and asset classes. Sixth Street has extensive experience with highly complex, global public and private investments executed through primary originations, secondary market purchases and restructurings, and has a team of over 190 investment professionals.</w:t>
      </w:r>
    </w:p>
    <w:p>
      <w:pPr>
        <w:spacing w:after="0" w:line="176"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Sixth Street manages a series of private investment vehicles, a publicly traded business development company, and, as part of the “Credit Market Strategies” platform, a number of separately managed accounts and collateralized loan obligation (“CLO”) issuers.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Adviser</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Sixth Street Lending Partners Advisers, LLC, or the “Adviser,” is a Delaware limited liability company. The Adviser acts as the Fund’s investment adviser pursuant to an investment advisory agreement (the “Advisory Agreement”) with the Fund, and is a registered investment adviser with the SEC under the Investment Advisers Act of 1940, as amended (the “Advisers Act”).</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Adviser sources and manages the Fund’s portfolio through a team of investment professionals (the “Investment Team”). Our Investment Team is led by our Chairman and Chief Executive Officer and our Adviser’s Co-Chief Investment Officer, Joshua Easterly and our Adviser’s Co-Chief Investment Officer, Alan Waxman, both of whom have substantial experience in credit origination, underwriting and asset management. Our investment decisions will be made by our Investment Review Committee, which includes senior personnel of our Adviser and Sixth Street. The members of our Investment Review Committee currently include Joshua Easterly, Alan Waxman, Brian D’Arcy, Michael Fishman, Michael Griffin, Robert (“Bo”) Stanley and David Stiepleman. However, the members of the Investment Review Committee may change over time.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Adviser is responsible for managing our day-to-day business affairs, including implementing investment policies and strategic initiatives set by our Investment Team and managing our portfolio under the general oversight of our Investment Review Committee.</w:t>
      </w:r>
    </w:p>
    <w:p>
      <w:pPr>
        <w:spacing w:after="0" w:line="162"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On June 28, 2022, we entered into the Investment Advisory Agreement with our Adviser. Under the Advisory Agreement, the Adviser provides investment advisory services to us.</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Adviser’s services under the Advisory Agreement are not exclusive, and the Adviser is free to furnish similar or other services to others so long as its services to us are not impaired. Under the terms of the Advisory Agreement, we will pay the Adviser a base management fee (the “Management Fee”) and an incentive fee (the “Incentive Fee”). For a discussion of the Management Fee and Incentive Fee payable by us to the Adviser, see “</w:t>
      </w:r>
      <w:r>
        <w:rPr>
          <w:rFonts w:ascii="Times New Roman" w:cs="Times New Roman" w:eastAsia="Times New Roman" w:hAnsi="Times New Roman"/>
          <w:sz w:val="18"/>
          <w:szCs w:val="18"/>
          <w:i w:val="1"/>
          <w:iCs w:val="1"/>
          <w:color w:val="auto"/>
        </w:rPr>
        <w:t>Management Agreements—Advisory Agreement; Administration Agreement; License Agreement</w:t>
      </w:r>
      <w:r>
        <w:rPr>
          <w:rFonts w:ascii="Times New Roman" w:cs="Times New Roman" w:eastAsia="Times New Roman" w:hAnsi="Times New Roman"/>
          <w:sz w:val="18"/>
          <w:szCs w:val="18"/>
          <w:color w:val="auto"/>
        </w:rPr>
        <w:t>.” Our Board monitors the mix and performance of our investments over time and seeks to satisfy itself that the Adviser is acting in our interests and that our fee structure appropriately incentivizes the Adviser to do so.</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Relationship with our Adviser and Sixth Street</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Our Adviser consults with Sixth Street in connection with a substantial number of our investments. The Sixth Street platform provides us with the breadth of large and scalable investment resources. We believe we benefit from Sixth Street’s market expertise, insights into industry, sector and macroeconomic trends and intensive due diligence capabilities, which help us discern market conditions that vary across industries and credit cycles, identify favorable investment opportunities and manage our portfolio of investments. Sixth Street and its affiliates will refer all upper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w:t>
      </w:r>
    </w:p>
    <w:p>
      <w:pPr>
        <w:spacing w:after="0" w:line="187"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We have filed an application with the SEC for an exemptive order to allow us to co-invest, subject to certain conditions, with certain of our affiliates (including affiliates of Sixth Street) in loan origination activities for companies domiciled in the United States and certain “follow-on” investments in such companies. There can be no assurance when or if the SEC will grant us an order in response to our application. Until such time an order is granted, we will not be able to co-invest with our affiliates unless such investment is not prohibited by the 1940 Act.</w:t>
      </w:r>
    </w:p>
    <w:p>
      <w:pPr>
        <w:spacing w:after="0" w:line="180" w:lineRule="exact"/>
        <w:rPr>
          <w:sz w:val="20"/>
          <w:szCs w:val="20"/>
          <w:color w:val="auto"/>
        </w:rPr>
      </w:pPr>
    </w:p>
    <w:p>
      <w:pPr>
        <w:ind w:left="120" w:right="20" w:firstLine="440"/>
        <w:spacing w:after="0" w:line="281" w:lineRule="auto"/>
        <w:rPr>
          <w:sz w:val="20"/>
          <w:szCs w:val="20"/>
          <w:color w:val="auto"/>
        </w:rPr>
      </w:pPr>
      <w:r>
        <w:rPr>
          <w:rFonts w:ascii="Times New Roman" w:cs="Times New Roman" w:eastAsia="Times New Roman" w:hAnsi="Times New Roman"/>
          <w:sz w:val="17"/>
          <w:szCs w:val="17"/>
          <w:color w:val="auto"/>
        </w:rPr>
        <w:t>We believe our ability to co-invest with Sixth Street affiliates is particularly useful where we identify larger capital commitments than otherwise would be appropriate for us. We expect that with the ability to co-invest with Sixth Street affiliates we will be able to provide “one-stop” financing to a potential portfolio company, which may allow us to capture opportunities where we alone could not commit the full amount of required capital or would have to spend additional time to locate unaffiliated co-investors. See “Regulation as a Business Development Company—Affiliated Transactions.”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Administrator</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Sixth Street Lending Partners Advisers, LLC, (the “Administrator”) serves as our Administrator. The principal executive office of Sixth Street Lending Partners Advisers, LLC, is located at 2100 McKinney Avenue, Suite 1500, Dallas, TX 75201. The Administrator provides the administrative services necessary for us to operate pursuant to an administration agreement between us and the Administrator (the “Administration Agreement”). See “</w:t>
      </w:r>
      <w:r>
        <w:rPr>
          <w:rFonts w:ascii="Times New Roman" w:cs="Times New Roman" w:eastAsia="Times New Roman" w:hAnsi="Times New Roman"/>
          <w:sz w:val="18"/>
          <w:szCs w:val="18"/>
          <w:i w:val="1"/>
          <w:iCs w:val="1"/>
          <w:color w:val="auto"/>
        </w:rPr>
        <w:t>Item 1.—Administration Agreement</w:t>
      </w:r>
      <w:r>
        <w:rPr>
          <w:rFonts w:ascii="Times New Roman" w:cs="Times New Roman" w:eastAsia="Times New Roman" w:hAnsi="Times New Roman"/>
          <w:sz w:val="18"/>
          <w:szCs w:val="18"/>
          <w:color w:val="auto"/>
        </w:rPr>
        <w:t>” below for a discussion of the fees and expenses we are required to reimburse to the Administrator.</w:t>
      </w:r>
    </w:p>
    <w:p>
      <w:pPr>
        <w:spacing w:after="0" w:line="180"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Administrator, on behalf of us and at our expense, may retain one or more service providers that may also be affiliates of Sixth Street to serve as sub-administrator, custodian, accounting agent, investor services agent, transfer agent or other service provider for us. Any fees we pay, or indemnification obligations we undertake, in respect of the administrator and those other service providers that are Sixth Street affiliates, will be set at arm’s length and approved by the Independent Trustees (as defined below).</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00"/>
          </w:cols>
          <w:pgMar w:left="320" w:top="455" w:right="4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Board of Trustees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Overall responsibility for the Fund’s oversight rests with the Board of Trustees of the Fund (the “Board” or “Board of Trustees”). We intend to enter into the Advisory Agreement with the Adviser, pursuant to which the Adviser will manage the Fund on a day-to-day basis. The Board is responsible for overseeing the Adviser and other service providers in our operations in accordance with the provisions of the 1940 Act, the Fund’s Declaration of Trust (the “Declaration of Trust”) and applicable provisions of state and other laws. The Adviser will keep the Board well informed as to the Adviser’s activities on our behalf and our investment operations and provide the Board with additional information as the Board may, from time to time, request. The Board of Trustees is currently composed of seven members, four of whom are trustees who are not “interested persons” of the Fund or the Adviser as defined in the 1940 Act (“Independent Trustees”). The Board of Trustees meets at regularly scheduled quarterly meetings each year. In addition, the Board of Trustees may hold special in-person or telephonic meetings or informal conference calls to discuss specific matters that may arise or require action between regular meetings. As described below, the Board of Trustees has established a Nominating and Corporate Governance Committee and an Audit Committee, and may establish ad hoc committees or working groups from time to time, to assist the Board of Trustees in fulfilling its oversight responsibilities.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Investment Strategy</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investment objective is to generate current income by targeting investments with favorable risk-adjusted returns.</w:t>
      </w:r>
    </w:p>
    <w:p>
      <w:pPr>
        <w:spacing w:after="0" w:line="225"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will seek to generate current income and long-term capital appreciation primarily by investing in U.S.-domiciled upper middle-market companies through direct originations of senior secured loans and, to a lesser extent, originations of mezzanine and unsecured loans and investments in corporate bonds, equity securities, and other instruments.</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By “upper middle-market companies,” we mean companies that have annual EBITDA, which we believe is a useful proxy for cash flow, of greater than $75 million, although we may invest in smaller companies on occasion. 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187"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We will seek to create a portfolio that includes primarily senior secured by primarily investing approximately $200 million to $500 million of capital, on average, in the securities of upper middle-market companies.</w:t>
      </w:r>
    </w:p>
    <w:p>
      <w:pPr>
        <w:spacing w:after="0" w:line="16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may, but are not required to, enter into interest rate, foreign exchange or other derivative agreements to hedge interest rate, currency, credit or other risks, but we do not generally intend to enter into any such derivative agreements for speculative purposes. Any derivative agreements entered into for speculative purposes are not expected to be material to our business or results of operations. These hedging activities, which will be in compliance with applicable legal and regulatory requirements, may include the use of futures, options and forward contracts. We will bear the costs incurred in connection with entering into, administering and settling any such derivative contracts. There can be no assurance any hedging strategy we employ will be successful.</w:t>
      </w:r>
    </w:p>
    <w:p>
      <w:pPr>
        <w:spacing w:after="0" w:line="187"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We intend to employ leverage as market conditions permit and at the discretion of the Adviser, but in no event will leverage employed exceed the limitations set forth in the 1940 Act. Pursuant to the 1940 Act, we are required to have an asset coverage of at least 150% (i.e., the amount of debt may not exceed two-thirds of the value of our assets). We intend to use leverage in the form of borrowings, including loans from certain financial institutions and the issuance of debt securities. We may also use leverage in the form of the issuance of preferred shares, but do not currently intend to do so. In determining whether to borrow money, we will analyze the maturity, covenant package and rate structure of the proposed borrowings as well as the risks of such borrowings compared to our investment outlook. Any such leverage, if incurred, would be expected to increase the total capital available for investment by us.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40"/>
          </w:cols>
          <w:pgMar w:left="320" w:top="455"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Structure of Investments</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We will seek to generate current income and long-term capital appreciation primarily by investing in U.S.-domiciled upper middle-market companies through direct originations of senior secured loans and, to a lesser extent, originations of mezzanine and unsecured loans and investments in corporate bonds, equity securities, and other instruments.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Debt Investments</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terms of our debt investments are tailored to the facts and circumstances of each transaction and prospective portfolio company. We negotiate the structure of each investment to protect our rights and manage our risk while providing funding to help the portfolio company achieve its business plan. We invest in the following types of debt:</w:t>
      </w:r>
    </w:p>
    <w:p>
      <w:pPr>
        <w:spacing w:after="0" w:line="77" w:lineRule="exact"/>
        <w:rPr>
          <w:sz w:val="20"/>
          <w:szCs w:val="20"/>
          <w:color w:val="auto"/>
        </w:rPr>
      </w:pPr>
    </w:p>
    <w:p>
      <w:pPr>
        <w:ind w:left="1080" w:right="140" w:hanging="424"/>
        <w:spacing w:after="0" w:line="26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First-lien debt. </w:t>
      </w:r>
      <w:r>
        <w:rPr>
          <w:rFonts w:ascii="Times New Roman" w:cs="Times New Roman" w:eastAsia="Times New Roman" w:hAnsi="Times New Roman"/>
          <w:sz w:val="18"/>
          <w:szCs w:val="18"/>
          <w:color w:val="auto"/>
        </w:rPr>
        <w:t>First-lien debt is typically senior on a lien basis to other liabilities in the issuer’s capital structure and has the benefit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first-priority security interest in assets of the issuer. The security interest ranks above the security interest of any second-lien lenders in those assets. Our first-lien debt may include stand-alone first-lien loans, “last out” first-lien loans, “unitranche” loans and secured corporate bonds with similar features to these categories of first-lien loans.</w:t>
      </w:r>
    </w:p>
    <w:p>
      <w:pPr>
        <w:spacing w:after="0" w:line="81" w:lineRule="exact"/>
        <w:rPr>
          <w:rFonts w:ascii="Times New Roman" w:cs="Times New Roman" w:eastAsia="Times New Roman" w:hAnsi="Times New Roman"/>
          <w:sz w:val="18"/>
          <w:szCs w:val="18"/>
          <w:color w:val="auto"/>
        </w:rPr>
      </w:pPr>
    </w:p>
    <w:p>
      <w:pPr>
        <w:ind w:left="1080" w:right="160" w:hanging="424"/>
        <w:spacing w:after="0" w:line="286"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Stand-alone first-lien loans</w:t>
      </w:r>
      <w:r>
        <w:rPr>
          <w:rFonts w:ascii="Times New Roman" w:cs="Times New Roman" w:eastAsia="Times New Roman" w:hAnsi="Times New Roman"/>
          <w:sz w:val="18"/>
          <w:szCs w:val="18"/>
          <w:color w:val="auto"/>
        </w:rPr>
        <w:t>. Stand-alone first-lien loans are traditional first-lien loans. All lenders in the facility have equal rights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collateral that is subject to the first-priority security interest.</w:t>
      </w:r>
    </w:p>
    <w:p>
      <w:pPr>
        <w:spacing w:after="0" w:line="60" w:lineRule="exact"/>
        <w:rPr>
          <w:rFonts w:ascii="Times New Roman" w:cs="Times New Roman" w:eastAsia="Times New Roman" w:hAnsi="Times New Roman"/>
          <w:sz w:val="18"/>
          <w:szCs w:val="18"/>
          <w:color w:val="auto"/>
        </w:rPr>
      </w:pPr>
    </w:p>
    <w:p>
      <w:pPr>
        <w:ind w:left="1080" w:hanging="424"/>
        <w:spacing w:after="0" w:line="255"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“Last out” first-lien loans. </w:t>
      </w:r>
      <w:r>
        <w:rPr>
          <w:rFonts w:ascii="Times New Roman" w:cs="Times New Roman" w:eastAsia="Times New Roman" w:hAnsi="Times New Roman"/>
          <w:sz w:val="18"/>
          <w:szCs w:val="18"/>
          <w:color w:val="auto"/>
        </w:rPr>
        <w:t>“Last out” first-lien loans have a secondary priority behind super-senior “first out” first-lien loans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collateral securing the loans in certain circumstances. The arrangements for a “last out” first-lien loan are set forth in an “agreement among lenders,” which provides lenders with “first out” and “last out” payment streams based on a single lien on the collateral. Since the “first out” lenders generally have priority over the “last out” lenders for receiving payment under certain specified events of default, or upon the occurrence of other triggering events under intercreditor agreements or agreements among lenders, the “last out” lenders bear a greater risk and, in exchange, receive a higher effective interest rate, through arrangements among the lenders, than the “first out” lenders or lenders in stand-alone first-lien loans. Agreements among lenders also typically provide greater voting rights to the “last out” lenders than the intercreditor agreements to which second-lien lenders often are subject.</w:t>
      </w:r>
    </w:p>
    <w:p>
      <w:pPr>
        <w:spacing w:after="0" w:line="90" w:lineRule="exact"/>
        <w:rPr>
          <w:rFonts w:ascii="Times New Roman" w:cs="Times New Roman" w:eastAsia="Times New Roman" w:hAnsi="Times New Roman"/>
          <w:sz w:val="18"/>
          <w:szCs w:val="18"/>
          <w:color w:val="auto"/>
        </w:rPr>
      </w:pPr>
    </w:p>
    <w:p>
      <w:pPr>
        <w:ind w:left="1080" w:right="80" w:hanging="424"/>
        <w:spacing w:after="0" w:line="268"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“Unitranche” loans. </w:t>
      </w:r>
      <w:r>
        <w:rPr>
          <w:rFonts w:ascii="Times New Roman" w:cs="Times New Roman" w:eastAsia="Times New Roman" w:hAnsi="Times New Roman"/>
          <w:sz w:val="18"/>
          <w:szCs w:val="18"/>
          <w:color w:val="auto"/>
        </w:rPr>
        <w:t>Unitranche loans combine features of first-lien, second-lien and mezzanine debt, generally in a first-lien position.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many cases, we may provide the borrower most, if not all, of the capital structure above the equity. The primary advantages to the borrower are the ability to negotiate the entire debt financing with one lender and the elimination of intercreditor issues.</w:t>
      </w:r>
    </w:p>
    <w:p>
      <w:pPr>
        <w:spacing w:after="0" w:line="76" w:lineRule="exact"/>
        <w:rPr>
          <w:rFonts w:ascii="Times New Roman" w:cs="Times New Roman" w:eastAsia="Times New Roman" w:hAnsi="Times New Roman"/>
          <w:sz w:val="18"/>
          <w:szCs w:val="18"/>
          <w:color w:val="auto"/>
        </w:rPr>
      </w:pPr>
    </w:p>
    <w:p>
      <w:pPr>
        <w:ind w:left="1080" w:right="80" w:hanging="424"/>
        <w:spacing w:after="0" w:line="259"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Second-lien debt. </w:t>
      </w:r>
      <w:r>
        <w:rPr>
          <w:rFonts w:ascii="Times New Roman" w:cs="Times New Roman" w:eastAsia="Times New Roman" w:hAnsi="Times New Roman"/>
          <w:sz w:val="18"/>
          <w:szCs w:val="18"/>
          <w:color w:val="auto"/>
        </w:rPr>
        <w:t>Our second-lien debt may include secured loans, and, to a lesser extent, secured corporate bonds, with a secondary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priority behind first-lien debt. Second-lien debt typically is senior on a lien basis to other liabilities in the issuer’s capital structure and has the benefit of a security interest over assets of the issuer, though ranking junior to first-lien debt secured by those assets. First-lien lenders and second-lien lenders typically have separate liens on the collateral, and an intercreditor agreement provides the first-lien lenders with priority over the second-lien lenders’ liens on the collateral.</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00"/>
          </w:cols>
          <w:pgMar w:left="320" w:top="455" w:right="4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080" w:right="80" w:hanging="424"/>
        <w:spacing w:after="0" w:line="254"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“Mezzanine” and “Unsecured” debt. </w:t>
      </w:r>
      <w:r>
        <w:rPr>
          <w:rFonts w:ascii="Times New Roman" w:cs="Times New Roman" w:eastAsia="Times New Roman" w:hAnsi="Times New Roman"/>
          <w:sz w:val="18"/>
          <w:szCs w:val="18"/>
          <w:color w:val="auto"/>
        </w:rPr>
        <w:t>Structurally, mezzanine debt usually ranks subordinate in priority of payment to first-lien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second-lien debt and may not have the benefit of financial covenants common in first-lien and second-lien debt. Unsecured debt may rank junior as it relates to proceeds in certain liquidations where it does not have the benefit of a lien in specific collateral held by creditors (typically first lien and/or second lien) who have a perfected security interest in such collateral. However, both mezzanine and unsecured debt ranks senior to common and preferred equity in an issuer’s capital structure. Mezzanine and unsecured debt investments generally offer lenders fixed returns in the form of interest payments and mezzanine debt will often provide lenders an opportunity to participate in the capital appreciation, if any, of an issuer through an equity interest. This equity interest typically takes the form of an equity co-investment or warrants. Due to its higher risk profile and often less restrictive covenants compared to senior secured loans, mezzanine and unsecured debt generally bears a higher stated interest rate than first-lien and second-lien debt.</w:t>
      </w:r>
    </w:p>
    <w:p>
      <w:pPr>
        <w:spacing w:after="0" w:line="192"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Our debt investments are typically structured with the maximum seniority and collateral that we can reasonably obtain while seeking to achieve our total return target. We seek to limit the downside potential of our investments by:</w:t>
      </w:r>
    </w:p>
    <w:p>
      <w:pPr>
        <w:spacing w:after="0" w:line="67" w:lineRule="exact"/>
        <w:rPr>
          <w:sz w:val="20"/>
          <w:szCs w:val="20"/>
          <w:color w:val="auto"/>
        </w:rPr>
      </w:pPr>
    </w:p>
    <w:p>
      <w:pPr>
        <w:ind w:left="1080" w:right="22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 total return on our investments (including both interest and potential equity appreciation) that compensates us for credit risk; and</w:t>
      </w:r>
    </w:p>
    <w:p>
      <w:pPr>
        <w:spacing w:after="0" w:line="67"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negotiating covenants in connection with our investments that afford our portfolio companies as much flexibility in managing their businesses as possible, consistent with preservation of our capital. Such restrictions may include affirmative covenants (including reporting requirements), negative covenants (including financial covenants), lien protection, change of control provisions and board rights, including either observation or rights to a seat on the board under some circumstances.</w:t>
      </w:r>
    </w:p>
    <w:p>
      <w:pPr>
        <w:spacing w:after="0" w:line="180"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Among the types of first-lien debt in which we invest, we generally are able to obtain higher effective interest rates on our “last out” first-lien loans than on other types of first-lien loans, since our “last-out” first-lien loans generally are more junior in the capital structure. Within our portfolio, we aim to maintain the appropriate proportion among the various types of first-lien loans, as well as second-lien debt and mezzanine debt, which allows us to achieve our target returns while maintaining our targeted amount of credit risk.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Equity and Other Investments</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Our loans may include an equity interest in the issuer, such as a warrant or profit participation right. In certain instances, we also will make equity investments, although those situations are generally limited to those cases where we are also making an investment in a more senior part of the capital structure of the issuer. In addition, there may be instances where we invest in liquid securities of a company.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Competitive Strengths and Core Competencies</w:t>
      </w:r>
    </w:p>
    <w:p>
      <w:pPr>
        <w:spacing w:after="0" w:line="11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Leading platform and access to proprietary deal flow</w:t>
      </w:r>
      <w:r>
        <w:rPr>
          <w:rFonts w:ascii="Times New Roman" w:cs="Times New Roman" w:eastAsia="Times New Roman" w:hAnsi="Times New Roman"/>
          <w:sz w:val="18"/>
          <w:szCs w:val="18"/>
          <w:color w:val="auto"/>
        </w:rPr>
        <w:t>. We expect the substantial majority of our investments will not be intermediated and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originated without the assistance of investment banks or other traditional Wall Street sources. Sixth Street has a dedicated team of 33 investment professionals responsible for originating, underwriting, executing and managing the assets of Sixth Street’s direct lending transactions. This team is responsible for sourcing and executing opportunities directly, while leveraging the resources and expertise of the Sixth Street platform.</w:t>
      </w:r>
    </w:p>
    <w:p>
      <w:pPr>
        <w:spacing w:after="0" w:line="182"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In addition to executing direct calling campaigns on companies based on the Adviser’s sector and macroeconomic views, our Investment Team also maintains direct contact with financial sponsors, banks, corporate advisory firms, industry consultants, attorneys, investment banks, “club” investors and other potential sources of lending opportunities. By sourcing through multiple channels, we believe we are able to generate investment opportunities that have more attractive risk-adjusted return characteristics than by relying solely on origination flow from investment banks or other intermediaries.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00"/>
          </w:cols>
          <w:pgMar w:left="320" w:top="455" w:right="4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In addition, our Adviser will draw upon the resources of Sixth Street in underwriting transactions, performing due diligence, managing assets and optimizing our operations as a public company. Access to Sixth Street resources complements our Adviser’s view of markets and provides insight into important cyclical patterns.</w:t>
      </w:r>
    </w:p>
    <w:p>
      <w:pPr>
        <w:spacing w:after="0" w:line="174" w:lineRule="exact"/>
        <w:rPr>
          <w:sz w:val="20"/>
          <w:szCs w:val="20"/>
          <w:color w:val="auto"/>
        </w:rPr>
      </w:pPr>
    </w:p>
    <w:p>
      <w:pPr>
        <w:ind w:left="120" w:right="40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Disciplined investment and underwriting process</w:t>
      </w:r>
      <w:r>
        <w:rPr>
          <w:rFonts w:ascii="Times New Roman" w:cs="Times New Roman" w:eastAsia="Times New Roman" w:hAnsi="Times New Roman"/>
          <w:sz w:val="18"/>
          <w:szCs w:val="18"/>
          <w:color w:val="auto"/>
        </w:rPr>
        <w:t>. Through our Adviser, we will seek to achieve the highest risk-adjusted returns available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opposed to the highest absolute return available. Our investment approach will seek to combine a rigorous analysis of macroeconomic and market factors with a deep understanding of individual companies and their assets, management and prospects. We believe four factors will distinguish our investment approach:</w:t>
      </w:r>
    </w:p>
    <w:p>
      <w:pPr>
        <w:spacing w:after="0" w:line="85" w:lineRule="exact"/>
        <w:rPr>
          <w:sz w:val="20"/>
          <w:szCs w:val="20"/>
          <w:color w:val="auto"/>
        </w:rPr>
      </w:pPr>
    </w:p>
    <w:p>
      <w:pPr>
        <w:ind w:left="1540" w:hanging="331"/>
        <w:spacing w:after="0" w:line="284" w:lineRule="auto"/>
        <w:tabs>
          <w:tab w:leader="none" w:pos="1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Flexibility</w:t>
      </w:r>
      <w:r>
        <w:rPr>
          <w:rFonts w:ascii="Times New Roman" w:cs="Times New Roman" w:eastAsia="Times New Roman" w:hAnsi="Times New Roman"/>
          <w:sz w:val="18"/>
          <w:szCs w:val="18"/>
          <w:color w:val="auto"/>
        </w:rPr>
        <w:t>. Our broad upper middle-market focus and our Adviser’s integrated position within Sixth Street will allow us to determine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current market opportunities and identify relative value.</w:t>
      </w:r>
    </w:p>
    <w:p>
      <w:pPr>
        <w:spacing w:after="0" w:line="63" w:lineRule="exact"/>
        <w:rPr>
          <w:rFonts w:ascii="Times New Roman" w:cs="Times New Roman" w:eastAsia="Times New Roman" w:hAnsi="Times New Roman"/>
          <w:sz w:val="18"/>
          <w:szCs w:val="18"/>
          <w:color w:val="auto"/>
        </w:rPr>
      </w:pPr>
    </w:p>
    <w:p>
      <w:pPr>
        <w:ind w:left="1540" w:right="60" w:hanging="331"/>
        <w:spacing w:after="0" w:line="258" w:lineRule="auto"/>
        <w:tabs>
          <w:tab w:leader="none" w:pos="1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 pricing</w:t>
      </w:r>
      <w:r>
        <w:rPr>
          <w:rFonts w:ascii="Times New Roman" w:cs="Times New Roman" w:eastAsia="Times New Roman" w:hAnsi="Times New Roman"/>
          <w:sz w:val="18"/>
          <w:szCs w:val="18"/>
          <w:color w:val="auto"/>
        </w:rPr>
        <w:t>. The risk profile of our portfolio evolves across credit cycles as credit tightens and loosens. During periods when risk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premiums are tight and pricing alone may not reflect the possibility for volatility, we typically focus on investing at a senior position in deals that permit us to control duration (that is, price sensitivity as a function of time and changes in interest rates, expressed as a number of years). Conversely, during periods when risk premiums are wide, we will seek to capture an incremental risk premium by offering more junior instruments that have higher rates and longer durations.</w:t>
      </w:r>
    </w:p>
    <w:p>
      <w:pPr>
        <w:spacing w:after="0" w:line="88" w:lineRule="exact"/>
        <w:rPr>
          <w:rFonts w:ascii="Times New Roman" w:cs="Times New Roman" w:eastAsia="Times New Roman" w:hAnsi="Times New Roman"/>
          <w:sz w:val="18"/>
          <w:szCs w:val="18"/>
          <w:color w:val="auto"/>
        </w:rPr>
      </w:pPr>
    </w:p>
    <w:p>
      <w:pPr>
        <w:ind w:left="1540" w:hanging="331"/>
        <w:spacing w:after="0" w:line="284" w:lineRule="auto"/>
        <w:tabs>
          <w:tab w:leader="none" w:pos="1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Disciplined four-tiered investment framework</w:t>
      </w:r>
      <w:r>
        <w:rPr>
          <w:rFonts w:ascii="Times New Roman" w:cs="Times New Roman" w:eastAsia="Times New Roman" w:hAnsi="Times New Roman"/>
          <w:sz w:val="18"/>
          <w:szCs w:val="18"/>
          <w:color w:val="auto"/>
        </w:rPr>
        <w:t>. Through our Adviser, we will perform detailed company-specific analysis focusing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four-tiered investment framework:</w:t>
      </w:r>
    </w:p>
    <w:p>
      <w:pPr>
        <w:spacing w:after="0" w:line="63" w:lineRule="exact"/>
        <w:rPr>
          <w:rFonts w:ascii="Times New Roman" w:cs="Times New Roman" w:eastAsia="Times New Roman" w:hAnsi="Times New Roman"/>
          <w:sz w:val="18"/>
          <w:szCs w:val="18"/>
          <w:color w:val="auto"/>
        </w:rPr>
      </w:pPr>
    </w:p>
    <w:p>
      <w:pPr>
        <w:ind w:left="2200" w:right="260" w:hanging="545"/>
        <w:spacing w:after="0" w:line="257" w:lineRule="auto"/>
        <w:tabs>
          <w:tab w:leader="none" w:pos="22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Business and sector selection</w:t>
      </w:r>
      <w:r>
        <w:rPr>
          <w:rFonts w:ascii="Times New Roman" w:cs="Times New Roman" w:eastAsia="Times New Roman" w:hAnsi="Times New Roman"/>
          <w:sz w:val="18"/>
          <w:szCs w:val="18"/>
          <w:color w:val="auto"/>
        </w:rPr>
        <w:t>. We will focus on companies with enterprise values above $750 million. When reviewing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potential investments, we will seek to invest in businesses with high marginal cash flow, recurring revenue streams and where we believe credit quality will improve over time. We will look for portfolio companies that we think have a sustainable competitive advantage in growing industries or distressed situations. We will also seek companies where our investment will have a low loan-to-value ratio. We currently do not limit our focus to any specific industry and we may invest in larger or smaller companies.</w:t>
      </w:r>
    </w:p>
    <w:p>
      <w:pPr>
        <w:spacing w:after="0" w:line="87" w:lineRule="exact"/>
        <w:rPr>
          <w:rFonts w:ascii="Times New Roman" w:cs="Times New Roman" w:eastAsia="Times New Roman" w:hAnsi="Times New Roman"/>
          <w:sz w:val="18"/>
          <w:szCs w:val="18"/>
          <w:color w:val="auto"/>
        </w:rPr>
      </w:pPr>
    </w:p>
    <w:p>
      <w:pPr>
        <w:ind w:left="2200" w:right="80" w:hanging="545"/>
        <w:spacing w:after="0" w:line="257" w:lineRule="auto"/>
        <w:tabs>
          <w:tab w:leader="none" w:pos="22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Investment structuring</w:t>
      </w:r>
      <w:r>
        <w:rPr>
          <w:rFonts w:ascii="Times New Roman" w:cs="Times New Roman" w:eastAsia="Times New Roman" w:hAnsi="Times New Roman"/>
          <w:sz w:val="18"/>
          <w:szCs w:val="18"/>
          <w:color w:val="auto"/>
        </w:rPr>
        <w:t>. We will focus on investing at the top of the capital structure and protecting that position. We intend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carefully diligence and structure investments to include strong investor covenants. As a result, we structure investments with a view to creating opportunities for early intervention in the event of non-performance or stress. In addition, we will seek to retain effective voting control in investments over the loans or particular class of securities in which we invest through maintaining affirmative voting positions or negotiating consent rights that allow us to retain a blocking position. We will also aim for our loans to mature on a medium term, between two to six years after origination.</w:t>
      </w:r>
    </w:p>
    <w:p>
      <w:pPr>
        <w:spacing w:after="0" w:line="87" w:lineRule="exact"/>
        <w:rPr>
          <w:rFonts w:ascii="Times New Roman" w:cs="Times New Roman" w:eastAsia="Times New Roman" w:hAnsi="Times New Roman"/>
          <w:sz w:val="18"/>
          <w:szCs w:val="18"/>
          <w:color w:val="auto"/>
        </w:rPr>
      </w:pPr>
    </w:p>
    <w:p>
      <w:pPr>
        <w:ind w:left="2200" w:hanging="545"/>
        <w:spacing w:after="0" w:line="261" w:lineRule="auto"/>
        <w:tabs>
          <w:tab w:leader="none" w:pos="22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Deal dynamics</w:t>
      </w:r>
      <w:r>
        <w:rPr>
          <w:rFonts w:ascii="Times New Roman" w:cs="Times New Roman" w:eastAsia="Times New Roman" w:hAnsi="Times New Roman"/>
          <w:sz w:val="18"/>
          <w:szCs w:val="18"/>
          <w:color w:val="auto"/>
        </w:rPr>
        <w:t>. We will focus on, among other deal dynamics, direct origination of investments, where we identify and lead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investment transaction. We seek transactions that are too small for the traditional high yield market. We look to invest in companies that value our commitment and ability to originate an investment that meets their goals and fits within their existing capital structure.</w:t>
      </w:r>
    </w:p>
    <w:p>
      <w:pPr>
        <w:spacing w:after="0" w:line="85" w:lineRule="exact"/>
        <w:rPr>
          <w:rFonts w:ascii="Times New Roman" w:cs="Times New Roman" w:eastAsia="Times New Roman" w:hAnsi="Times New Roman"/>
          <w:sz w:val="18"/>
          <w:szCs w:val="18"/>
          <w:color w:val="auto"/>
        </w:rPr>
      </w:pPr>
    </w:p>
    <w:p>
      <w:pPr>
        <w:ind w:left="2200" w:right="300" w:hanging="545"/>
        <w:spacing w:after="0" w:line="267" w:lineRule="auto"/>
        <w:tabs>
          <w:tab w:leader="none" w:pos="22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 mitigation</w:t>
      </w:r>
      <w:r>
        <w:rPr>
          <w:rFonts w:ascii="Times New Roman" w:cs="Times New Roman" w:eastAsia="Times New Roman" w:hAnsi="Times New Roman"/>
          <w:sz w:val="18"/>
          <w:szCs w:val="18"/>
          <w:color w:val="auto"/>
        </w:rPr>
        <w:t>. We will seek to mitigate non-credit-related risk on our returns in several ways, including call protection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provisions to protect future payment income. In addition, most of our investments are floating rate in nature, which we believe helps act as a portfolio-wide hedge against inflation.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2200" w:right="80" w:hanging="545"/>
        <w:spacing w:after="0" w:line="267" w:lineRule="auto"/>
        <w:tabs>
          <w:tab w:leader="none" w:pos="22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Robust and active investment management</w:t>
      </w:r>
      <w:r>
        <w:rPr>
          <w:rFonts w:ascii="Times New Roman" w:cs="Times New Roman" w:eastAsia="Times New Roman" w:hAnsi="Times New Roman"/>
          <w:sz w:val="18"/>
          <w:szCs w:val="18"/>
          <w:color w:val="auto"/>
        </w:rPr>
        <w:t>. Our Adviser will rigorously monitor the credit profile of portfolio investments,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aim of proactively identifying sector and operational issues and carefully managing risks. The information gathered on market trends through this process also informs our underwriting for new loans.</w:t>
      </w:r>
    </w:p>
    <w:p>
      <w:pPr>
        <w:spacing w:after="0" w:line="175" w:lineRule="exact"/>
        <w:rPr>
          <w:sz w:val="20"/>
          <w:szCs w:val="20"/>
          <w:color w:val="auto"/>
        </w:rPr>
      </w:pPr>
    </w:p>
    <w:p>
      <w:pPr>
        <w:ind w:left="120" w:right="880" w:firstLine="440"/>
        <w:spacing w:after="0" w:line="282" w:lineRule="auto"/>
        <w:rPr>
          <w:sz w:val="20"/>
          <w:szCs w:val="20"/>
          <w:color w:val="auto"/>
        </w:rPr>
      </w:pPr>
      <w:r>
        <w:rPr>
          <w:rFonts w:ascii="Times New Roman" w:cs="Times New Roman" w:eastAsia="Times New Roman" w:hAnsi="Times New Roman"/>
          <w:sz w:val="18"/>
          <w:szCs w:val="18"/>
          <w:color w:val="auto"/>
        </w:rPr>
        <w:t>Our Adviser and Sixth Street tailor investments rather than focusing only on driving investment volume. For example, SLX has closed approximately 1.9% of approximately 10,750 investment opportunities its Investment Team reviewed since inception.</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Carefully constructed portfolio, expect to consist of predominantly senior, floating rate loans across a broad range of industries and</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 xml:space="preserve">borrowers. </w:t>
      </w:r>
      <w:r>
        <w:rPr>
          <w:rFonts w:ascii="Times New Roman" w:cs="Times New Roman" w:eastAsia="Times New Roman" w:hAnsi="Times New Roman"/>
          <w:sz w:val="18"/>
          <w:szCs w:val="18"/>
          <w:color w:val="auto"/>
        </w:rPr>
        <w:t>We believe that we are well-suited to construct a portfolio of predominantly senior, floating rate loans across a broad range of industries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borrowers. We believe that such a portfolio will allow us to generate meaningful investment income, and consequently dividend income, for our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shareholders.</w:t>
      </w:r>
    </w:p>
    <w:p>
      <w:pPr>
        <w:spacing w:after="0" w:line="20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Experienced management team</w:t>
      </w:r>
      <w:r>
        <w:rPr>
          <w:rFonts w:ascii="Times New Roman" w:cs="Times New Roman" w:eastAsia="Times New Roman" w:hAnsi="Times New Roman"/>
          <w:sz w:val="18"/>
          <w:szCs w:val="18"/>
          <w:color w:val="auto"/>
        </w:rPr>
        <w:t>. The Adviser has a highly experienced management team consisting of seven Sixth Street Partners and eight Sixth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Street Managing Directors, with deep experience identifying and executing transactions across a broad range of industries and types of financings. Over their careers, our team has developed unique relationships and access to proprietary sourcing and servicing channels. The team includes the founder of the Goldman Sachs Specialty Lending Group, Alan Waxman, who managed the group from its inception in 2003 through 2009, and other senior members, such as Joshua Easterly, who was Co-head from 2006 through 2010. The team also includes Michael Fishman, who, as National Director of Loan Originations at Wells Fargo Capital Finance, oversaw primary and secondary lending, loan distribution and syndications, strategic transactions and new lending products from 2000 to 2011, and Bo Stanley, who brings expertise in the software, payment systems, data infrastructure and business services sectors. Our Adviser’s senior team also has experience managing our other BDC, Sixth Street Specialty Lending, Inc., since it began investment activities in July 2011. We believe that the broad knowledge of this group from investing across asset classes through numerous credit cycles provides us with sound decision-making and invaluable insights into the investment process.</w:t>
      </w:r>
    </w:p>
    <w:p>
      <w:pPr>
        <w:spacing w:after="0" w:line="185" w:lineRule="exact"/>
        <w:rPr>
          <w:sz w:val="20"/>
          <w:szCs w:val="20"/>
          <w:color w:val="auto"/>
        </w:rPr>
      </w:pPr>
    </w:p>
    <w:p>
      <w:pPr>
        <w:ind w:left="120" w:right="8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Aligned investment professionals</w:t>
      </w:r>
      <w:r>
        <w:rPr>
          <w:rFonts w:ascii="Times New Roman" w:cs="Times New Roman" w:eastAsia="Times New Roman" w:hAnsi="Times New Roman"/>
          <w:sz w:val="18"/>
          <w:szCs w:val="18"/>
          <w:color w:val="auto"/>
        </w:rPr>
        <w:t>. We believe our investment professionals are aligned with our investment objective. The compensation structure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our investment professionals is based on our returns, as opposed to transaction volume, which we believe fosters a focus on credit quality when originating investments.</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Investment Criteria/Guidelines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Investment Decision Process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investment approach involves, among other things:</w:t>
      </w:r>
    </w:p>
    <w:p>
      <w:pPr>
        <w:spacing w:after="0" w:line="131" w:lineRule="exact"/>
        <w:rPr>
          <w:sz w:val="20"/>
          <w:szCs w:val="20"/>
          <w:color w:val="auto"/>
        </w:rPr>
      </w:pPr>
    </w:p>
    <w:p>
      <w:pPr>
        <w:ind w:left="1540" w:right="320" w:hanging="331"/>
        <w:spacing w:after="0" w:line="282" w:lineRule="auto"/>
        <w:tabs>
          <w:tab w:leader="none" w:pos="1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assessment of the markets, overall macroeconomic environment and how the assessment may impact industry and investment selection;</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company-specific research and analysis; and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individual company, an emphasis on capital preservation, low volatility and management of downside risk.</w:t>
      </w:r>
    </w:p>
    <w:p>
      <w:pPr>
        <w:spacing w:after="0" w:line="225" w:lineRule="exact"/>
        <w:rPr>
          <w:sz w:val="20"/>
          <w:szCs w:val="20"/>
          <w:color w:val="auto"/>
        </w:rPr>
      </w:pPr>
    </w:p>
    <w:p>
      <w:pPr>
        <w:jc w:val="both"/>
        <w:ind w:left="120" w:right="500" w:firstLine="440"/>
        <w:spacing w:after="0" w:line="312" w:lineRule="auto"/>
        <w:rPr>
          <w:sz w:val="20"/>
          <w:szCs w:val="20"/>
          <w:color w:val="auto"/>
        </w:rPr>
      </w:pPr>
      <w:r>
        <w:rPr>
          <w:rFonts w:ascii="Times New Roman" w:cs="Times New Roman" w:eastAsia="Times New Roman" w:hAnsi="Times New Roman"/>
          <w:sz w:val="17"/>
          <w:szCs w:val="17"/>
          <w:color w:val="auto"/>
        </w:rPr>
        <w:t>The foundation of our investment philosophy incorporates intensive analysis, a management discipline based on both market technicals and fundamental value-oriented research, and consideration of diversification within our portfolio. We follow a rigorous investment process based on:</w:t>
      </w:r>
    </w:p>
    <w:p>
      <w:pPr>
        <w:spacing w:after="0" w:line="45" w:lineRule="exact"/>
        <w:rPr>
          <w:sz w:val="20"/>
          <w:szCs w:val="20"/>
          <w:color w:val="auto"/>
        </w:rPr>
      </w:pPr>
    </w:p>
    <w:p>
      <w:pPr>
        <w:ind w:left="5540" w:right="360" w:hanging="4331"/>
        <w:spacing w:after="0" w:line="454" w:lineRule="auto"/>
        <w:tabs>
          <w:tab w:leader="none" w:pos="153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comprehensive analysis of issuer creditworthiness, including a quantitative and qualitative assessment of the issuer’s business; 12</w:t>
      </w:r>
    </w:p>
    <w:p>
      <w:pPr>
        <w:sectPr>
          <w:pgSz w:w="11900" w:h="16838" w:orient="portrait"/>
          <w:cols w:equalWidth="0" w:num="1">
            <w:col w:w="11120"/>
          </w:cols>
          <w:pgMar w:left="320" w:top="455"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540" w:hanging="331"/>
        <w:spacing w:after="0"/>
        <w:tabs>
          <w:tab w:leader="none" w:pos="1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evaluation of management and its economic incentives;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analysis of business strategy and industry trends; and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in-depth examination of a prospective portfolio company’s capital structure, financial results and projections.</w:t>
      </w:r>
    </w:p>
    <w:p>
      <w:pPr>
        <w:spacing w:after="0" w:line="225"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We seek to identify those companies exhibiting superior fundamental risk-reward profiles and strong defensible business franchises, while focusing on the absolute and relative value of the investment.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Investment Process Overview</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Origination and Sourcing</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expect that the substantial majority of our investments will not be intermediated and will be originated without the assistance of investment banks or other traditional Wall Street sources. In addition to executing direct calling campaigns on companies based on the Adviser’s sector and macroeconomic views, our Investment Team also maintains direct contact with financial sponsors, banks, corporate advisory firms, industry consultants, attorneys, investment banks, “club” investors and other potential sources of investment opportunities. The substantial majority of our deals are informed by our Adviser’s current sector views and are sourced directly by our Adviser through its network of contacts. We also identify opportunities through our Adviser’s relationships with Sixth Street.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Due Diligence Process</w:t>
      </w:r>
    </w:p>
    <w:p>
      <w:pPr>
        <w:spacing w:after="0" w:line="11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process through which an investment decision is made involves extensive research into the company, its industry, its growth prospects and its ability to withstand adverse conditions. If the investment team responsible for the transaction determines that an investment opportunity should be pursued, we will engage in an intensive due diligence process. Though each transaction will involve a somewhat different approach, our diligence of each opportunity may include:</w:t>
      </w:r>
    </w:p>
    <w:p>
      <w:pPr>
        <w:spacing w:after="0" w:line="85" w:lineRule="exact"/>
        <w:rPr>
          <w:sz w:val="20"/>
          <w:szCs w:val="20"/>
          <w:color w:val="auto"/>
        </w:rPr>
      </w:pPr>
    </w:p>
    <w:p>
      <w:pPr>
        <w:ind w:left="1540" w:right="700" w:hanging="331"/>
        <w:spacing w:after="0" w:line="282" w:lineRule="auto"/>
        <w:tabs>
          <w:tab w:leader="none" w:pos="1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understanding the purpose of the capital requirement, the key personnel and variables, as well as the sources and uses of the proceeds;</w:t>
      </w:r>
    </w:p>
    <w:p>
      <w:pPr>
        <w:spacing w:after="0" w:line="67" w:lineRule="exact"/>
        <w:rPr>
          <w:rFonts w:ascii="Times New Roman" w:cs="Times New Roman" w:eastAsia="Times New Roman" w:hAnsi="Times New Roman"/>
          <w:sz w:val="18"/>
          <w:szCs w:val="18"/>
          <w:color w:val="auto"/>
        </w:rPr>
      </w:pPr>
    </w:p>
    <w:p>
      <w:pPr>
        <w:ind w:left="1540" w:right="460" w:hanging="331"/>
        <w:spacing w:after="0" w:line="282" w:lineRule="auto"/>
        <w:tabs>
          <w:tab w:leader="none" w:pos="1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the company’s management, including top and middle-level executives, to get an insider’s view of the business, and to probe for potential weaknesses in business prospects;</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checking management’s backgrounds and references;</w:t>
      </w:r>
    </w:p>
    <w:p>
      <w:pPr>
        <w:spacing w:after="0" w:line="130" w:lineRule="exact"/>
        <w:rPr>
          <w:rFonts w:ascii="Times New Roman" w:cs="Times New Roman" w:eastAsia="Times New Roman" w:hAnsi="Times New Roman"/>
          <w:sz w:val="18"/>
          <w:szCs w:val="18"/>
          <w:color w:val="auto"/>
        </w:rPr>
      </w:pPr>
    </w:p>
    <w:p>
      <w:pPr>
        <w:ind w:left="1540" w:right="220" w:hanging="331"/>
        <w:spacing w:after="0" w:line="282" w:lineRule="auto"/>
        <w:tabs>
          <w:tab w:leader="none" w:pos="1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a detailed review of historical financial performance, including performance through various economic cycles, and the quality of earnings;</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contacting customers and vendors to assess both business prospects and standard practices;</w:t>
      </w:r>
    </w:p>
    <w:p>
      <w:pPr>
        <w:spacing w:after="0" w:line="130" w:lineRule="exact"/>
        <w:rPr>
          <w:rFonts w:ascii="Times New Roman" w:cs="Times New Roman" w:eastAsia="Times New Roman" w:hAnsi="Times New Roman"/>
          <w:sz w:val="18"/>
          <w:szCs w:val="18"/>
          <w:color w:val="auto"/>
        </w:rPr>
      </w:pPr>
    </w:p>
    <w:p>
      <w:pPr>
        <w:ind w:left="1540" w:right="120" w:hanging="331"/>
        <w:spacing w:after="0" w:line="282" w:lineRule="auto"/>
        <w:tabs>
          <w:tab w:leader="none" w:pos="1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a competitive analysis, and comparing the company to its main competitors on an operating, financial, market share and valuation basis;</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researching the industry for historic growth trends and future prospects as well as to identify future exit alternatives;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asset value and the ability of physical infrastructure and information systems to handle anticipated growth;</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leveraging Sixth Street internal resources with institutional knowledge of the company’s business; and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investigating legal and regulatory risks and financial and accounting systems and practices.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40"/>
          </w:cols>
          <w:pgMar w:left="320" w:top="455"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Selective Investment Process</w:t>
      </w:r>
    </w:p>
    <w:p>
      <w:pPr>
        <w:spacing w:after="0" w:line="11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After an investment has been identified and preliminary diligence has been completed, a credit research and analysis report is prepared. This report is reviewed by senior investment professionals. If these senior and other investment professionals are supportive of pursuing the potential investment, then a more extensive due diligence process is employed. Additional due diligence with respect to any investment may be conducted on our behalf by attorneys, independent accountants, and other third-party consultants and research firms prior to the closing of the investment, as appropriate, on a case-by-case basis.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Issuance of Formal Commitment</w:t>
      </w:r>
    </w:p>
    <w:p>
      <w:pPr>
        <w:spacing w:after="0" w:line="119"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Approval of an investment requires the approval of the Investment Review Committee. Once we have determined that a prospective portfolio company is suitable for investment, we work with the management or sponsor of that company and its other capital providers, including senior, junior and equity capital providers, if any, to finalize the structure and terms of the investment.</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Portfolio Monitoring</w:t>
      </w:r>
    </w:p>
    <w:p>
      <w:pPr>
        <w:spacing w:after="0" w:line="119"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The Adviser monitors our portfolio companies on an ongoing basis. The Adviser monitors the financial trends of each portfolio company to determine if it is meeting its business plans and to assess the appropriate course of action for each company.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Adviser has a number of methods of evaluating and monitoring the performance of our investments, which may include the following:</w:t>
      </w:r>
    </w:p>
    <w:p>
      <w:pPr>
        <w:spacing w:after="0" w:line="131" w:lineRule="exact"/>
        <w:rPr>
          <w:sz w:val="20"/>
          <w:szCs w:val="20"/>
          <w:color w:val="auto"/>
        </w:rPr>
      </w:pPr>
    </w:p>
    <w:p>
      <w:pPr>
        <w:ind w:left="1540" w:hanging="331"/>
        <w:spacing w:after="0"/>
        <w:tabs>
          <w:tab w:leader="none" w:pos="1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assessment of success of the portfolio company in adhering to its business plan and compliance with covenants;</w:t>
      </w:r>
    </w:p>
    <w:p>
      <w:pPr>
        <w:spacing w:after="0" w:line="130" w:lineRule="exact"/>
        <w:rPr>
          <w:rFonts w:ascii="Times New Roman" w:cs="Times New Roman" w:eastAsia="Times New Roman" w:hAnsi="Times New Roman"/>
          <w:sz w:val="18"/>
          <w:szCs w:val="18"/>
          <w:color w:val="auto"/>
        </w:rPr>
      </w:pPr>
    </w:p>
    <w:p>
      <w:pPr>
        <w:ind w:left="1540" w:right="280" w:hanging="331"/>
        <w:spacing w:after="0" w:line="282" w:lineRule="auto"/>
        <w:tabs>
          <w:tab w:leader="none" w:pos="1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and regular contact with portfolio company management and, if appropriate, the financial or strategic sponsor, to discuss financial position, requirements and accomplishments;</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comparisons to other companies in the industry;</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attendance at, and participation in, board meetings; and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monthly and quarterly financial statements and financial projections for portfolio companies.</w:t>
      </w:r>
    </w:p>
    <w:p>
      <w:pPr>
        <w:spacing w:after="0" w:line="225"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Our assessment is based on the following categories:</w:t>
      </w:r>
    </w:p>
    <w:p>
      <w:pPr>
        <w:spacing w:after="0" w:line="81" w:lineRule="exact"/>
        <w:rPr>
          <w:sz w:val="20"/>
          <w:szCs w:val="20"/>
          <w:color w:val="auto"/>
        </w:rPr>
      </w:pPr>
    </w:p>
    <w:p>
      <w:pPr>
        <w:jc w:val="both"/>
        <w:ind w:left="1540" w:right="300" w:hanging="331"/>
        <w:spacing w:after="0" w:line="266" w:lineRule="auto"/>
        <w:tabs>
          <w:tab w:leader="none" w:pos="1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is rated 1 if, in the opinion of the Adviser, it is performing as agreed and there are no concerns about the portfolio company’s performance or ability to meet covenant requirements. For these investments, the Adviser generally prepares monthly reports on investment performance and intensive quarterly asset reviews.</w:t>
      </w:r>
    </w:p>
    <w:p>
      <w:pPr>
        <w:spacing w:after="0" w:line="81" w:lineRule="exact"/>
        <w:rPr>
          <w:rFonts w:ascii="Times New Roman" w:cs="Times New Roman" w:eastAsia="Times New Roman" w:hAnsi="Times New Roman"/>
          <w:sz w:val="18"/>
          <w:szCs w:val="18"/>
          <w:color w:val="auto"/>
        </w:rPr>
      </w:pPr>
    </w:p>
    <w:p>
      <w:pPr>
        <w:ind w:left="1540" w:hanging="331"/>
        <w:spacing w:after="0" w:line="266" w:lineRule="auto"/>
        <w:tabs>
          <w:tab w:leader="none" w:pos="1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portfolio company.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540" w:right="140" w:hanging="331"/>
        <w:spacing w:after="0" w:line="266" w:lineRule="auto"/>
        <w:tabs>
          <w:tab w:leader="none" w:pos="1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will be assigned a rating of 3 if it is paying its obligations to us as agreed but a material covenant violation is expected. For these investments, in addition to monthly reports and quarterly asset reviews, the Adviser also adds the investment to its “watch list” and researches any areas of concern with the objective of early intervention with the portfolio company.</w:t>
      </w:r>
    </w:p>
    <w:p>
      <w:pPr>
        <w:spacing w:after="0" w:line="81" w:lineRule="exact"/>
        <w:rPr>
          <w:rFonts w:ascii="Times New Roman" w:cs="Times New Roman" w:eastAsia="Times New Roman" w:hAnsi="Times New Roman"/>
          <w:sz w:val="18"/>
          <w:szCs w:val="18"/>
          <w:color w:val="auto"/>
        </w:rPr>
      </w:pPr>
    </w:p>
    <w:p>
      <w:pPr>
        <w:ind w:left="1540" w:right="180" w:hanging="331"/>
        <w:spacing w:after="0" w:line="256" w:lineRule="auto"/>
        <w:tabs>
          <w:tab w:leader="none" w:pos="1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will be assigned a rating of 4 if a material covenant has been violated, but the company is making its scheduled payments on its obligations to us. For these investments, the Adviser generally prepares a bi-monthly asset review email and generally has monthly meetings with the portfolio company’s senior management. For investments where there have been material defaults, including bankruptcy filings, failures to achieve financial performance requirements or failure to maintain liquidity or loan-to-value requirements, the Adviser often will take immediate action to protect its position. These remedies may include negotiating for additional collateral, modifying investment terms or structure, or payment of amendment and waiver fees.</w:t>
      </w:r>
    </w:p>
    <w:p>
      <w:pPr>
        <w:spacing w:after="0" w:line="92" w:lineRule="exact"/>
        <w:rPr>
          <w:rFonts w:ascii="Times New Roman" w:cs="Times New Roman" w:eastAsia="Times New Roman" w:hAnsi="Times New Roman"/>
          <w:sz w:val="18"/>
          <w:szCs w:val="18"/>
          <w:color w:val="auto"/>
        </w:rPr>
      </w:pPr>
    </w:p>
    <w:p>
      <w:pPr>
        <w:ind w:left="1540" w:right="40" w:hanging="331"/>
        <w:spacing w:after="0" w:line="258" w:lineRule="auto"/>
        <w:tabs>
          <w:tab w:leader="none" w:pos="1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rating of 5 indicates an investment is in default on its interest and/or principal payments. For these investments, our Adviser reviews the investment on a bi-monthly basis and, where possible, pursues workouts that achieve an early resolution to avoid further deterioration of our investment. The Adviser retains legal counsel and takes actions to preserve our rights, which may include working with the portfolio company to have the default cured, to have the investment restructured or to have the investment repaid through a consensual workout.</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Investment Review Committee</w:t>
      </w:r>
    </w:p>
    <w:p>
      <w:pPr>
        <w:spacing w:after="0" w:line="11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Adviser manages our portfolio under the general oversight of the Investment Review Committee. The Investment Review Committee includes certain individuals who are senior personnel of the Adviser and Sixth Street, as well as certain other persons appointed by the Adviser from time to time. Our Investment Team and the Investment Review Committee are supported by and have access to the investment professionals, analytical capabilities and support personnel of Sixth Street.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Significant Managerial Assistance</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As a BDC, we will offer, and must make available upon request, managerial assistance to our portfolio companies. This assistance could involve, among other things, monitoring the operations of our portfolio companies, participating in board and management meetings, consulting with and advising officers of portfolio companies and providing other organizational and financial guidance. We may also receive fees for these services. Our Adviser will provide, or arrange for the provision of, such managerial assistance on our behalf to portfolio companies that request this assistance, subject to reimbursement of any fees or expenses incurred on our behalf by our Adviser in accordance with our Advisory Agreement.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Operating and Regulatory Structure</w:t>
      </w:r>
    </w:p>
    <w:p>
      <w:pPr>
        <w:spacing w:after="0" w:line="121"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We will elect to be treated as a BDC under the 1940 Act. As a BDC, we will generally be prohibited from acquiring assets other than Qualifying Assets (as defined herein), unless, after giving effect to any acquisition, at least 70.0% of our total assets are Qualifying Assets. Qualifying Assets generally include securities of eligible portfolio companies, cash, cash equivalents, U.S. government securities and high-quality debt instruments maturing in one year or less from the time of investment. Under the 1940 Act, “eligible portfolio companies” include (1) private U.S. operating companies, (2) public U.S. operating companies whose securities are not listed on a national securities exchange (e.g., the New York Stock Exchange and the Nasdaq Stock Market), and (3) public U.S. operating companies having a market capitalization of less than $250 million. Public U.S. operating companies whose securities are quoted on the over-the-counter bulletin board and through OTC Markets Group Inc. are not listed on a national securities exchange and therefore are eligible portfolio companies.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also expect to be treated as a RIC under Subchapter M of the Code, and we expect to qualify as a RIC annually thereafter. A BDC that has elected to be a RIC generally does not incur any U.S. federal income tax so long as the BDC continuously maintains its BDC election in accordance with the 1940 Act, at least 90.0% of the BDC’s gross income each taxable year consists of certain types of qualifying investment income, the BDC satisfies certain asset composition requirements at the close of each quarter of its taxable year, and if the BDC distributes all of its taxable income (including net realized capital gains, if any) to its shareholders on a current basis. The rules applicable to our qualification as a RIC for tax purposes are complex and involve significant practical and technical issues. If we do not qualify as a RIC for U.S. federal income tax purposes or are unable to maintain our qualification for any reason, then we would become subject to regular corporate income tax, which would have a material adverse effect on the amount of after-tax income available for distribution to our shareholders. See “</w:t>
      </w:r>
      <w:r>
        <w:rPr>
          <w:rFonts w:ascii="Times New Roman" w:cs="Times New Roman" w:eastAsia="Times New Roman" w:hAnsi="Times New Roman"/>
          <w:sz w:val="18"/>
          <w:szCs w:val="18"/>
          <w:i w:val="1"/>
          <w:iCs w:val="1"/>
          <w:color w:val="auto"/>
        </w:rPr>
        <w:t>Item 1. Business—Material U.S. Federal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Considerations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intend to timely distribute to our shareholders substantially all of our annual taxable income for each year, except that we may retain certain net capital gains for reinvestment and, depending upon the level of taxable income earned in a year, we may choose to carry forward taxable income for distribution in the following year and pay an applicable U.S. federal excise tax.</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do not currently have any employees. Our day-to-day investment operations are managed by the Adviser, and our Administrator provides services necessary to conduct our business. We pay no compensation directly to any interested director or executive officer of the Fund. The Adviser and Administrator may be reimbursed for certain expenses they incur on our behalf. In addition, pursuant to the Administration Agreement, we pay the Administrator the allocable portion of overhead and other expenses it incurs in performing its obligations.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Private Offering</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We intend to offer and sell our Common Shares in a private placement (the “Private Offering”) in the United States under the exemption provided by Section 4(a)(2) of the Securities Act and Regulation D promulgated thereunder, Regulation S under the Securities Act and other exemptions from the registration requirements of the Securities Act. Investors who acquire shares of our Common Shares in our private placement are required to complete, execute and deliver a subscription agreement (a “Subscription Agreement”), and related documentation, which include customary representations and warranties, certain covenants and restrictions and indemnification provisions. Additionally, such investors could be required to provide due diligence information for compliance with certain legal requirements. We could, from time to time, engage placement or distribution agents and incur placement or distribution fees or sales commissions in connection with the private placement of our Common Shares in certain jurisdictions outside the United States. The cost of any such placement or distribution fees could be borne directly or indirectly by an investor or by an affiliate of the Adviser. We will not incur any such fees or commissions if our net proceeds received upon a sale of our Common Shares after such costs would be less than the net asset value per share of our Common Shares.</w:t>
      </w:r>
    </w:p>
    <w:p>
      <w:pPr>
        <w:spacing w:after="0" w:line="194"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initial closing (the “Initial Closing”) will occur as soon as reasonably practicable. Subsequent closings (each, a “Closing”) may occur at the beginning of any calendar quarter (or such other times as may be determined by the Adviser in its discretion) until (and including) the 12-month anniversary date of the Initial Closing, which may be extended for an additional six months by the Adviser (the “Final Closing Date”).</w:t>
      </w:r>
    </w:p>
    <w:p>
      <w:pPr>
        <w:spacing w:after="0" w:line="176"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Pursuant to Subscription Agreements, investors make commitments to purchase Shares (“Capital Commitments”). The Subscription Agreements provide that investors are required to fund capital contributions to purchase Shares (a “Drawdown Purchase”), each time we deliver a drawdown notice, which we deliver at least 10 calendar days prior to the date on which contributions will be due. Drawdown Purchases will generally be made pro rata, in accordance with unfunded Capital Commitments of all investors. However, the Subscription Agreements provide that we retain the right at our discretion to call Drawdown Purchases on a non-pro rata basis so that the assets of the Fund will not be considered “plan assets” under ERISA or the Plan Asset Regulations (each as defined below), or as otherwise necessary or desirable in order to comply with ERISA or any other applicable legal, regulatory, tax or similar regimes. Each Drawdown Purchase is made at a price per Share equal to our most recent quarterly net asset value per Share as determined by our Board, provided that the purchase price is subject to adjustment to the extent required by Section 23 of the 1940 Act (which generally prohibits us from selling Shares at a price below the then-current net asset value per Share as determined within 48 hours, excluding Sundays and holidays, of such sale, subject to certain exceptions). No investor in our private placement will be required to invest more than the total amount of its Capital Commitment.</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In the event that the Fund enters into a Subscription Agreement with one or more investors after the initial Drawdown Purchase in which the proceeds are used to make investments (the “Effective Date”), each such investor will be required to make a purchase of Common Shares (a “Catch-up Purchase”) on a date to be determined by the Fund that occurs no later than the next succeeding Drawdown Purchase date (the “Catch-up Date”). The aggregate purchase price of the Catch-up Purchase will be equal to an amount necessary to ensure that, upon payment of the aggregate purchase price, such investor will have contributed the same percentage of its Capital Commitment to the Fund as all investors whose subscriptions were accepted at previous closings. Catch-up Purchases will be made at a per-share price equal to the net asset value per common share (adjusted to appropriately reflect revenues and expenses accrued as of the Catch-up Date and such investor’s pro rata portion of the Fund’s initial organizational expenses) as of the close of the last quarter preceding the date of the Catch-up Purchase; provided that the purchase price is subject to adjustment to the extent required by Section 23 of the 1940 Act (which generally prohibits us from selling our Common Shares at a price below the then-current net asset value per common share as determined within 48 hours, excluding Sundays and holidays, of such sale, subject to certain exceptions).</w:t>
      </w:r>
    </w:p>
    <w:p>
      <w:pPr>
        <w:spacing w:after="0" w:line="194"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7"/>
          <w:szCs w:val="17"/>
          <w:color w:val="auto"/>
        </w:rPr>
        <w:t>At the earlier of (i) an Exchange Listing (defined below) and (ii) five years following the Effective Date (the “Commitment Period”), investors will be released from any further obligation to purchase additional Common Shares, except to the extent necessary to (a) pay Fund expenses, including management fees, amounts that may become due under any borrowings or other financings or similar obligations, or indemnity obligations, (b) complete investments in any transactions (1) for which the Adviser has allocated to the Fund, (2) to which the Adviser has committed the Fund to proceed as of the end of the Commitment Period (including investments that are funded in phases), and (3) with deferred purchase price payments, contingent purchase price payments, milestone payments or other phased payments or payments for other staged funding obligations or similar arrangements,</w:t>
      </w:r>
    </w:p>
    <w:p>
      <w:pPr>
        <w:spacing w:after="0" w:line="5" w:lineRule="exact"/>
        <w:rPr>
          <w:sz w:val="20"/>
          <w:szCs w:val="20"/>
          <w:color w:val="auto"/>
        </w:rPr>
      </w:pPr>
    </w:p>
    <w:p>
      <w:pPr>
        <w:ind w:left="120" w:right="60" w:hanging="4"/>
        <w:spacing w:after="0" w:line="252" w:lineRule="auto"/>
        <w:tabs>
          <w:tab w:leader="none" w:pos="36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follow-on investments made in existing portfolio companies within three years from the end of the Commitment Period that, in the aggregate, do not exceed 5% of total commitments and/or (d) fund obligations under any Fund guarantee. Additionally, it is the intent of the Fund that, in the event of an Exchange Listing, shareholders would be subject to lock-up restrictions pursuant to which they would be prohibited from selling Common Shares for a certain period of time after the date of such Exchange Listing. Pursuant to the Subscription Agreement, to effectuate these lock-up restrictions, prospective shareholders will provide the Adviser with a power of attorney authorizing it to execute any such lock-up documentation on their behalf, as applicable.</w:t>
      </w:r>
    </w:p>
    <w:p>
      <w:pPr>
        <w:spacing w:after="0" w:line="190"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An “Exchange Listing” is a quotation or listing of the Fund’s securities on a national securities exchange (including through an initial public offering) or a sale of all or substantially all of our assets to, or a merger or other liquidity transaction with, an entity in which the Fund’s shareholders receive shares of a publicly-traded company which continues to be managed by the Adviser or an affiliate thereof.</w:t>
      </w:r>
    </w:p>
    <w:p>
      <w:pPr>
        <w:spacing w:after="0" w:line="176"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While the Fund expects each Subscription Agreement to reflect the terms and conditions summarized above, the Fund reserves the right to enter into Subscription Agreements that contain terms and conditions not found in the Subscription Agreements entered into with other investors, subject to applicable law. No investor in the Private Offering will be permitted to make an investment in the Fund on economic terms and conditions that are more favorable than the economic terms and conditions contained in the Subscription Agreements entered into with all other investors.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Distributions and Capital Recycling</w:t>
      </w:r>
    </w:p>
    <w:p>
      <w:pPr>
        <w:spacing w:after="0" w:line="121"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The Fund generally intends to distribute substantially all of its available earnings annually by paying distributions on a quarterly basis, as determined by the Board in its discretion.</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Fund generally retains and reinvests investment proceeds from its portfolio, such as proceeds from the disposition of an investment or the repayment of a loan by a portfolio company. However, following the six-year anniversary of the Effective Date and if no Exchange Listing has occurred, the Fund will cease retaining or reinvesting such proceeds, and will instead distribute the proceeds to shareholders; provided that the Adviser is permitted to retain such proceeds in order to satisfy any expenses of the Fund (or related reserves). For the avoidance of doubt, in the event of an Exchange Listing, the Fund will be under no obligation to cease retaining or reinvesting investment proceeds.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Sixth Street Commitments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aggregate Sixth Street Commitments will be at least 1.5% of aggregate Capital Commitments to the Fund (excluding Sixth Street Commitments) as of the Final Closing Date. The Sixth Street Commitments may be made directly to the Fund or through one or more feeder, parallel, or subsidiary vehicles that invest into or alongside the Fund.</w:t>
      </w:r>
    </w:p>
    <w:p>
      <w:pPr>
        <w:spacing w:after="0" w:line="176"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For these purposes, “Sixth Street Commitments” means Capital Commitments of the Adviser, associated persons, other affiliates and “friends and family” of Sixth Street, and any direct or indirect investors in the Adviser.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Term</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Prior to any Exchange Listing of the Common Shares that may occur, if our Board determines that there has been a significant adverse change in the regulatory or tax treatment of the Fund or its shareholders that in its judgment makes it inadvisable for the Fund to continue in its present form, then our Board will endeavor to restructure or change the form of the company to preserve (insofar as possible) the overall benefits previously enjoyed by shareholders as a whole or, if our Board determines it appropriate (and subject to any necessary shareholder approvals and applicable requirements of the 1940 Act), (i) cause the Fund to change its form and/or jurisdiction of organization or (ii) wind down and/or liquidate and dissolve the Fund. For example, upon consummation of the Exchange Listing, the Board is able to cause the Fund to reorganize as a Maryland corporation.</w:t>
      </w:r>
    </w:p>
    <w:p>
      <w:pPr>
        <w:spacing w:after="0" w:line="18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If the Fund has not consummated an Exchange Listing within the 10-year anniversary of the Effective Date, subject to up to two one-year extensions if requested by the Adviser and approved by a majority of our Board, including a majority of our Independent Trustees, then our Board (subject to any necessary shareholder approvals and applicable requirements of the 1940 Act) will, within a reasonable period of time, wind down and/or liquidate and dissolve the Fund.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We will compete for investments with a number of capital providers, including BDCs, other investment funds (including private debt and equity funds and venture capital funds), special purpose acquisition company sponsors, investment banks with underwriting activities, hedge funds that invest in private investments in public equities, traditional financial services companies such as commercial banks, and other sources of financing, including the broadly syndicated loan market and high yield capital market. Many of these capital providers have greater financial and managerial resources than we do. In addition, many of our competitors are not subject to the regulatory restrictions that the 1940 Act imposes on us as a BDC. For additional information concerning the competitive risks we expect to face, see “</w:t>
      </w:r>
      <w:r>
        <w:rPr>
          <w:rFonts w:ascii="Times New Roman" w:cs="Times New Roman" w:eastAsia="Times New Roman" w:hAnsi="Times New Roman"/>
          <w:sz w:val="18"/>
          <w:szCs w:val="18"/>
          <w:i w:val="1"/>
          <w:iCs w:val="1"/>
          <w:color w:val="auto"/>
        </w:rPr>
        <w:t>ITEM 1A. RISK FACTORS—Risks Related to Our Business and Structure—We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operate in a highly competitive market for investment opportunities</w:t>
      </w:r>
      <w:r>
        <w:rPr>
          <w:rFonts w:ascii="Times New Roman" w:cs="Times New Roman" w:eastAsia="Times New Roman" w:hAnsi="Times New Roman"/>
          <w:sz w:val="18"/>
          <w:szCs w:val="18"/>
          <w:color w:val="auto"/>
        </w:rPr>
        <w: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Allocation of Investment Opportunities</w:t>
      </w:r>
    </w:p>
    <w:p>
      <w:pPr>
        <w:spacing w:after="0" w:line="12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Sixth Street has applied for an amended exemptive order from the SEC that would allow the Fund to co-invest alongside Sixth Street affiliates, and would permit the Fund greater flexibility to negotiate the terms of co-investments if its Board determines that it would be advantageous for it to do so. Such amended exemptive order is intended to modify the existing exemptive relief order, which permits co-investment by Sixth Street Specialty Lending, Inc. (“SLX”) (but not the Fund) alongside Affiliated Funds in certain circumstances. We believe that co-investment by us and accounts sponsored or managed by the Adviser and its affiliates may afford us additional investment opportunities and the ability to achieve greater diversification.</w:t>
      </w:r>
    </w:p>
    <w:p>
      <w:pPr>
        <w:spacing w:after="0" w:line="187"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Under the terms of the exemptive relief being sought, a “required majority” (as defined in Section 57(o) of the 1940 Act) of our Independent Trustees is required to make certain conclusions in connection with a proposed co-investment transaction, including that (1) the terms of the transaction, including the consideration to be paid, are reasonable and fair to the Fund and its shareholders and do not involve overreaching in respect of the Fund or its shareholders on the part of any person concerned and (2) the transaction is consistent with the interests of the Fund’s shareholders and the Fund’s then-current objectives and strategies.</w:t>
      </w:r>
    </w:p>
    <w:p>
      <w:pPr>
        <w:spacing w:after="0" w:line="35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may also co-invest alongside Sixth Street affiliates pursuant to other regulations and interpretations of the 1940 Act, for example if the only terms negotiated as to the investment is price. Subject to the terms of the amended relief, or, as applicable, other 1940 Act restrictions on co-investments with affiliates, the Adviser will offer us the right to participate in all investment opportunities that it determines meet certain “Board Established Criteria” under the terms of the amended exemptive order and that are appropriate for us in view of our investment objectives, positions, policies, strategies and restrictions as well as regulatory requirements and other relevant factors. Such offers are subject to the exception that, in accordance with the Sixth Street’s code of ethics and allocation policies and procedures, we will not participate in each individual opportunity but will, on an overall basis, be entitled to participate equitably with other entities sponsored or managed by Sixth Street. Our Board has approved and will regularly review these allocation policies and procedures.</w:t>
      </w:r>
    </w:p>
    <w:p>
      <w:pPr>
        <w:spacing w:after="0" w:line="19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Adviser and its affiliates have other clients with similar or competing investment objectives, including SLX and other private funds, managed accounts and similar investment vehicles sponsored or managed by Sixth Street or its affiliates (“Affiliated Funds”), that are pursuing an investment strategy similar to ours. Sixth Street has obligations to such Affiliated Funds and certain Affiliated Funds have investment objectives that overlap with those of the Fund.</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To the extent the Fund competes with one or more Affiliated Funds for a particular investment opportunity, Sixth Street will allocate investment opportunities across the entities for which such opportunities are appropriate, consistent with (1) Sixth Street’s internal conflict of interest and allocation policies and procedures, (2) the requirements of the Advisers Act and (3) certain restrictions under the 1940 Act regarding co-investments with affiliates, as modified by no-action relief granted by the SEC as well as the amended exemptive relief from the SEC that if granted will permit us flexibility to negotiate the terms of co-investments, in each case in compliance with the terms and conditions of such no-action or amended exemptive relief. Sixth Street’s allocation policies are intended to ensure that, over time, the Fund generally shares equitably in investment opportunities with other Affiliated Funds, particularly those involving a security with limited supply or involving differing classes of securities of the same issuer that are suitable for us and such other accounts.</w:t>
      </w:r>
    </w:p>
    <w:p>
      <w:pPr>
        <w:spacing w:after="0" w:line="19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Adviser and its affiliates seeks to ensure the equitable allocation of investment opportunities when we are able to invest alongside other Affiliated Funds. When we invest alongside such Affiliated Funds, such investments will be made consistent with the allocation policies and procedures. Sixth Street will determine separately the amount of any proposed investment to be made by us and eligible Affiliated Funds. If sufficient securities or loan amounts are available to satisfy our and each such Affiliated Fund’s proposed investment, the opportunity will be allocated in accordance with the Adviser’s pre-transaction determination. Where there is an insufficient amount of an investment opportunity to fully satisfy demand by the Fund and other Affiliated Funds, the allocation policy further provides that allocations among us and other accounts will generally be made pro rata based on the Fund’s and each Affiliated Fund’s initial pre-transaction demand. To the extent we do not have available capital and are at or near our targeted leverage ratio, we could receive smaller allocations, if any, on new investment opportunities under Sixth Street’s allocation policy. In situations in which co-investment with other entities sponsored or managed by the Adviser or its affiliates is not permitted or appropriate, such as when, in the absence of exemptive relief described above, we and such other entities would be making different investments in the same issuer, Sixth Street will need to decide whether we or such other entity or entities will proceed with the investment. Sixth Street will make these determinations based on its policies and procedures, which generally require that such opportunities be offered to eligible accounts on a basis that will be fair and equitable over time, including, for example, through random or rotational methods.</w:t>
      </w:r>
    </w:p>
    <w:p>
      <w:pPr>
        <w:spacing w:after="0" w:line="187" w:lineRule="exact"/>
        <w:rPr>
          <w:sz w:val="20"/>
          <w:szCs w:val="20"/>
          <w:color w:val="auto"/>
        </w:rPr>
      </w:pPr>
    </w:p>
    <w:p>
      <w:pPr>
        <w:jc w:val="both"/>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If the amended co-investment order is granted or as otherwise permitted under the 1940 Act, we expect to co-invest on a concurrent basis with other affiliates of the Adviser, unless doing so is impermissible with existing regulatory guidance, applicable regulations, the terms of any exemptive relief granted to us and our allocation policies and procedures.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As of the date hereof, the Adviser has not received the amended exemptive order described above. Accordingly, the Fund will be limited in its ability to co-invest alongside other investment funds, partnerships, limited liability companies, corporations or similar investment vehicles, clients or separate account for which, in each case, the Adviser or one or more of its affiliates acts as general partner, manager, managing member, investment adviser, sponsor, or in a similar capacity (collectively, including the Fund, “Sixth Street Clients”). It is anticipated that there will frequently be investment opportunities that Sixth Street becomes aware of that will be appropriate for and of interest to the Fund and one or more Sixth Street Clients, and that these opportunities will be limited in amount, such that demand for a given opportunity among the Fund and other Sixth Street Clients will exceed the amount of the opportunity available for investment. In these circumstances, investment opportunities will be allocated among the Fund and other Sixth Street Clients in accordance with Sixth Street’s Allocation Policies and Procedures, in a manner that that Sixth Street and its affiliates reasonably determine in good faith to be appropriate and which allocates such opportunities in a manner that over time is fair and equitable. However, until the Adviser obtains the amended exemptive order, individual investment opportunities will be allocated solely to either the Fund on the one hand, or solely to one or more other Sixth Street Clients on the other hand including in circumstances where an investment opportunity would otherwise have also been suitable (in whole or in part) for the Fund.</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Management and Other Agreements</w:t>
      </w:r>
    </w:p>
    <w:p>
      <w:pPr>
        <w:spacing w:after="0" w:line="119" w:lineRule="exact"/>
        <w:rPr>
          <w:sz w:val="20"/>
          <w:szCs w:val="20"/>
          <w:color w:val="auto"/>
        </w:rPr>
      </w:pPr>
    </w:p>
    <w:p>
      <w:pPr>
        <w:ind w:left="120" w:right="1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The description below of the Advisory Agreement is only a summary and is not necessarily complete. The description set forth below is qualified in its entirety by reference to the Advisory Agreement attached as an exhibit to this Registration Statement.</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entered into the Advisory Agreement with our Adviser. Under the Advisory Agreement, the Adviser:</w:t>
      </w:r>
    </w:p>
    <w:p>
      <w:pPr>
        <w:spacing w:after="0" w:line="131" w:lineRule="exact"/>
        <w:rPr>
          <w:sz w:val="20"/>
          <w:szCs w:val="20"/>
          <w:color w:val="auto"/>
        </w:rPr>
      </w:pPr>
    </w:p>
    <w:p>
      <w:pPr>
        <w:ind w:left="1080" w:right="20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the composition of our portfolio, the nature and timing of the changes to our portfolio and the manner of implementing those changes;</w:t>
      </w:r>
    </w:p>
    <w:p>
      <w:pPr>
        <w:spacing w:after="0" w:line="67"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identifies, evaluates and negotiates the structure of the investments we make (including performing due diligence on our prospective portfolio companies);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the assets we will originate, purchase, retain or sell;</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closes, monitors and administers the investments we make, including the exercise of any rights in our capacity as a lender or equity holder; and</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us other investment advisory, research and related services as we may, from time to time, reasonably require for the investment of our funds, including providing operating and managerial assistance to us and our portfolio companies, as required.</w:t>
      </w:r>
    </w:p>
    <w:p>
      <w:pPr>
        <w:spacing w:after="0" w:line="162"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Adviser’s services under the Advisory Agreement are not exclusive, and the Adviser is free to furnish similar or other services to others so long as its services to us are not impaired.</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Under the terms of the Advisory Agreement, we pay the Adviser the Management Fee and may also pay certain Incentive Fees.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Base Management Fee</w:t>
      </w:r>
    </w:p>
    <w:p>
      <w:pPr>
        <w:spacing w:after="0" w:line="11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Management Fee will be calculated at an annual rate of 1.25% of the Fund’s gross assets. For services rendered under the Advisory Agreement, the Management Fee will be payable quarterly in arrears. The Management Fee will be calculated based on the average value of the Fund’s gross assets at the end of the two most recently completed calendar quarters, and appropriately adjusted for any Share issuances or repurchases during the current calendar quarter. Management Fees for any partial month or quarter will be appropriately prorated.</w:t>
      </w:r>
    </w:p>
    <w:p>
      <w:pPr>
        <w:spacing w:after="0" w:line="180"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For these purposes, “gross assets” means the Fund’s total assets determined on a consolidated basis in accordance with generally accepted accounting principles in the United States (“GAAP”), excluding undrawn commitments but including assets purchased with borrowed amounts. For the first calendar quarter in which the Fund has operations, gross assets will be measured as the average of gross assets at the Drawdown Purchase date and at the end of such first calendar quarter.</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00"/>
          </w:cols>
          <w:pgMar w:left="320" w:top="455" w:right="4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Fee Waiver Prior to Exchange Listing</w:t>
      </w:r>
    </w:p>
    <w:p>
      <w:pPr>
        <w:spacing w:after="0" w:line="119"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Prior to any Exchange Listing that may occur, the Adviser will waive its right to receive management fees in excess of the sum of 1.00% of the Fund’s average aggregate drawn capital (including capital drawn to pay Fund expenses) as of the end of the two most recently completed calendar quarters, appropriately adjusted for any Common Share issuances or repurchases during the current calendar quarter. The fee waiver will terminate if and when the Fund consummates an Exchange Listing.</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Incentive Fee</w:t>
      </w:r>
    </w:p>
    <w:p>
      <w:pPr>
        <w:spacing w:after="0" w:line="119"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Incentive Fee will consist of two components that are independent of each other, with the result that one component may be payable even if the other is not. A portion of the Incentive Fee is based on a percentage of our income and a portion is based on a percentage of our capital gains, each as described below.</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Incentive Fee consists of two parts, as follows:</w:t>
      </w:r>
    </w:p>
    <w:p>
      <w:pPr>
        <w:spacing w:after="0" w:line="3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(i) Incentive Fee on Pre-Incentive Fee Net Investment Income</w:t>
      </w:r>
    </w:p>
    <w:p>
      <w:pPr>
        <w:spacing w:after="0" w:line="11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Prior to an Exchange Listing, the first component, payable at the end of each quarter in arrears, equals 100% of the pre-Incentive Fee net investment income in excess of a 1.5% quarterly “hurdle rate,” the calculation of which is further explained below, until the Adviser has received 12.5% of the total pre-Incentive Fee net investment income for that quarter and for pre-Incentive fee net investment income in excess of 1.71% (6.86% annualized) quarterly, 12.5% of all remaining pre-Incentive Fee net investment income for that quarter. The 100% “catch-up” provision for pre-Incentive Fee net investment income in excess of the 1.5% “hurdle rate” (6.0% annualized) is intended to provide the Adviser with an Incentive Fee of 12.5% on all pre-Incentive Fee net investment income when that amount equals 1.71% in a quarter (6.86% annualized), which is the rate at which catch-up is achieved. Once the “hurdle rate” is reached and catch-up is achieved, 12.5% of any pre-Incentive Fee net investment income in excess of 1.71% in any quarter is payable to the Adviser.</w:t>
      </w:r>
    </w:p>
    <w:p>
      <w:pPr>
        <w:spacing w:after="0" w:line="19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Following an Exchange Listing, the first component, payable at the end of each quarter in arrears, equals 100% of the pre-Incentive Fee net investment income in excess of a 1.5% quarterly “hurdle rate” until the Adviser has received 17.5% of the total pre-Incentive Fee net investment income for that quarter and for pre-Incentive fee net investment income in excess of 1.82% (7.27% annualized) quarterly, 17.5% of all remaining pre-Incentive Fee net investment income for that quarter. The 100% “catch-up” provision for pre-Incentive Fee net investment income in excess of the 1.5% “hurdle rate” (6.0% annualized) is intended to provide the Adviser with an Incentive Fee of 17.5% on all pre-Incentive fee net investment income when that amount equals 1.82% in a quarter (7.27% annualized), which is the rate at which catch-up is achieved. Once the “hurdle rate” is reached and catch-up is achieved, 17.5% of any pre-Incentive Fee net investment income in excess of 1.82% in any quarter is payable to the Adviser.</w:t>
      </w:r>
    </w:p>
    <w:p>
      <w:pPr>
        <w:spacing w:after="0" w:line="189"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Pre-Incentive Fee net investment income means dividends (including reinvested dividends), interest and fee income accrued by us during the calendar quarter, minus our operating expenses for the quarter (including the Management Fee, expenses payable under the Administration Agreement to the Administrator, and any interest expense and dividends paid on any issued and outstanding preferred shares, but excluding the Incentive Fee). Pre-Incentive Fee net investment income includes, in the case of investments with a deferred interest feature (such as original issue discount, debt instruments with pay-in-kind interest and zero coupon securities), accrued income that we may not have received in cash. Pre-Incentive Fee net investment income does not include any realized capital gains, realized capital losses or unrealized capital appreciation or depreciation.</w:t>
      </w:r>
    </w:p>
    <w:p>
      <w:pPr>
        <w:spacing w:after="0" w:line="187"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To determine whether pre-Incentive Fee net investment income exceeds the hurdle rate, prior to the Exchange Listing, the pre-Incentive Fee net investment income was expressed as a rate of return on an average daily hurdle calculation value. The average daily hurdle calculation value, on any given day, equaled:</w:t>
      </w:r>
    </w:p>
    <w:p>
      <w:pPr>
        <w:spacing w:after="0" w:line="81" w:lineRule="exact"/>
        <w:rPr>
          <w:sz w:val="20"/>
          <w:szCs w:val="20"/>
          <w:color w:val="auto"/>
        </w:rPr>
      </w:pPr>
    </w:p>
    <w:p>
      <w:pPr>
        <w:ind w:left="1540" w:hanging="331"/>
        <w:spacing w:after="0"/>
        <w:tabs>
          <w:tab w:leader="none" w:pos="1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net assets as of the end of the calendar quarter immediately preceding the day; plus</w:t>
      </w:r>
    </w:p>
    <w:p>
      <w:pPr>
        <w:spacing w:after="0" w:line="130" w:lineRule="exact"/>
        <w:rPr>
          <w:rFonts w:ascii="Times New Roman" w:cs="Times New Roman" w:eastAsia="Times New Roman" w:hAnsi="Times New Roman"/>
          <w:sz w:val="18"/>
          <w:szCs w:val="18"/>
          <w:color w:val="auto"/>
        </w:rPr>
      </w:pPr>
    </w:p>
    <w:p>
      <w:pPr>
        <w:ind w:left="1540" w:right="60" w:hanging="331"/>
        <w:spacing w:after="0" w:line="282" w:lineRule="auto"/>
        <w:tabs>
          <w:tab w:leader="none" w:pos="1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capital drawn from investors (or reinvested pursuant to our dividend reinvestment plan) from the beginning of the current quarter to the day; minus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00"/>
          </w:cols>
          <w:pgMar w:left="320" w:top="455" w:right="4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540" w:right="100" w:hanging="331"/>
        <w:spacing w:after="0" w:line="282" w:lineRule="auto"/>
        <w:tabs>
          <w:tab w:leader="none" w:pos="1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distributions (including Share repurchases) made by us from the beginning of the current quarter to the day (but only to the extent the distributions were not declared and accounted for on our books and records in a previous quarter).</w:t>
      </w:r>
    </w:p>
    <w:p>
      <w:pPr>
        <w:spacing w:after="0" w:line="162" w:lineRule="exact"/>
        <w:rPr>
          <w:sz w:val="20"/>
          <w:szCs w:val="20"/>
          <w:color w:val="auto"/>
        </w:rPr>
      </w:pPr>
    </w:p>
    <w:p>
      <w:pPr>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Following an Exchange Listing, for purposes of determining whether pre-Incentive Fee net investment income exceeds the hurdle rate, pre-Incentive Fee net investment income will be expressed as a rate of return on the value of our net assets at the end of the immediately preceding calendar quarter.</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(i) Incentive Fee on Capital Gains</w:t>
      </w:r>
    </w:p>
    <w:p>
      <w:pPr>
        <w:spacing w:after="0" w:line="11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second component, payable at the end of each fiscal year in arrears, prior to the end of the quarter in which an Exchange Listing is completed equals 12.5%, and following the completion of an Exchange Listing, will equal a weighted percentage of cumulative realized capital gains from our inception to the end of that fiscal year, less cumulative realized capital losses and unrealized capital depreciation. We refer to this component of the Incentive Fee as the Capital Gains Fee. Each year, the fee paid for this component of the Incentive Fee is net of the aggregate amount of any previously paid Capital Gains Fee for prior periods. For capital gains that accrue following the end of the quarter in which an Exchange Listing is completed, the Incentive Fee rate will be 17.5%. The weighted percentage is intended to ensure that for each fiscal year following the completion of an Exchange Listing, the portion of our realized capital gains that accrued prior to the end of the quarter in which this Exchange Listing is completed will be subject to an Incentive Fee rate of 12.5% and the portion of our realized capital gains that accrued following the end of the quarter in which an Exchange Listing is completed will be subject to an Incentive Fee rate of 17.5%. Although unrealized gains that occur after the quarter in which an Exchange Listing occurs will lead to a higher fee accruing for such future unrealized gains than would have accrued prior to the Exchange Listing, at the date of an Exchange Listing, no additional amounts will accrue because the increase in the Incentive Fee rate to 17.5% does not apply to any unrealized gains accrued on our books through the date of an Exchange Listing. We accrue, but do not pay, a Capital Gains Fee with respect to unrealized appreciation because a Capital Gains Fee would be owed to the Adviser if we were to sell the relevant investments and realize a capital gain. The increase in fee rate will also cause a reduction in net asset value in the periods after the quarter in which an Exchange Listing occurs for the same reason.</w:t>
      </w:r>
    </w:p>
    <w:p>
      <w:pPr>
        <w:spacing w:after="0" w:line="19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Pre-Incentive Fee net investment income does not include any realized capital gains, realized capital losses or unrealized capital appreciation or depreciation. Because of the structure of the Incentive Fee, it is possible that we may pay an Incentive Fee in a quarter in which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and therefore the likelihood of us paying an Incentive Fee for that quarter. Our net investment income used to calculate this component of the Incentive Fee is also included in the amount of our gross assets used to calculate the Management Fee because gross assets are total assets (including cash received) before deducting liabilities (such as declared dividend payments).</w:t>
      </w:r>
    </w:p>
    <w:p>
      <w:pPr>
        <w:spacing w:after="0" w:line="192"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We accrue the Incentive Fee taking into account unrealized gains and losses; however, Section 205(b)(3) of the Advisers Act, as amended, prohibits the Adviser from receiving the payment of fees until those gains are realized, if ever. The fees that are payable under the Advisory Agreement for any partial period will be appropriately prorated.</w:t>
      </w:r>
    </w:p>
    <w:p>
      <w:pPr>
        <w:spacing w:after="0" w:line="176"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We entered into an Administration Agreement with our Adviser. Under the terms of the Administration Agreement, the Adviser provides administrative services to us. These services include providing office space, equipment and office services, maintaining financial records, preparing reports to shareholders and reports filed with the SEC, and managing the payment of expenses and the performance of administrative and professional services rendered by others. Certain of these services are reimbursable to the Adviser under the terms of the Administration Agreement. See “— Payment of our Expenses” below. In addition, the Adviser is permitted to delegate its duties under the Administration Agreement to affiliates or third parties and we pay or reimburse the Adviser expenses incurred by any such affiliates or third parties for work done on our behalf.</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No person who is an officer, director or employee of the Adviser or its affiliates and who serves as our trustee receives any compensation from us for his or her services as a trustee. However, we reimburse the Adviser or its affiliates for the allocable portion of the costs of compensation, benefits, and related administrative expenses of our officers who provide operational and administrative services to us pursuant to the Administration Agreement, their respective staffs and other professionals who provide services to us (including, in each case, employees of the Adviser or an affiliate). Such reimbursable amounts include the allocable portion of the compensation paid by the Adviser or its affiliates to our Chief Financial Officer, Chief Compliance Officer, and other professionals who provide operational and administrative services to us pursuant to the Administration Agreement, including individuals who provide “back office” or “middle office” financial, operational, legal and/or compliance services to us. We reimburse the Adviser or its affiliates for the allocable portion of the compensation paid by the Adviser or its affiliates to such individuals based on the percentage of time those individuals devote, on an estimated basis, to our business and affairs and in acting on behalf of us. We may also reimburse the Adviser or its affiliates for the allocable portion of overhead expenses (including rent, office equipment and utilities) attributable thereto. Directors/Trustees who are not affiliated with the Adviser receive compensation for their services and reimbursement of expenses incurred to attend meetings.</w:t>
      </w:r>
    </w:p>
    <w:p>
      <w:pPr>
        <w:spacing w:after="0" w:line="192"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The Adviser does not assume any responsibility to us other than to render the services described in, and on the terms of the Investment Advisory Agreement and the Administration Agreement, and is not responsible for any action of our Board in declining to follow the advice or recommendations of the Adviser. Under the terms of the Advisory Agreement and the Administration Agreement,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the Advisory Agreement, the Administration Agreement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shall,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by reason of the fact that he or she is or was a member, manager, officer, employee, agent, controlling person of the Adviser or any other person or entity affiliated with the Adviser, or is or was a member of the Adviser’s Investment Review Committee, on the same general terms set forth in Article V of the Declaration of Trust.</w:t>
      </w:r>
    </w:p>
    <w:p>
      <w:pPr>
        <w:spacing w:after="0" w:line="190"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United States federal and state securities laws may impose liability under certain circumstances on persons who act in good faith. Nothing in the Advisory Agreement will constitute a waiver or limitation of any rights that we may have under any applicable federal or state securities laws.</w:t>
      </w:r>
    </w:p>
    <w:p>
      <w:pPr>
        <w:spacing w:after="0" w:line="162"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We also have a license agreement with an affiliate of Sixth Street, pursuant to which we have been granted a non-exclusive license to use the Sixth Street name and logo, for a nominal fee, for so long as the Adviser or one of its affiliates remains our investment adviser. Other than with respect to this limited license, we have no legal right to the “Sixth Street” name or logo.</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Payment of Our Expenses</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costs associated with our Investment Team and staff of the Adviser, when and to the extent engaged in providing us investment advisory and management services, are paid for by the Adviser, other than to the extent described below and more specifically provided for in the Advisory Agreement.</w:t>
      </w:r>
    </w:p>
    <w:p>
      <w:pPr>
        <w:spacing w:after="0" w:line="176"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Fund bears all other fees, costs and expenses of our activities, operations, administration and transactions, including but not limited to those relating to:</w:t>
      </w:r>
    </w:p>
    <w:p>
      <w:pPr>
        <w:spacing w:after="0" w:line="67" w:lineRule="exact"/>
        <w:rPr>
          <w:sz w:val="20"/>
          <w:szCs w:val="20"/>
          <w:color w:val="auto"/>
        </w:rPr>
      </w:pPr>
    </w:p>
    <w:p>
      <w:pPr>
        <w:jc w:val="both"/>
        <w:ind w:left="1540" w:right="20" w:hanging="331"/>
        <w:spacing w:after="0" w:line="266" w:lineRule="auto"/>
        <w:tabs>
          <w:tab w:leader="none" w:pos="1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organizational and offering expenses related to the Fund’s initial private offering of Common Shares (up to an aggregate of 0.10% of total capital commitments to the Fund, it being understood and agreed that the Adviser shall bear all such organizational and offering expenses related to the Fund’s initial private offering of Common Shares in excess of such amount);</w:t>
      </w:r>
    </w:p>
    <w:p>
      <w:pPr>
        <w:spacing w:after="0" w:line="81"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calculating individual asset values and our net asset value (including the cost and expenses of any independent valuation firms);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540" w:right="280" w:hanging="331"/>
        <w:spacing w:after="0" w:line="258" w:lineRule="auto"/>
        <w:tabs>
          <w:tab w:leader="none" w:pos="1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including travel expenses, incurred by the Adviser, or members of our Investment Team, or payable to third parties, in respect of due diligence on prospective portfolio companies and, if necessary, in respect of enforcing the Fund’s rights with respect to investments in existing portfolio companies, including, among others, professional fees (including, without limitation, the fees and expenses of consultants and experts) and fees and expenses relating to, or associated with, evaluating, monitoring, researching and performing due diligence on investments and prospective investments</w:t>
      </w:r>
    </w:p>
    <w:p>
      <w:pPr>
        <w:spacing w:after="0" w:line="88" w:lineRule="exact"/>
        <w:rPr>
          <w:rFonts w:ascii="Times New Roman" w:cs="Times New Roman" w:eastAsia="Times New Roman" w:hAnsi="Times New Roman"/>
          <w:sz w:val="18"/>
          <w:szCs w:val="18"/>
          <w:color w:val="auto"/>
        </w:rPr>
      </w:pPr>
    </w:p>
    <w:p>
      <w:pPr>
        <w:ind w:left="1540" w:right="80" w:hanging="331"/>
        <w:spacing w:after="0" w:line="312" w:lineRule="auto"/>
        <w:tabs>
          <w:tab w:leader="none" w:pos="15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due diligence and research expenses (including an allocable portion of any research or other service that may deemed to be bundled for the benefit of the Fund), as well as the information technology systems used to obtain such research and other information;</w:t>
      </w:r>
    </w:p>
    <w:p>
      <w:pPr>
        <w:spacing w:after="0" w:line="45" w:lineRule="exact"/>
        <w:rPr>
          <w:rFonts w:ascii="Times New Roman" w:cs="Times New Roman" w:eastAsia="Times New Roman" w:hAnsi="Times New Roman"/>
          <w:sz w:val="17"/>
          <w:szCs w:val="17"/>
          <w:color w:val="auto"/>
        </w:rPr>
      </w:pPr>
    </w:p>
    <w:p>
      <w:pPr>
        <w:ind w:left="1540" w:hanging="331"/>
        <w:spacing w:after="0"/>
        <w:tabs>
          <w:tab w:leader="none" w:pos="1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any public offerings of our Common Shares and other securities, including registration and listing fees;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Management Fee and any Incentive Fee;</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costs and expenses relating to distributions paid on our Common Shares;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administration fees payable under our Administration Agreement with the Adviser;</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service and other costs of borrowings or other financing arrangements;</w:t>
      </w:r>
    </w:p>
    <w:p>
      <w:pPr>
        <w:spacing w:after="0" w:line="130" w:lineRule="exact"/>
        <w:rPr>
          <w:rFonts w:ascii="Times New Roman" w:cs="Times New Roman" w:eastAsia="Times New Roman" w:hAnsi="Times New Roman"/>
          <w:sz w:val="18"/>
          <w:szCs w:val="18"/>
          <w:color w:val="auto"/>
        </w:rPr>
      </w:pPr>
    </w:p>
    <w:p>
      <w:pPr>
        <w:ind w:left="1540" w:right="460" w:hanging="331"/>
        <w:spacing w:after="0" w:line="282" w:lineRule="auto"/>
        <w:tabs>
          <w:tab w:leader="none" w:pos="1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Adviser’s allocable share of costs incurred in providing significant managerial assistance to those portfolio companies that request it;</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payable to third parties relating to, or associated with, making or holding investments;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agent and custodial fees;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derivatives and hedging;</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commissions and other compensation payable to brokers or dealers;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and governmental fees;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Trustee fees and expenses;</w:t>
      </w:r>
    </w:p>
    <w:p>
      <w:pPr>
        <w:spacing w:after="0" w:line="130" w:lineRule="exact"/>
        <w:rPr>
          <w:rFonts w:ascii="Times New Roman" w:cs="Times New Roman" w:eastAsia="Times New Roman" w:hAnsi="Times New Roman"/>
          <w:sz w:val="18"/>
          <w:szCs w:val="18"/>
          <w:color w:val="auto"/>
        </w:rPr>
      </w:pPr>
    </w:p>
    <w:p>
      <w:pPr>
        <w:ind w:left="1540" w:right="60" w:hanging="331"/>
        <w:spacing w:after="0" w:line="261" w:lineRule="auto"/>
        <w:tabs>
          <w:tab w:leader="none" w:pos="1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financial officer and chief compliance officer and their respective staffs;</w:t>
      </w:r>
    </w:p>
    <w:p>
      <w:pPr>
        <w:spacing w:after="0" w:line="85" w:lineRule="exact"/>
        <w:rPr>
          <w:rFonts w:ascii="Times New Roman" w:cs="Times New Roman" w:eastAsia="Times New Roman" w:hAnsi="Times New Roman"/>
          <w:sz w:val="18"/>
          <w:szCs w:val="18"/>
          <w:color w:val="auto"/>
        </w:rPr>
      </w:pPr>
    </w:p>
    <w:p>
      <w:pPr>
        <w:ind w:left="1540" w:hanging="331"/>
        <w:spacing w:after="0" w:line="266" w:lineRule="auto"/>
        <w:tabs>
          <w:tab w:leader="none" w:pos="1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any reports, proxy statements or other notices to our shareholders (including printing and mailing costs), the costs of any shareholders’ meetings and the compensation of investor relations personnel responsible for the preparation of the foregoing and related matters;</w:t>
      </w:r>
    </w:p>
    <w:p>
      <w:pPr>
        <w:spacing w:after="0" w:line="81"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fidelity bond;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trustee and officers/errors and omissions liability insurance, and any other insurance premiums;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payments;</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80"/>
          </w:cols>
          <w:pgMar w:left="320" w:top="455" w:right="4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540" w:right="200" w:hanging="331"/>
        <w:spacing w:after="0" w:line="282" w:lineRule="auto"/>
        <w:tabs>
          <w:tab w:leader="none" w:pos="1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technology and related costs, including costs related to software, hardware and other technological systems (including specialty and custom software);</w:t>
      </w:r>
    </w:p>
    <w:p>
      <w:pPr>
        <w:spacing w:after="0" w:line="67" w:lineRule="exact"/>
        <w:rPr>
          <w:rFonts w:ascii="Times New Roman" w:cs="Times New Roman" w:eastAsia="Times New Roman" w:hAnsi="Times New Roman"/>
          <w:sz w:val="18"/>
          <w:szCs w:val="18"/>
          <w:color w:val="auto"/>
        </w:rPr>
      </w:pPr>
    </w:p>
    <w:p>
      <w:pPr>
        <w:ind w:left="1540" w:hanging="331"/>
        <w:spacing w:after="0" w:line="282" w:lineRule="auto"/>
        <w:tabs>
          <w:tab w:leader="none" w:pos="1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incurred in connection with any claim, litigation, arbitration, mediation, government investigation or dispute in connection with the business of the Fund and the amount of any judgment or settlement paid in connection therewith;</w:t>
      </w:r>
    </w:p>
    <w:p>
      <w:pPr>
        <w:spacing w:after="0" w:line="67" w:lineRule="exact"/>
        <w:rPr>
          <w:rFonts w:ascii="Times New Roman" w:cs="Times New Roman" w:eastAsia="Times New Roman" w:hAnsi="Times New Roman"/>
          <w:sz w:val="18"/>
          <w:szCs w:val="18"/>
          <w:color w:val="auto"/>
        </w:rPr>
      </w:pPr>
    </w:p>
    <w:p>
      <w:pPr>
        <w:ind w:left="1540" w:right="200" w:hanging="331"/>
        <w:spacing w:after="0" w:line="258" w:lineRule="auto"/>
        <w:tabs>
          <w:tab w:leader="none" w:pos="1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fees, costs and expenses, if any, incurred by or on behalf of the Fund in developing, negotiating and structuring prospective or potential investments that are not ultimately made, including, without limitation any reverse termination fees and any liquidated damages, commitment fees that become payable in connection with any proposed investment that is not ultimately made, forfeited deposits or similar payments, including expenses relating to unconsummated investments that may have been attributable to co-investors had such investments been consummated;</w:t>
      </w:r>
    </w:p>
    <w:p>
      <w:pPr>
        <w:spacing w:after="0" w:line="88" w:lineRule="exact"/>
        <w:rPr>
          <w:rFonts w:ascii="Times New Roman" w:cs="Times New Roman" w:eastAsia="Times New Roman" w:hAnsi="Times New Roman"/>
          <w:sz w:val="18"/>
          <w:szCs w:val="18"/>
          <w:color w:val="auto"/>
        </w:rPr>
      </w:pPr>
    </w:p>
    <w:p>
      <w:pPr>
        <w:ind w:left="1540" w:hanging="331"/>
        <w:spacing w:after="0" w:line="256" w:lineRule="auto"/>
        <w:tabs>
          <w:tab w:leader="none" w:pos="1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costs, including all fees, costs and expenses incurred in sourcing, evaluating, developing, negotiating, structuring, trading (including trading errors), settling, monitoring and holding prospective or actual investments or investment strategies including, without limitation, any financing, legal, filing, auditing, tax, accounting, compliance, loan administration, travel, meals, accommodations and entertainment, advisory, consulting, engineering, data-related and other professional fees, costs and expenses in connection therewith (to the extent the Adviser is not reimbursed by a prospective or actual issuer of the applicable investment or other third parties or capitalized as part of the acquisition price of the transaction);</w:t>
      </w:r>
    </w:p>
    <w:p>
      <w:pPr>
        <w:spacing w:after="0" w:line="92"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costs and expenses of administration, including audit, accounting, consulting and legal costs; and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expenses reasonably incurred by us in connection with making investments and administering our business.</w:t>
      </w:r>
    </w:p>
    <w:p>
      <w:pPr>
        <w:spacing w:after="0" w:line="225"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Fund bears its allocable portion of the costs of the compensation, benefits, and related administrative expenses (including travel expenses) of its officers who provide operational and administrative services under the Administration Agreement, their respective staffs and other professionals who provide services to the Fund (including, in each case, employees of the Administrator or an affiliate) who assist with the preparation, coordination, and administration of the foregoing or provide other “back office” or “middle office” financial or operational services to the Fund. The Fund reimburses the Adviser (or its affiliates) for an allocable portion of the compensation paid by the Adviser (or its affiliates) to such individuals (based on a percentage of time such individuals devote, on an estimated basis, to the business and affairs of the Fund and in acting on behalf of the Fund).</w:t>
      </w:r>
    </w:p>
    <w:p>
      <w:pPr>
        <w:spacing w:after="0" w:line="187"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 addition, from time to time, the Adviser pays amounts owed by us to third-party providers of goods or services. We subsequently reimburse the Adviser for those amounts paid on our behalf. We also reimburse the Adviser for the allocable portion of the compensation paid by the Adviser or its affiliates to our Chief Compliance Officer, Chief Financial Officer, and other professionals who spend time on those related activities (based on the percentage of time those individuals devote, on an estimated basis, to our business and affairs). All of the expenses described above are ultimately borne by our shareholders.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Duration and Termination</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Unless terminated earlier as described below, both the Advisory Agreement and Administration Agreement will continue in effect for a period of two years from its effective date. They will remain in effect from year to year thereafter if approved annually by our Board of Trustees or by the affirmative vote of the holders of a majority of our outstanding voting securities, and, in either case, if also approved by a majority of our trustees who are not “interested persons,” as that term is defined in the 1940 Act, of us or our Adviser. Each agreement automatically terminates in the event of its assignment, as defined in the 1940 Act, by the Adviser. Each agreement may be terminated by either party without penalty upon at least 60 days’ written notice to the other party. The holders of a majority of our outstanding voting securities may also terminate each agreement without penalty upon not less than 60 days’ written notice. See “Risk Factors—Risks Related to Our Business and Structure—We are dependent upon management personnel of the Adviser, Sixth Street and their affiliates for our future success.”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21"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The Advisory Agreement and the Administration Agreement provide that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those agreements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will,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because he or she is or was a member, manager, officer, employee, agent, controlling person or any other person or entity affiliated with the Adviser, including without limitation the Administrator, or is or was a member of the Adviser’s Investment Review Committee, on the same general terms set forth in our declaration of trust. 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Regulation as a Business Development Company</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following discussion is a general summary of the material prohibitions and descriptions governing BDCs generally. It does not purport to be a complete description of all of the laws and regulations affecting BDCs.</w:t>
      </w:r>
    </w:p>
    <w:p>
      <w:pPr>
        <w:spacing w:after="0" w:line="158" w:lineRule="exact"/>
        <w:rPr>
          <w:sz w:val="20"/>
          <w:szCs w:val="20"/>
          <w:color w:val="auto"/>
        </w:rPr>
      </w:pPr>
    </w:p>
    <w:p>
      <w:pPr>
        <w:jc w:val="both"/>
        <w:ind w:left="120" w:right="3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Qualifying Assets. </w:t>
      </w:r>
      <w:r>
        <w:rPr>
          <w:rFonts w:ascii="Times New Roman" w:cs="Times New Roman" w:eastAsia="Times New Roman" w:hAnsi="Times New Roman"/>
          <w:sz w:val="18"/>
          <w:szCs w:val="18"/>
          <w:color w:val="auto"/>
        </w:rPr>
        <w:t>Under the 1940 Act, a BDC may not acquire any asset other than assets of the type listed in Section 55(a) of the 1940 Act,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are referred to as “Qualifying Assets,” unless, at the time the acquisition is made, Qualifying Assets represent at least 70% of the Fund’s total assets. The principal categories of Qualifying Assets relevant to our business are any of the following:</w:t>
      </w:r>
    </w:p>
    <w:p>
      <w:pPr>
        <w:spacing w:after="0" w:line="80" w:lineRule="exact"/>
        <w:rPr>
          <w:sz w:val="20"/>
          <w:szCs w:val="20"/>
          <w:color w:val="auto"/>
        </w:rPr>
      </w:pPr>
    </w:p>
    <w:p>
      <w:pPr>
        <w:ind w:left="1080" w:right="80" w:hanging="532"/>
        <w:spacing w:after="0" w:line="261"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purchased in transactions not involving any public offering from the issuer of such securities, which issuer (subject to certain limited exceptions) is an Eligible Portfolio Company (as defined below), or from any person who is, or has been during the preceding 13 months, an affiliated person of an Eligible Portfolio Company, or from any other person, subject to such rules as may be prescribed by the SEC. An “Eligible Portfolio Company” is defined in the 1940 Act as any issuer which:</w:t>
      </w:r>
    </w:p>
    <w:p>
      <w:pPr>
        <w:spacing w:after="0" w:line="85"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organized under the laws of, and has its principal place of business in, the United States;</w:t>
      </w:r>
    </w:p>
    <w:p>
      <w:pPr>
        <w:spacing w:after="0" w:line="130" w:lineRule="exact"/>
        <w:rPr>
          <w:rFonts w:ascii="Times New Roman" w:cs="Times New Roman" w:eastAsia="Times New Roman" w:hAnsi="Times New Roman"/>
          <w:sz w:val="18"/>
          <w:szCs w:val="18"/>
          <w:color w:val="auto"/>
        </w:rPr>
      </w:pPr>
    </w:p>
    <w:p>
      <w:pPr>
        <w:ind w:left="1540" w:right="460" w:hanging="439"/>
        <w:spacing w:after="0" w:line="282" w:lineRule="auto"/>
        <w:tabs>
          <w:tab w:leader="none" w:pos="15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an investment company (other than a small business investment company wholly owned by the BDC) or a company that would be an investment company but for certain exclusions under the 1940 Act; and</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satisfies any of the following:</w:t>
      </w:r>
    </w:p>
    <w:p>
      <w:pPr>
        <w:spacing w:after="0" w:line="130"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any class of securities that is traded on a national securities exchange;</w:t>
      </w:r>
    </w:p>
    <w:p>
      <w:pPr>
        <w:spacing w:after="0" w:line="130" w:lineRule="exact"/>
        <w:rPr>
          <w:rFonts w:ascii="Times New Roman" w:cs="Times New Roman" w:eastAsia="Times New Roman" w:hAnsi="Times New Roman"/>
          <w:sz w:val="18"/>
          <w:szCs w:val="18"/>
          <w:color w:val="auto"/>
        </w:rPr>
      </w:pPr>
    </w:p>
    <w:p>
      <w:pPr>
        <w:ind w:left="2080" w:right="40" w:hanging="533"/>
        <w:spacing w:after="0" w:line="282" w:lineRule="auto"/>
        <w:tabs>
          <w:tab w:leader="none" w:pos="2080"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class of securities listed on a national securities exchange, but has an aggregate market value of outstanding voting and non-voting common equity of less than $250 million;</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00"/>
          </w:cols>
          <w:pgMar w:left="320" w:top="455" w:right="4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2080" w:right="160" w:hanging="533"/>
        <w:spacing w:after="0" w:line="282" w:lineRule="auto"/>
        <w:tabs>
          <w:tab w:leader="none" w:pos="20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controlled by a BDC or a group of companies including a BDC and the BDC has an affiliated person who is a director of the Eligible Portfolio Company; or</w:t>
      </w:r>
    </w:p>
    <w:p>
      <w:pPr>
        <w:spacing w:after="0" w:line="67" w:lineRule="exact"/>
        <w:rPr>
          <w:rFonts w:ascii="Times New Roman" w:cs="Times New Roman" w:eastAsia="Times New Roman" w:hAnsi="Times New Roman"/>
          <w:sz w:val="18"/>
          <w:szCs w:val="18"/>
          <w:color w:val="auto"/>
        </w:rPr>
      </w:pPr>
    </w:p>
    <w:p>
      <w:pPr>
        <w:ind w:left="2080" w:right="400" w:hanging="533"/>
        <w:spacing w:after="0" w:line="282" w:lineRule="auto"/>
        <w:tabs>
          <w:tab w:leader="none" w:pos="20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small and solvent company having total assets of not more than $4.0 million and capital and surplus of not less than $2.0 million.</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 any Eligible Portfolio Company controlled by the Fund.</w:t>
      </w:r>
    </w:p>
    <w:p>
      <w:pPr>
        <w:spacing w:after="0" w:line="130" w:lineRule="exact"/>
        <w:rPr>
          <w:rFonts w:ascii="Times New Roman" w:cs="Times New Roman" w:eastAsia="Times New Roman" w:hAnsi="Times New Roman"/>
          <w:sz w:val="18"/>
          <w:szCs w:val="18"/>
          <w:color w:val="auto"/>
        </w:rPr>
      </w:pPr>
    </w:p>
    <w:p>
      <w:pPr>
        <w:ind w:left="1080" w:hanging="532"/>
        <w:spacing w:after="0" w:line="261"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purchased in a private transaction from a U.S. issuer that is not an investment company or from an affiliated person of the issuer, or in transactions incident thereto, if the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85" w:lineRule="exact"/>
        <w:rPr>
          <w:rFonts w:ascii="Times New Roman" w:cs="Times New Roman" w:eastAsia="Times New Roman" w:hAnsi="Times New Roman"/>
          <w:sz w:val="18"/>
          <w:szCs w:val="18"/>
          <w:color w:val="auto"/>
        </w:rPr>
      </w:pPr>
    </w:p>
    <w:p>
      <w:pPr>
        <w:ind w:left="1080" w:right="600" w:hanging="532"/>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 an Eligible Portfolio Company purchased from any person in a private transaction if there is no ready market for such securities and the Fund already owns 60% of the outstanding equity of the Eligible Portfolio Company.</w:t>
      </w:r>
    </w:p>
    <w:p>
      <w:pPr>
        <w:spacing w:after="0" w:line="67" w:lineRule="exact"/>
        <w:rPr>
          <w:rFonts w:ascii="Times New Roman" w:cs="Times New Roman" w:eastAsia="Times New Roman" w:hAnsi="Times New Roman"/>
          <w:sz w:val="18"/>
          <w:szCs w:val="18"/>
          <w:color w:val="auto"/>
        </w:rPr>
      </w:pPr>
    </w:p>
    <w:p>
      <w:pPr>
        <w:ind w:left="1080" w:right="360" w:hanging="532"/>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received in exchange for or distributed on or with respect to securities described in (1) through (4) above, or pursuant to the exercise of warrants or rights relating to such securities.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Cash, cash equivalents, U.S. government securities or high-quality debt securities maturing in one year or less from the time of investment.</w:t>
      </w:r>
    </w:p>
    <w:p>
      <w:pPr>
        <w:spacing w:after="0" w:line="23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addition, a BDC must be operated for the purpose of making investments in the types of securities described in (1), (2) or (3) above.</w:t>
      </w:r>
    </w:p>
    <w:p>
      <w:pPr>
        <w:spacing w:after="0" w:line="2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Significant Managerial Assistance. </w:t>
      </w:r>
      <w:r>
        <w:rPr>
          <w:rFonts w:ascii="Times New Roman" w:cs="Times New Roman" w:eastAsia="Times New Roman" w:hAnsi="Times New Roman"/>
          <w:sz w:val="18"/>
          <w:szCs w:val="18"/>
          <w:color w:val="auto"/>
        </w:rPr>
        <w:t>A BDC must have been organized under the laws of, and have its principal place of business in, any state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states within the United States. However, in order to count portfolio securities as Qualifying Assets for the purpose of the 70% test, the BDC must either control the issuer of the securities or must offer to make available to the issuer of the securities (other than small and solvent companies described above) significant managerial assistance; except that, where the BDC purchases such securities in conjunction with one or more other persons acting together, one of the other persons in the group may make available such managerial assistance. Making available managerial assistance means, among other things, any arrangement whereby the BDC, through its directors, officers or employees, offers to provide, and, if accepted, does so provide, significant guidance and counsel concerning the management, operations or business objectives and policies of a portfolio company.</w:t>
      </w:r>
    </w:p>
    <w:p>
      <w:pPr>
        <w:spacing w:after="0" w:line="183"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Temporary Investments. </w:t>
      </w:r>
      <w:r>
        <w:rPr>
          <w:rFonts w:ascii="Times New Roman" w:cs="Times New Roman" w:eastAsia="Times New Roman" w:hAnsi="Times New Roman"/>
          <w:sz w:val="18"/>
          <w:szCs w:val="18"/>
          <w:color w:val="auto"/>
        </w:rPr>
        <w:t>Pending investment in other types of Qualifying Assets, as described above, our investments may consist of cash, cash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equivalents, U.S. government securities or high-quality debt securities maturing in one year or less from the time of investment, which we refer to, collectively, as “temporary investments,” so that 70% of our assets are Qualifying Assets. We may also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gross assets constitute repurchase agreements from a single counterparty, we would not meet the diversification tests in order to qualify as a RIC. Thus, we do not intend to enter into repurchase agreements with a single counterparty in excess of this limit. Our Adviser will monitor the creditworthiness of the counterparties with which we enter into repurchase agreement transactions.</w:t>
      </w:r>
    </w:p>
    <w:p>
      <w:pPr>
        <w:spacing w:after="0" w:line="185" w:lineRule="exact"/>
        <w:rPr>
          <w:sz w:val="20"/>
          <w:szCs w:val="20"/>
          <w:color w:val="auto"/>
        </w:rPr>
      </w:pPr>
    </w:p>
    <w:p>
      <w:pPr>
        <w:ind w:left="120" w:right="60" w:firstLine="44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Indebtedness and Senior Securities. </w:t>
      </w:r>
      <w:r>
        <w:rPr>
          <w:rFonts w:ascii="Times New Roman" w:cs="Times New Roman" w:eastAsia="Times New Roman" w:hAnsi="Times New Roman"/>
          <w:sz w:val="17"/>
          <w:szCs w:val="17"/>
          <w:color w:val="auto"/>
        </w:rPr>
        <w:t>The Fund is permitted, under specified conditions, to issue multiple classes of indebtedness and one class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shares senior to the Common Shares if the Fund’s asset coverage, as defined in the 1940 Act, would at least equal 150% immediately after each such issuance. On June 8, our sole initial shareholder approved the adoption of this 150% threshold pursuant to Section 61(a)(2) of the 1940 Act. In addition,</w:t>
      </w:r>
    </w:p>
    <w:p>
      <w:pPr>
        <w:spacing w:after="0" w:line="8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00"/>
          </w:cols>
          <w:pgMar w:left="320" w:top="455" w:right="4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while any senior securities remain outstanding, the Fund will be required to make provisions to prohibit any dividend distribution to shareholders or the repurchase of such securities or Common Shares unless the Fund meets the applicable asset coverage ratios at the time of the dividend distribution or repurchase. The Fund will also be permitted to borrow amounts up to 5% of the value of its total assets for temporary or emergency purposes, which borrowings would not be considered senior securities.</w:t>
      </w:r>
    </w:p>
    <w:p>
      <w:pPr>
        <w:spacing w:after="0" w:line="18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Fund expects to employ leverage and otherwise incur indebtedness with respect to its portfolio including entry (directly or indirectly) into one or more credit facilities, including asset-based loan facilities or subscription facilities, and/or enter into other financing arrangements to facilitate investments, the timely payment of expenses and other purposes. The Fund cannot assure investors that it will be able to enter into a credit facility. Investors will indirectly bear the costs associated with the establishment of a credit facility and with any borrowings under a credit facility or otherwise. In connection with a credit facility or other borrowings, lenders may require the Fund to pledge assets and may ask the Fund to comply with positive or negative covenants that could have an effect on Fund operations. The Fund may pledge and may grant a security interest in all of its assets under the terms of any debt instruments that it enters into with lenders. In addition, from time to time, the Fund’s losses on investments may result in the liquidation of other investments held by the Fund.</w:t>
      </w:r>
    </w:p>
    <w:p>
      <w:pPr>
        <w:spacing w:after="0" w:line="188" w:lineRule="exact"/>
        <w:rPr>
          <w:sz w:val="20"/>
          <w:szCs w:val="20"/>
          <w:color w:val="auto"/>
        </w:rPr>
      </w:pPr>
    </w:p>
    <w:p>
      <w:pPr>
        <w:ind w:left="120" w:right="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Code of Ethics. </w:t>
      </w:r>
      <w:r>
        <w:rPr>
          <w:rFonts w:ascii="Times New Roman" w:cs="Times New Roman" w:eastAsia="Times New Roman" w:hAnsi="Times New Roman"/>
          <w:sz w:val="18"/>
          <w:szCs w:val="18"/>
          <w:color w:val="auto"/>
        </w:rPr>
        <w:t>We and the Adviser have adopted a code of ethics pursuant to Rule 17j-1 under the 1940 Act and Rule 204A-1 under the Advisers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Act, respectively, that establishes procedures for personal investments and restricts certain transactions by our personnel. Our codes of ethics generally do not permit personal investments by our and the Adviser’s personnel in securities that may be purchased or sold by us.</w:t>
      </w:r>
    </w:p>
    <w:p>
      <w:pPr>
        <w:spacing w:after="0" w:line="171" w:lineRule="exact"/>
        <w:rPr>
          <w:sz w:val="20"/>
          <w:szCs w:val="20"/>
          <w:color w:val="auto"/>
        </w:rPr>
      </w:pPr>
    </w:p>
    <w:p>
      <w:pPr>
        <w:ind w:left="120" w:right="4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Compliance Policies and Procedures. </w:t>
      </w:r>
      <w:r>
        <w:rPr>
          <w:rFonts w:ascii="Times New Roman" w:cs="Times New Roman" w:eastAsia="Times New Roman" w:hAnsi="Times New Roman"/>
          <w:sz w:val="18"/>
          <w:szCs w:val="18"/>
          <w:color w:val="auto"/>
        </w:rPr>
        <w:t>We and the Adviser have adopted and implemented written policies and procedures reasonably designed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detect and prevent violation of the federal securities laws and are required to review these compliance policies and procedures annually for their adequacy and the effectiveness of their implementation and designate a Chief Compliance Officer to be responsible for administering the policies and procedures.</w:t>
      </w:r>
    </w:p>
    <w:p>
      <w:pPr>
        <w:spacing w:after="0" w:line="176" w:lineRule="exact"/>
        <w:rPr>
          <w:sz w:val="20"/>
          <w:szCs w:val="20"/>
          <w:color w:val="auto"/>
        </w:rPr>
      </w:pPr>
    </w:p>
    <w:p>
      <w:pPr>
        <w:ind w:left="120" w:right="50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Sarbanes-Oxley Act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Sarbanes-Oxley Act imposes a wide variety of new regulatory requirements on publicly-held companies and their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insiders. Many of these requirements affect us. For example:</w:t>
      </w:r>
    </w:p>
    <w:p>
      <w:pPr>
        <w:spacing w:after="0" w:line="64" w:lineRule="exact"/>
        <w:rPr>
          <w:sz w:val="20"/>
          <w:szCs w:val="20"/>
          <w:color w:val="auto"/>
        </w:rPr>
      </w:pPr>
    </w:p>
    <w:p>
      <w:pPr>
        <w:ind w:left="1080" w:right="26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13a-14 of the 1934 Act, our President and Chief Financial Officer must certify the accuracy of the financial statements contained in our periodic reports;</w:t>
      </w:r>
    </w:p>
    <w:p>
      <w:pPr>
        <w:spacing w:after="0" w:line="67"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Item 307 of Regulation S-K, our periodic reports must disclose our conclusions about the effectiveness of our disclosure controls and procedures;</w:t>
      </w:r>
    </w:p>
    <w:p>
      <w:pPr>
        <w:spacing w:after="0" w:line="67"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13a-15 of the 1934 Act, our management must prepare a report regarding its assessment of our internal control over financial reporting starting with our annual report on Form 10-K for the fiscal year ending December 31, 2022 and, when we cease to be an emerging growth company (if we are also an accelerated filer or large accelerated filer), must obtain an audit of the effectiveness of internal control over financial reporting performed by our independent registered public accounting firm; and</w:t>
      </w:r>
    </w:p>
    <w:p>
      <w:pPr>
        <w:spacing w:after="0" w:line="85"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Item 308 of Regulation S-K and Rule 13a-15 of the 1934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material weaknesses.</w:t>
      </w:r>
    </w:p>
    <w:p>
      <w:pPr>
        <w:spacing w:after="0" w:line="176"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Sarbanes-Oxley Act requires us to review our current policies and procedures to determine whether we comply with the Sarbanes-Oxley Act and the regulations promulgated thereunder. We will continue to monitor our compliance with all regulations that are adopted under the Sarbanes-Oxley Act and will take actions necessary to ensure that we are in compliance therewith.</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78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Compliance with the JOBS Act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currently are, and following the completion of this offering expect to remain, an “emerging growth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as defined in the JOBS Act until the earliest of:</w:t>
      </w:r>
    </w:p>
    <w:p>
      <w:pPr>
        <w:spacing w:after="0" w:line="64" w:lineRule="exact"/>
        <w:rPr>
          <w:sz w:val="20"/>
          <w:szCs w:val="20"/>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five years measured from the date of the first sale of common equity securities pursuant to an effective registration statement;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first fiscal year in which our annual gross revenues are $1.07 billion or more;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have issued more than $1 billion in non-convertible debt during the preceding three-year period; and</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that we become a “large accelerated filer” as defined in Rule 12b-2 under the 1934 Act, which would occur if the market value of the Common Shares that is held by non-affiliates exceeds $700 million as of any June 30.</w:t>
      </w:r>
    </w:p>
    <w:p>
      <w:pPr>
        <w:spacing w:after="0" w:line="162" w:lineRule="exact"/>
        <w:rPr>
          <w:sz w:val="20"/>
          <w:szCs w:val="20"/>
          <w:color w:val="auto"/>
        </w:rPr>
      </w:pPr>
    </w:p>
    <w:p>
      <w:pPr>
        <w:ind w:left="120" w:right="40" w:firstLine="440"/>
        <w:spacing w:after="0" w:line="277" w:lineRule="auto"/>
        <w:rPr>
          <w:sz w:val="20"/>
          <w:szCs w:val="20"/>
          <w:color w:val="auto"/>
        </w:rPr>
      </w:pPr>
      <w:r>
        <w:rPr>
          <w:rFonts w:ascii="Times New Roman" w:cs="Times New Roman" w:eastAsia="Times New Roman" w:hAnsi="Times New Roman"/>
          <w:sz w:val="17"/>
          <w:szCs w:val="17"/>
          <w:color w:val="auto"/>
        </w:rPr>
        <w:t>Under the JOBS Act, we are exempt from the provisions of Section 404(b) of the Sarbanes-Oxley Act, which would require that our independent registered public accounting firm provide an attestation report on the effectiveness of our internal control over financial reporting. As long as we remain an emerging growth company, we intend to take advantage of certain exemptions from various reporting requirements that are applicable to other public companies, including, but not limited to, not being required to comply with the auditor attestation requirements of Section 404 of the Sarbanes-Oxley Act. This may increase the risk that material weaknesses or other deficiencies in our internal control over financial reporting go undetected.</w:t>
      </w:r>
    </w:p>
    <w:p>
      <w:pPr>
        <w:spacing w:after="0" w:line="168"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 addition, Section 7(a)(2)(B) of the 1933 Act and Section 13(a) of the 1934 Act, as amended by Section 102(b) of the JOBS Act, provide that an emerging growth company can take advantage of the extended transition period for complying with new or revised accounting standards. However, pursuant to Section 107 of the JOBS Act, we are choosing to “opt out” of such extended transition period, and as a result, we will comply with new or revised accounting standards on the relevant dates on which adoption of such standards is required for non-emerging growth companies. Our decision to opt out of the extended transition period for complying with new or revised accounting standards is irrevocable.</w:t>
      </w:r>
    </w:p>
    <w:p>
      <w:pPr>
        <w:spacing w:after="0" w:line="179" w:lineRule="exact"/>
        <w:rPr>
          <w:sz w:val="20"/>
          <w:szCs w:val="20"/>
          <w:color w:val="auto"/>
        </w:rPr>
      </w:pPr>
    </w:p>
    <w:p>
      <w:pPr>
        <w:ind w:left="120" w:right="34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U.S. Investment Advisers Act of 1940</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Adviser is registered as an investment adviser under the U.S. Investment Advisers Act of 1940,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amended (the “</w:t>
      </w:r>
      <w:r>
        <w:rPr>
          <w:rFonts w:ascii="Times New Roman" w:cs="Times New Roman" w:eastAsia="Times New Roman" w:hAnsi="Times New Roman"/>
          <w:sz w:val="18"/>
          <w:szCs w:val="18"/>
          <w:b w:val="1"/>
          <w:bCs w:val="1"/>
          <w:color w:val="auto"/>
        </w:rPr>
        <w:t>Advisers Act</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U.S. Securities Act of 1933</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offer and sale of the Common Shares will not be registered under the Securities Act, in reliance upon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exemption from registration provided by Section 4(a)(2), Regulation D promulgated thereunder, Regulation S and/or exemptions of similar import in the jurisdictions in which Common Shares are offered and sold. Each purchaser must be (a) an “accredited investor” (as defined in Regulation D promulgated under the Securities Act) or (b) a person that qualifies as a non-U.S. person for purposes of Regulation S under the Securities Act and will be required to represent, among other customary private placement representations, that it is acquiring its Unit for its own account and for investment purposes only and not with a view to resale or distribution.</w:t>
      </w:r>
    </w:p>
    <w:p>
      <w:pPr>
        <w:spacing w:after="0" w:line="186"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Other than the registration under the 1934 Act pursuant to the Form 10 Registration Statement, the Common Shares will not be registered under any other securities laws, including state securities or blue sky laws and non-U.S. securities laws.</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Common Shares may not be transferred or resold (i) except as permitted under the Limited Liability Company Agreement, (ii) unless they are registered under the Securities Act and under any other applicable securities laws or an exemption from such registration thereunder is available and (iii) only as permitted by any other relevant laws of any applicable jurisdiction.</w:t>
      </w:r>
    </w:p>
    <w:p>
      <w:pPr>
        <w:spacing w:after="0" w:line="172"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Proxy Voting Policies and Procedures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will delegate our proxy voting responsibility to our Adviser. The Proxy Voting Policies and Procedures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our Adviser are set forth below. The guidelines are reviewed periodically by the Adviser and our Independent Trustees, and, accordingly, are subject to change.</w:t>
      </w:r>
    </w:p>
    <w:p>
      <w:pPr>
        <w:spacing w:after="0" w:line="175"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An investment adviser registered under the Advisers Act has a fiduciary duty to act solely in the best interests of its clients. As part of this duty, the Adviser recognizes that it must vote client securities in a timely manner free of conflicts of interest and in the best interests of its clients. These policies and procedures for voting proxies for the Adviser’s investment advisory clients are intended to comply with Section 206 of, and Rule 206(4)-6 under, the Advisers Act.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Adviser will vote all proxies based upon the guiding principle of seeking the maximization of the ultimate long-term economic value of our shareholders’ holdings, and ultimately all votes are cast on a case-by-case basis, taking into consideration the contractual obligations under the relevant advisory agreements or comparable documents, and all other relevant facts and circumstances at the time of the vote. All proxy voting decisions will require a mandatory conflicts of interest review by our Chief Compliance Officer in accordance with these policies and procedures, which will include consideration of whether the Adviser or any investment professional or other person recommending how to vote the proxy has an interest in how the proxy is voted that may present a conflict of interest. It is the Adviser’s general policy to vote or give consent on all matters presented to security holders in any proxy, and these policies and procedures have been designed with that in mind. However, the Adviser reserves the right to abstain on any particular vote or otherwise withhold its vote or consent on any matter if, in the judgment of our Chief Compliance Officer or the relevant investment professional(s), the costs associated with voting such proxy outweigh the benefits to our shareholders or if the circumstances make such an abstention or withholding otherwise advisable and in the best interest of the relevant stockholder(s).</w:t>
      </w:r>
    </w:p>
    <w:p>
      <w:pPr>
        <w:spacing w:after="0" w:line="190" w:lineRule="exact"/>
        <w:rPr>
          <w:sz w:val="20"/>
          <w:szCs w:val="20"/>
          <w:color w:val="auto"/>
        </w:rPr>
      </w:pPr>
    </w:p>
    <w:p>
      <w:pPr>
        <w:ind w:left="120" w:right="16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Proxy Policies. </w:t>
      </w:r>
      <w:r>
        <w:rPr>
          <w:rFonts w:ascii="Times New Roman" w:cs="Times New Roman" w:eastAsia="Times New Roman" w:hAnsi="Times New Roman"/>
          <w:sz w:val="18"/>
          <w:szCs w:val="18"/>
          <w:color w:val="auto"/>
        </w:rPr>
        <w:t>The Adviser’s policies and procedures are reasonably designed to ensure that the Adviser votes proxies in the best interest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Fund and addresses how it will resolve any conflict of interest that may arise when voting proxies and, in so doing, to maximize the value of the investments made by the Fund, taking into consideration the Fund’s investment horizons and other relevant factors. It will review on a case-by-case basis each proposal submitted for a Unitholder vote to determine its impact on the portfolio securities held by its clients. Although the Adviser will generally vote against proposals that may have a negative impact on its clients’ portfolio securities, it may vote for such a proposal if there exists compelling long-term reasons to do so.</w:t>
      </w:r>
    </w:p>
    <w:p>
      <w:pPr>
        <w:spacing w:after="0" w:line="186" w:lineRule="exact"/>
        <w:rPr>
          <w:sz w:val="20"/>
          <w:szCs w:val="20"/>
          <w:color w:val="auto"/>
        </w:rPr>
      </w:pPr>
    </w:p>
    <w:p>
      <w:pPr>
        <w:ind w:left="120" w:right="40" w:firstLine="440"/>
        <w:spacing w:after="0" w:line="274" w:lineRule="auto"/>
        <w:rPr>
          <w:sz w:val="20"/>
          <w:szCs w:val="20"/>
          <w:color w:val="auto"/>
        </w:rPr>
      </w:pPr>
      <w:r>
        <w:rPr>
          <w:rFonts w:ascii="Times New Roman" w:cs="Times New Roman" w:eastAsia="Times New Roman" w:hAnsi="Times New Roman"/>
          <w:sz w:val="17"/>
          <w:szCs w:val="17"/>
          <w:color w:val="auto"/>
        </w:rPr>
        <w:t>Decisions on how to vote a proxy generally are made by the Adviser. The Investment Committee and the members of the Investment Team covering the applicable security often have the most intimate knowledge of both a company’s operations and the potential impact of a proxy vote’s outcome. Decisions are based on a number of factors which may vary depending on a proxy’s subject matter, but are guided by the general policies described in the proxy policy. In addition, the Adviser may determine not to vote a proxy after consideration of the vote’s expected benefit to clients and the cost of voting the proxy. To ensure that its vote is not the product of a conflict of interest, the Adviser will require the members of the Investment Committee to disclose any personal conflicts of interest they may have with respect to overseeing a Fund’s investment in a particular company.</w:t>
      </w:r>
    </w:p>
    <w:p>
      <w:pPr>
        <w:spacing w:after="0" w:line="169" w:lineRule="exact"/>
        <w:rPr>
          <w:sz w:val="20"/>
          <w:szCs w:val="20"/>
          <w:color w:val="auto"/>
        </w:rPr>
      </w:pPr>
    </w:p>
    <w:p>
      <w:pPr>
        <w:ind w:left="120" w:right="24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Proxy Voting Records. </w:t>
      </w:r>
      <w:r>
        <w:rPr>
          <w:rFonts w:ascii="Times New Roman" w:cs="Times New Roman" w:eastAsia="Times New Roman" w:hAnsi="Times New Roman"/>
          <w:sz w:val="18"/>
          <w:szCs w:val="18"/>
          <w:color w:val="auto"/>
        </w:rPr>
        <w:t>You may obtain information, without charge, regarding how we voted proxies with respect to our portfolio securities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making a written request for proxy voting information to: .</w:t>
      </w:r>
    </w:p>
    <w:p>
      <w:pPr>
        <w:spacing w:after="0" w:line="155" w:lineRule="exact"/>
        <w:rPr>
          <w:sz w:val="20"/>
          <w:szCs w:val="20"/>
          <w:color w:val="auto"/>
        </w:rPr>
      </w:pPr>
    </w:p>
    <w:p>
      <w:pPr>
        <w:ind w:left="120" w:right="60" w:firstLine="440"/>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Anti-Money Laundering Requirements</w:t>
      </w:r>
      <w:r>
        <w:rPr>
          <w:rFonts w:ascii="Times New Roman" w:cs="Times New Roman" w:eastAsia="Times New Roman" w:hAnsi="Times New Roman"/>
          <w:sz w:val="17"/>
          <w:szCs w:val="17"/>
          <w:color w:val="auto"/>
        </w:rPr>
        <w:t>. In order to comply with applicable anti-money laundering requirements, the investor must, except as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otherwise agreed by the Adviser, represent and warrant in its Subscription Agreement with the Fund that neither the investor, nor any of its affiliates or beneficial owners (i) appears on the Specially Designated Nationals and Blocked Persons List of the OFAC, nor are they otherwise a party with which the Fund is prohibited to deal under the laws of the United States, (ii) appears on the European External Action Service consolidated list of persons, groups and entities subject to EU financial sanctions maintained on behalf of the European Commission, (iii) appears on the Consolidated United Nations Security Council Sanctions List or (iv) is a person identified as a terrorist organization on any other relevant lists maintained by governmental authorities. The investor must also represent and warrant that: (i) if the investor is a natural person, the investor is not a person who is or has been entrusted with prominent public functions, such as Head of State or of government, a senior politician, a senior government, judicial or military official, a senior executive of a state-owned corporation or an important political party official, or a close family member or close associate of such person and</w:t>
      </w:r>
    </w:p>
    <w:p>
      <w:pPr>
        <w:spacing w:after="0" w:line="2" w:lineRule="exact"/>
        <w:rPr>
          <w:sz w:val="20"/>
          <w:szCs w:val="20"/>
          <w:color w:val="auto"/>
        </w:rPr>
      </w:pPr>
    </w:p>
    <w:p>
      <w:pPr>
        <w:ind w:left="380" w:hanging="264"/>
        <w:spacing w:after="0"/>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monies used to fund the investment in the Common Shares are not derived from, invested for the benefit of or related in any way to, the</w:t>
      </w:r>
    </w:p>
    <w:p>
      <w:pPr>
        <w:spacing w:after="0" w:line="9" w:lineRule="exact"/>
        <w:rPr>
          <w:rFonts w:ascii="Times New Roman" w:cs="Times New Roman" w:eastAsia="Times New Roman" w:hAnsi="Times New Roman"/>
          <w:sz w:val="18"/>
          <w:szCs w:val="18"/>
          <w:color w:val="auto"/>
        </w:rPr>
      </w:pPr>
    </w:p>
    <w:p>
      <w:pPr>
        <w:ind w:left="120" w:right="180"/>
        <w:spacing w:after="0" w:line="27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governments of, or persons within, any country that (a) is under a U.S. embargo enforced by OFAC, (b) has been designated as a “non-cooperative country or territory” by the Financial Action Task Force on Money Laundering or (c) has been designated by the U.S. Secretary of the Treasury as a “primary money laundering concern.” The investor must also represent and warrant that the investor: (i) has conducted thorough due diligence with respect to all of its beneficial owners, (ii) has established the identities of all beneficial owners and the source of each of the beneficial owner’s funds and (iii) will retain evidence of any such identities, any such source of funds and any such due diligence. The investor must also represent and warrant</w:t>
      </w:r>
    </w:p>
    <w:p>
      <w:pPr>
        <w:spacing w:after="0" w:line="1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that it does not know or have any reason to suspect that (i) the monies used to fund the investor’s investment in the Common Shares have been or will be derived from or related to any illegal activities, including but not limited to, money laundering activities and (ii) the proceeds from the investor’s investment in Common Shares will be used to finance any illegal activities. The investor must also represent and warrant that neither the investor, nor any of its affiliates, nor any person having a direct or indirect beneficial interest in the Common Shares being acquired is (i) a senior foreign political figure (“SFPF”), (ii) an immediate family member of a SFPF (iii) a close associate of a SFPF, (iv) a politically exposed person (a “PEP”), (v) an immediate family member of a PEP or (vi) a close associate of a PEP (each as defined in the Subscription Agreement). The investor must also represent and warrant that to the extent a beneficial owner is a bank, including a branch, agency or office of a bank, that is not physically located in the United States, that the investor has taken and will take reasonable measures to establish that the bank has a physical presence or is an affiliate of a regulated entity. The investor must also represent and warrant that it has determined that the funds being invested by the investor in the Fund do not come from corruption. The investor must also agree, except as otherwise agreed by the Adviser, that pursuant to anti-money laundering laws and regulations, the Adviser may be required or determine that it is necessary and appropriate to collect documentation verifying the investor’s identity and the source of funds used to acquire an Interest before, and from time to time after, acceptance by the Adviser of the Subscription Agreement.</w:t>
      </w:r>
    </w:p>
    <w:p>
      <w:pPr>
        <w:spacing w:after="0" w:line="18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Bank Holding Company Act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U.S. Bank Holding Company Act of 1956, as amended from time to time, and the rules promulgated thereunder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(collectively, the “BHC Act”), including as modified by the Dodd-Frank Act and the “Volcker Rule” thereunder, contain restrictions on certain investors that are (or that have affiliates or certain interest in any entity that is) a bank or a bank-related entity and/or have a connection to the U.S. in that regard from making and holding certain interests in private investment funds. Common Shares in the Fund are not freely transferable, are not readily tradable on any exchange or market, and there are generally no redemption or withdrawal rights. As a result, Common Shares must be held on a long-term basis and the prospective investor should carefully review and familiarize itself with these rules and regulations and consult with its own counsel on how the Volcker Rule, the Dodd-Frank Act and the BHC Act may impact the investor, including as a result of its investment in the Fund.</w:t>
      </w:r>
    </w:p>
    <w:p>
      <w:pPr>
        <w:spacing w:after="0" w:line="183" w:lineRule="exact"/>
        <w:rPr>
          <w:sz w:val="20"/>
          <w:szCs w:val="20"/>
          <w:color w:val="auto"/>
        </w:rPr>
      </w:pPr>
    </w:p>
    <w:p>
      <w:pPr>
        <w:ind w:left="120" w:right="28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Privacy Principles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endeavor to maintain the privacy of our shareholders and to safeguard their non-public personal information.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following information is provided to help shareholders understand what non-public personal information we collect, how we protect that information and why, in certain cases, we may share that information with select other parties.</w:t>
      </w:r>
    </w:p>
    <w:p>
      <w:pPr>
        <w:spacing w:after="0" w:line="17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may collect non-public personal information about shareholders from our Subscription Agreements or other forms, such as name, address, account number and the types and amounts of investments, and information about transactions with us or our affiliates, such as participation in other investment programs, ownership of certain types of accounts or other account data and activity. We may disclose the non-public personal information that we collect from our shareholders or former shareholders, as described above, to our affiliates and service providers and as allowed by applicable law or regulation. Any party that receives this information from us is permitted to use it only for the services required by us and as allowed by applicable law or regulation, and is not permitted to share or use this information for any other purpose. We permit access only by authorized personnel who need access to that non-public personal information to provide services to us and our shareholders. We also maintain physical, electronic and procedural safeguards for non-public personal information that are designed to comply with applicable law.</w:t>
      </w:r>
    </w:p>
    <w:p>
      <w:pPr>
        <w:spacing w:after="0" w:line="192"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Pursuant to our privacy policy, we provide a clear and conspicuous notice to each investor that details our privacy policies and procedures at the time of the investor’s subscription. We will post our privacy policy on our website and promptly update the policy with any amendments.</w:t>
      </w:r>
    </w:p>
    <w:p>
      <w:pPr>
        <w:spacing w:after="0" w:line="158" w:lineRule="exact"/>
        <w:rPr>
          <w:sz w:val="20"/>
          <w:szCs w:val="20"/>
          <w:color w:val="auto"/>
        </w:rPr>
      </w:pPr>
    </w:p>
    <w:p>
      <w:pPr>
        <w:ind w:left="120" w:right="14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EU General Data Protection Regulation</w:t>
      </w:r>
      <w:r>
        <w:rPr>
          <w:rFonts w:ascii="Times New Roman" w:cs="Times New Roman" w:eastAsia="Times New Roman" w:hAnsi="Times New Roman"/>
          <w:sz w:val="18"/>
          <w:szCs w:val="18"/>
          <w:color w:val="auto"/>
        </w:rPr>
        <w:t>. The EU General Data Protection Regulation (Regulation 2016/679) (the “GDPR”) establishes rules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relating to the protection of natural persons with regard to the processing of personal data and to the free movement of personal data. Prospective shareholders should note that it is expected that they will provide Personal Data (as defined in the GDPR and which may include special categories of Personal Data pursuant to Articles 8 and 9 thereof), as part of their subscription to the Fund and in their interactions with the Fund, its affiliates, and/or delegates. The Fund may obtain Personal Data concerning shareholders and prospective shareholders from internal and external sources.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Fund has prepared a GDPR privacy statement for shareholders (the “GDPR Privacy Statement”), which is available upon request. Before subscribing to the Fund, all shareholders and prospective shareholders are encouraged to carefully review the GDPR Privacy Statement, which includes detailed information concerning the control and processing of their personal data.</w:t>
      </w:r>
    </w:p>
    <w:p>
      <w:pPr>
        <w:spacing w:after="0" w:line="172" w:lineRule="exact"/>
        <w:rPr>
          <w:sz w:val="20"/>
          <w:szCs w:val="20"/>
          <w:color w:val="auto"/>
        </w:rPr>
      </w:pPr>
    </w:p>
    <w:p>
      <w:pPr>
        <w:ind w:left="120" w:right="8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Environmental, Social and Governance (“ESG”) Considerations and Reporting</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Although Sixth Street does not currently manage any funds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accounts dedicated to ESG or impact investing, Sixth Street nonetheless seeks to cultivate a culture of responsible stewardship of capital and is subject to increasing focus by both regulators and investors on ESG matters, including as a result of recent laws and regulations applicable to our investors which impose certain disclosure obligations on Sixth Street and the Fund.</w:t>
      </w:r>
    </w:p>
    <w:p>
      <w:pPr>
        <w:spacing w:after="0" w:line="180" w:lineRule="exact"/>
        <w:rPr>
          <w:sz w:val="20"/>
          <w:szCs w:val="20"/>
          <w:color w:val="auto"/>
        </w:rPr>
      </w:pPr>
    </w:p>
    <w:p>
      <w:pPr>
        <w:jc w:val="both"/>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We have adopted a responsible investment policy under which we assess ESG matters together with financial criteria when making investments and have developed procedures applicable to transaction underwriting and monitoring which are aligned with the United Nations-supported Principles for Responsible Investment, however both Sixth Street’s and the wider alternative investment industry’s approach to ESG matters is still evolving and accordingly we may face unforeseen difficulties in implementing our policy or effectively measuring the success of our efforts.</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particular, for certain Sixth Street funds, we may provide periodic reports to investors on ESG matters. This reporting will result in us incurring costs (which may be significant) which will be borne by the funds and investors, and will depend in whole or in part on the complete, timely and accurate reporting from portfolio investments to Sixth Street. While Sixth Street intends to exert appropriate influence under the circumstances to ensure receipt of complete, timely and accurate reports from portfolio investments, Sixth Street does not expect to be able to do so in all cases (including, in particular, with respect to investments in which we have no control or limited influence over underlying issuers or borrowers).</w:t>
      </w:r>
    </w:p>
    <w:p>
      <w:pPr>
        <w:spacing w:after="0" w:line="183"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To the extent that investors require us, when evaluating potential investment opportunities, to consider or place material or particular emphasis on ESG-related matters or an investment’s potential to achieve a positive social or environmental impact, we may be influenced to consider an opportunity set for potential investments that is smaller than it would otherwise be absent such considerations (e.g., if seeking to make investments solely on the basis of financial returns), and we may forgo opportunities that are attractive from a financial perspective as a result of such considerations. In addition, although Sixth Street believes that ESG factors have the potential to affect performance, and can in certain circumstances enhance a portfolio investment’s profitability or financial returns, it is possible that our or a portfolio investment’s dual focus on financial success and ESG matters will from time to time influence us or the portfolio investment to make decisions that favor one goal at the expense of the other.</w:t>
      </w:r>
    </w:p>
    <w:p>
      <w:pPr>
        <w:spacing w:after="0" w:line="18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Finally, ESG continues to be an area of increased regulatory attention. For example, EU legislators are adopting new rules to standardize the definition of environmentally sustainable investing, and the SEC has examined the methodology used by investment funds pursuing impact or ESG investment strategies for determining socially responsible investments. On March 21, 2022, the SEC proposed rule amendments that would require a domestic or foreign registrant (i.e., a public company) to include certain standardized climate-related information in its registration statements and periodic reports. Such rule amendments, if adopted, could impact the Fund in a variety of ways, particularly with respect to its investments in public companies. In addition, the SEC’s current rulemaking agenda includes proposing requirements for investment companies and investment advisers related to ESG, including ESG claims and related disclosures. It is unclear whether any rules or amendments in this area will ultimately be adopted, and if so, what the scope and timing of any such final rules or amendments would be. If adopted, such rules or amendments could apply not only in respect of certain issuers or borrowers in which the Fund holds portfolio investments, but also the Fund and/or the Adviser itself, and any new regulations could adversely impact the Fund and returns to investors, as further described below.</w:t>
      </w:r>
    </w:p>
    <w:p>
      <w:pPr>
        <w:spacing w:after="0" w:line="194"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If we fail to take appropriate measures or follow best practices, regulators disagree with the procedures or standards used by Sixth Street, the Fund or portfolio investments for ESG investing and reporting, or new or amended regulation or legislation, if adopted requires a methodology of measuring or disclosing ESG impact or related matters that is different from our current practice, we may be in breach of applicable ESG-related laws and</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00"/>
          </w:cols>
          <w:pgMar w:left="320" w:top="455" w:right="4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regulations and Sixth Street may suffer reputational damage and the Fund could be adversely affected (including as a result of fines and other financial losses incurred by portfolio investments). In addition, we would expect new or additional ESG-related requirements, if adopted, to likely increase compliance costs for issuers or borrowers in which the Fund holds portfolio investments and/or the Fund, which could impact potential returns to investors.</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Sustainability Risks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New sustainability requirements imposed by jurisdictions in which Sixth Street does business and/or in which the Fund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marketed, including the EU Sustainable Finance Disclosure Regulation (2019/2088) (the “SFDR”), may result in additional compliance costs, disclosure obligations or other implications or restrictions on the Fund or on Sixth Street. Under such requirements, Sixth Street may be required to classify itself or the Fund against certain criteria, some of which can be open to subjective interpretation. Sixth Street’s view on the appropriate classification may develop over time, including in response to statutory or regulatory guidance or changes in industry approach to classification. These sustainability requirements, and any changes that Sixth Street may make to the Fund’s classification thereunder from time to time, may require further disclosures by Sixth Street or the Adviser and may require that Sixth Street implement new processes to capture data about the Fund or its investments. Costs incurred as a result of such data gathering and reporting processes will be borne by the Fund.</w:t>
      </w:r>
    </w:p>
    <w:p>
      <w:pPr>
        <w:spacing w:after="0" w:line="185"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Sustainable Finance Taxonomy Regulation (“Taxonomy”)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Taxonomy is designed to create a benchmark and framework for green products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 that investors do not need to conduct their own due diligence with regards to a financial products’ environmental sustainability. The regime came into force on July 12, 2020 and is expected to apply in practice from January 1, 2022 (at the earliest). Taxonomy amends the SFDR to require fund managers to disclose either: (i) information on how and to what extent the investments that underlie their products support economic activities that meet the four tests for environmental sustainability under the Taxonomy; or (ii) for financial products that do not invest in taxonomy-compliant activities, a statement that they do not take the Taxonomy into account.</w:t>
      </w:r>
    </w:p>
    <w:p>
      <w:pPr>
        <w:spacing w:after="0" w:line="186"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In order to comply with the four tests for environmental sustainability, an economic activity must: (i) contribute substantially to at least one of the environmental objectives listed in the Taxonomy; (ii) “do no significant harm” to any of the other environmental objectives listed in the Taxonomy;</w:t>
      </w:r>
    </w:p>
    <w:p>
      <w:pPr>
        <w:ind w:left="120" w:hanging="4"/>
        <w:spacing w:after="0" w:line="260" w:lineRule="auto"/>
        <w:tabs>
          <w:tab w:leader="none" w:pos="4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carried out in compliance with minimum social and governance safeguards; and (iv) comply with technical screening criteria to be adopted under the Taxonomy.</w:t>
      </w:r>
    </w:p>
    <w:p>
      <w:pPr>
        <w:spacing w:after="0" w:line="18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Compliance with the Taxonomy related rules in due course is expected to result in increased legal, compliance, restrictions, reporting and other associated costs and expenses which will be borne by the Fund.</w:t>
      </w:r>
    </w:p>
    <w:p>
      <w:pPr>
        <w:spacing w:after="0" w:line="158"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Reporting Obligations. </w:t>
      </w:r>
      <w:r>
        <w:rPr>
          <w:rFonts w:ascii="Times New Roman" w:cs="Times New Roman" w:eastAsia="Times New Roman" w:hAnsi="Times New Roman"/>
          <w:sz w:val="18"/>
          <w:szCs w:val="18"/>
          <w:color w:val="auto"/>
        </w:rPr>
        <w:t>We will furnish our shareholders with annual reports containing audited financial statements, quarterly reports, and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periodic reports as we determine to be appropriate or as may be required by law. We will file a Form 10 Registration Statement with the SEC voluntarily and establish the Fund as a reporting company under the 1934 Act. Upon the effectiveness of the Form 10 Registration Statement, we will be required to comply with all periodic reporting, proxy solicitation and other applicable requirements under the 1934 Act.</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Shareholders and the public may access the Fund’s public filings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or obtain information by calling the SEC at (202) 551-8090.</w:t>
      </w:r>
    </w:p>
    <w:p>
      <w:pPr>
        <w:spacing w:after="0" w:line="221" w:lineRule="exact"/>
        <w:rPr>
          <w:sz w:val="20"/>
          <w:szCs w:val="20"/>
          <w:color w:val="auto"/>
        </w:rPr>
      </w:pPr>
    </w:p>
    <w:p>
      <w:pPr>
        <w:ind w:left="120" w:right="6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ERISA. </w:t>
      </w:r>
      <w:r>
        <w:rPr>
          <w:rFonts w:ascii="Times New Roman" w:cs="Times New Roman" w:eastAsia="Times New Roman" w:hAnsi="Times New Roman"/>
          <w:sz w:val="18"/>
          <w:szCs w:val="18"/>
          <w:color w:val="auto"/>
        </w:rPr>
        <w:t>The Fund intends to conduct affairs so that its assets should not be deemed to constitute “plan assets” under the Employee Retirement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Income Security Act of 1974, as amended (“ERISA”) and certain U.S. Department of Labor regulations promulgated thereunder, as modified by Section 3(42) of ERISA (the “Plan Asset Regulations”). In this regard, until such time, if any, as the Common Shares are considered “publicly-offered securities” within the meaning of the Plan Asset Regulations, the Fund intends to limit investment in the Common Shares by “benefit plan investors” to less than 25% of the total value of the Common Shares, within the meaning of the Plan Asset Regulations.</w:t>
      </w:r>
    </w:p>
    <w:p>
      <w:pPr>
        <w:spacing w:after="0" w:line="183" w:lineRule="exact"/>
        <w:rPr>
          <w:sz w:val="20"/>
          <w:szCs w:val="20"/>
          <w:color w:val="auto"/>
        </w:rPr>
      </w:pPr>
    </w:p>
    <w:p>
      <w:pPr>
        <w:ind w:left="120" w:right="140" w:firstLine="440"/>
        <w:spacing w:after="0" w:line="289" w:lineRule="auto"/>
        <w:rPr>
          <w:sz w:val="20"/>
          <w:szCs w:val="20"/>
          <w:color w:val="auto"/>
        </w:rPr>
      </w:pPr>
      <w:r>
        <w:rPr>
          <w:rFonts w:ascii="Times New Roman" w:cs="Times New Roman" w:eastAsia="Times New Roman" w:hAnsi="Times New Roman"/>
          <w:sz w:val="17"/>
          <w:szCs w:val="17"/>
          <w:color w:val="auto"/>
        </w:rPr>
        <w:t>In addition, each prospective investor that is, or is acting on behalf of any (i) “employee benefit plan” (within the meaning of Section 3(3) of ERISA) that is subject to Title I of ERISA, (ii) “plan” described in Section 4975 of the Code that is subject to Section 4975 of the Code (including, for example, an individual retirement account and a “Keogh” plan), (iii) plan, account or other arrangement that is subject to the provisions of any other</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00"/>
          </w:cols>
          <w:pgMar w:left="320" w:top="455" w:right="4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federal, state, local, non-U.S. or other laws or regulations that are similar to such provisions of ERISA or the Code (collectively, “Similar Laws”), or</w:t>
      </w:r>
    </w:p>
    <w:p>
      <w:pPr>
        <w:spacing w:after="0" w:line="27" w:lineRule="exact"/>
        <w:rPr>
          <w:sz w:val="20"/>
          <w:szCs w:val="20"/>
          <w:color w:val="auto"/>
        </w:rPr>
      </w:pPr>
    </w:p>
    <w:p>
      <w:pPr>
        <w:ind w:left="120" w:right="20" w:hanging="4"/>
        <w:spacing w:after="0" w:line="253" w:lineRule="auto"/>
        <w:tabs>
          <w:tab w:leader="none" w:pos="42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entity whose underlying assets are considered to include the assets of any of the foregoing described in clauses (i), (ii) and (iii) (each of the foregoing described in clauses (i), (ii), (iii) and (iv) referred to as a “Plan”), must independently determine that the Common Shares are an appropriate investment for the Plan, taking into account its obligations under ERISA, the Code and applicable Similar Laws, and the facts and circumstances of each investing Plan.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 Reinvestment Plan</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Board will adopt a dividend reinvestment plan, pursuant to which the Fund will reinvest all cash dividends or distributions declared by the Board on behalf of investors who do not elect to receive their cash dividends or distributions in cash as provided below. As a result, if the Board authorizes, and the Fund declares, a cash dividend or distribution, then shareholders who have not elected to “opt out” of the dividend reinvestment plan will have their cash dividends or distributions automatically reinvested in additional Common Shares as described below.</w:t>
      </w:r>
    </w:p>
    <w:p>
      <w:pPr>
        <w:spacing w:after="0" w:line="180"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Those shareholders whose Common Shares are held by a broker or other financial intermediary may receive cash dividends and other distributions in cash by notifying their broker or other financial intermediary of their election.</w:t>
      </w:r>
    </w:p>
    <w:p>
      <w:pPr>
        <w:spacing w:after="0" w:line="162" w:lineRule="exact"/>
        <w:rPr>
          <w:sz w:val="20"/>
          <w:szCs w:val="20"/>
          <w:color w:val="auto"/>
        </w:rPr>
      </w:pPr>
    </w:p>
    <w:p>
      <w:pPr>
        <w:ind w:left="120" w:right="80" w:firstLine="440"/>
        <w:spacing w:after="0" w:line="277" w:lineRule="auto"/>
        <w:rPr>
          <w:sz w:val="20"/>
          <w:szCs w:val="20"/>
          <w:color w:val="auto"/>
        </w:rPr>
      </w:pPr>
      <w:r>
        <w:rPr>
          <w:rFonts w:ascii="Times New Roman" w:cs="Times New Roman" w:eastAsia="Times New Roman" w:hAnsi="Times New Roman"/>
          <w:sz w:val="17"/>
          <w:szCs w:val="17"/>
          <w:color w:val="auto"/>
        </w:rPr>
        <w:t>Under the plan, no action is required on the part of a registered shareholder to have its cash dividend or other distribution reinvested in Common Shares. A registered shareholder is able to elect to receive an entire cash dividend or distribution in cash by notifying State Street Bank and Trust Company (“State Street”), the plan administrator, in writing, so that notice is received by the plan administrator no later than 10 days prior to the record date for the cash dividend or distributions to the shareholders. The plan administrator has set up an account for Common Shares acquired through the plan for each shareholder who has not elected to receive cash dividends or distributions in cash and hold the Common Shares in non-certificated form.</w:t>
      </w:r>
    </w:p>
    <w:p>
      <w:pPr>
        <w:spacing w:after="0" w:line="168"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Fund expects to use primarily newly issued Common Shares to implement the plan. Common Shares issued under the dividend reinvestment plan will not reduce outstanding Capital Commitments.</w:t>
      </w:r>
    </w:p>
    <w:p>
      <w:pPr>
        <w:spacing w:after="0" w:line="16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Prior to an Exchange Listing, a participating shareholder will receive an amount of Common Shares equal to the total dollar amount of the dividend or distribution on that participant’s Common Shares divided by the NAV per Common Share as of the last day of the Fund’s fiscal quarter immediately preceding the date such distribution was declared, provided that in the event a distribution is declared on the last day of a fiscal quarter, the NAV shall be deemed to be the NAV per Common Share as of such day.</w:t>
      </w:r>
    </w:p>
    <w:p>
      <w:pPr>
        <w:spacing w:after="0" w:line="180" w:lineRule="exact"/>
        <w:rPr>
          <w:sz w:val="20"/>
          <w:szCs w:val="20"/>
          <w:color w:val="auto"/>
        </w:rPr>
      </w:pPr>
    </w:p>
    <w:p>
      <w:pPr>
        <w:jc w:val="both"/>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Following an Exchange Listing, a participating shareholder will receive an amount of Common Shares equal to the total dollar amount of the dividend or distribution on that participant’s Common Shares divided by the market price per Common Share at the close of regular trading on the applicable stock exchange on the payment date of a distribution, subject to the adjustments described below.</w:t>
      </w:r>
    </w:p>
    <w:p>
      <w:pPr>
        <w:spacing w:after="0" w:line="176"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Following an Exchange Listing, the market price per Common Share on a particular date will be the closing price for such Common Shares on the applicable stock exchange on such date or, if no sale is reported for such date, at the average of their reported bid and asked prices. However, if the market price per Common Share exceeds the most recently computed net asset value per Common Share, the Fund will issue Common Shares at the greater of (i) the most recently computed net asset value per Common Share and (ii) 95% of the current market price per Common Share (or such lesser discount to the current market price per Share that still exceeds the most recently computed net asset value per Common Share).</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There are no brokerage charges or other charges to shareholders who participate in the plan. The plan is terminable by the Fund upon notice in writing mailed to each shareholder of record at least 30 days prior to any record date for the payment of any cash dividend or distribution by the Fund. If a participant elects by written notice to the plan administrator to have the plan administrator sell part or all of the Common Shares held by the plan administrator in the participant’s account and remit the proceeds to the participant, the plan administrator is authorized to deduct a $15.00 transaction fee plus a brokerage commission from the proceeds.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following discussion is a summary of material U.S. federal income tax considerations applicable to us and to an investment in Common Shares. This summary deals only with shareholders that hold their shares as capital assets. This summary does not purport to be a complete description of the income tax considerations applicable to such an investment. For example, we have not described tax consequences that may be relevant to certain types of shareholders that are subject to special treatment under U.S. federal income tax laws, including:</w:t>
      </w:r>
    </w:p>
    <w:p>
      <w:pPr>
        <w:spacing w:after="0" w:line="85" w:lineRule="exact"/>
        <w:rPr>
          <w:sz w:val="20"/>
          <w:szCs w:val="20"/>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subject to the alternative minimum tax;</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(except as discussed below);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in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that elect to use a mark-to-market method of accounting for securities holdings;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plans (except as discussed below);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trusts (except as discussed below);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taxed as partnerships or partners therein;</w:t>
      </w:r>
    </w:p>
    <w:p>
      <w:pPr>
        <w:spacing w:after="0" w:line="130" w:lineRule="exact"/>
        <w:rPr>
          <w:rFonts w:ascii="Times New Roman" w:cs="Times New Roman" w:eastAsia="Times New Roman" w:hAnsi="Times New Roman"/>
          <w:sz w:val="18"/>
          <w:szCs w:val="18"/>
          <w:color w:val="auto"/>
        </w:rPr>
      </w:pPr>
    </w:p>
    <w:p>
      <w:pPr>
        <w:ind w:left="1080" w:right="58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Common Shares as part of a “straddle,” “hedge,” “conversion transaction,” “synthetic security” or other integrated investment;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receive our Common Shares as compensation;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our Common Shares on behalf of another person as a nominee;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shareholders (as defined below) who have a “functional currency” other than the U.S. dollar.</w:t>
      </w:r>
    </w:p>
    <w:p>
      <w:pPr>
        <w:spacing w:after="0" w:line="225"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Finally, this summary does not address other U.S. federal tax consequences (such as estate, gift and Medicare contribution tax consequences) or any state, local or foreign tax consequences.</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discussion below is based upon the provisions of the Code, and Treasury Regulations, rulings and judicial decisions as of the date hereof. Those authorities may be changed, perhaps retroactively, so as to result in U.S. federal income tax consequences different from those discussed below. This summary does not address all aspects of U.S. federal income taxes and does not deal with all tax consequences that may be relevant to shareholders in light of their personal circumstances.</w:t>
      </w:r>
    </w:p>
    <w:p>
      <w:pPr>
        <w:spacing w:after="0" w:line="180"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For purposes of this discussion under the heading “Material U.S. Federal Income Tax Considerations,” a “U.S. shareholder” is a beneficial owner of our Common Shares that is, for U.S. federal income tax purposes, an individual who is a citizen or resident of the United States or a domestic corporation or otherwise subject to U.S. federal income tax on a net income basis in respect of our Common Shares.</w:t>
      </w:r>
    </w:p>
    <w:p>
      <w:pPr>
        <w:spacing w:after="0" w:line="176" w:lineRule="exact"/>
        <w:rPr>
          <w:sz w:val="20"/>
          <w:szCs w:val="20"/>
          <w:color w:val="auto"/>
        </w:rPr>
      </w:pPr>
    </w:p>
    <w:p>
      <w:pPr>
        <w:jc w:val="center"/>
        <w:ind w:left="540" w:right="340"/>
        <w:spacing w:after="0" w:line="454" w:lineRule="auto"/>
        <w:rPr>
          <w:sz w:val="20"/>
          <w:szCs w:val="20"/>
          <w:color w:val="auto"/>
        </w:rPr>
      </w:pPr>
      <w:r>
        <w:rPr>
          <w:rFonts w:ascii="Times New Roman" w:cs="Times New Roman" w:eastAsia="Times New Roman" w:hAnsi="Times New Roman"/>
          <w:sz w:val="18"/>
          <w:szCs w:val="18"/>
          <w:color w:val="auto"/>
        </w:rPr>
        <w:t>A “Non-U.S. shareholder” is a beneficial owner of our Common Shares that is not a U.S. shareholder and not an entity taxed as a partnership. 35</w:t>
      </w:r>
    </w:p>
    <w:p>
      <w:pPr>
        <w:sectPr>
          <w:pgSz w:w="11900" w:h="16838" w:orient="portrait"/>
          <w:cols w:equalWidth="0" w:num="1">
            <w:col w:w="11100"/>
          </w:cols>
          <w:pgMar w:left="320" w:top="455" w:right="4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Regulated Investment Company Classification</w:t>
      </w:r>
    </w:p>
    <w:p>
      <w:pPr>
        <w:spacing w:after="0" w:line="229"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As a BDC, we intend to elect to be treated as a RIC for U.S. federal income tax purposes. Our status as a RIC will enable us to deduct qualifying distributions to our shareholders, so that we will be subject to corporate-level U.S. federal income taxation only in respect of income and gains that we retain and do not distribute.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To maintain our status as a RIC, we must, among other things:</w:t>
      </w:r>
    </w:p>
    <w:p>
      <w:pPr>
        <w:spacing w:after="0" w:line="131" w:lineRule="exact"/>
        <w:rPr>
          <w:sz w:val="20"/>
          <w:szCs w:val="20"/>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 election under the 1940 Act to be treated as a BDC;</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 in each taxable year at least 90% of our gross income from dividends, interest, gains from the sale or other disposition of Common Shares or securities and other specified categories of investment income;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diversified holdings so that, subject to certain exceptions and cure periods, at the end of each quarter of our taxable year:</w:t>
      </w:r>
    </w:p>
    <w:p>
      <w:pPr>
        <w:spacing w:after="0" w:line="130" w:lineRule="exact"/>
        <w:rPr>
          <w:rFonts w:ascii="Times New Roman" w:cs="Times New Roman" w:eastAsia="Times New Roman" w:hAnsi="Times New Roman"/>
          <w:sz w:val="18"/>
          <w:szCs w:val="18"/>
          <w:color w:val="auto"/>
        </w:rPr>
      </w:pPr>
    </w:p>
    <w:p>
      <w:pPr>
        <w:ind w:left="1540" w:right="80" w:hanging="331"/>
        <w:spacing w:after="0" w:line="261" w:lineRule="auto"/>
        <w:tabs>
          <w:tab w:leader="none" w:pos="154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50% of the value of our total gross assets is represented by cash and cash items, U.S. government securities, the securities of other RICs and “other securities,” provided that such “other securities” shall not include any amount of any one issuer, if our holdings of such issuer are greater in value than 5% of our total assets or greater than 10% of the outstanding voting securities of such issuer, and</w:t>
      </w:r>
    </w:p>
    <w:p>
      <w:pPr>
        <w:spacing w:after="0" w:line="85" w:lineRule="exact"/>
        <w:rPr>
          <w:rFonts w:ascii="Times New Roman" w:cs="Times New Roman" w:eastAsia="Times New Roman" w:hAnsi="Times New Roman"/>
          <w:sz w:val="18"/>
          <w:szCs w:val="18"/>
          <w:color w:val="auto"/>
        </w:rPr>
      </w:pPr>
    </w:p>
    <w:p>
      <w:pPr>
        <w:jc w:val="both"/>
        <w:ind w:left="1540" w:right="20" w:hanging="331"/>
        <w:spacing w:after="0" w:line="266" w:lineRule="auto"/>
        <w:tabs>
          <w:tab w:leader="none" w:pos="154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more than 25% of the value of our assets may be invested in securities of any one issuer, the securities of any two or more issuers that are controlled by us and are engaged in the same or similar or related trades or businesses (excluding U.S. government securities and securities of other RICs), or the securities of one or more “qualified publicly traded partnerships.”</w:t>
      </w:r>
    </w:p>
    <w:p>
      <w:pPr>
        <w:spacing w:after="0" w:line="176"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We may earn various fees which will not be treated as qualifying income for purposes of the 90% gross income test. We may also earn other types of income that will not be treated as qualifying income for purposes of the 90% gross income test.</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To maintain our status as a RIC, we must distribute (or be treated as distributing) in each taxable year dividends for tax purposes of an amount equal to at least 90% of our investment company taxable income (which includes, among other items, dividends, interest, the excess of any net short-term capital gains over net long-term capital losses, as well as other taxable income, excluding any net capital gains reduced by deductible expenses) and 90% of our net tax-exempt income for that taxable year. As a RIC, we generally will not be subject to corporate-level U.S. federal income tax on our investment company taxable income and net capital gains that we distribute to shareholders. In addition, to avoid the imposition of a nondeductible 4% U.S. federal excise tax, we must distribute (or be treated as distributing) in each calendar year an amount at least equal to the sum of:</w:t>
      </w:r>
    </w:p>
    <w:p>
      <w:pPr>
        <w:spacing w:after="0" w:line="93" w:lineRule="exact"/>
        <w:rPr>
          <w:sz w:val="20"/>
          <w:szCs w:val="20"/>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 of our net ordinary income, excluding certain ordinary gains and losses, recognized during a calendar year;</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98.2% of our capital gain net income, adjusted for certain ordinary gains and losses, recognized for the twelve-month period ending on October 31 of such calendar year;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any income or gains recognized, but not distributed, in preceding years.</w:t>
      </w:r>
    </w:p>
    <w:p>
      <w:pPr>
        <w:spacing w:after="0" w:line="225"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While we intend to distribute income and capital gains to minimize exposure to the 4% excise tax, we may not be able to, or may choose not to, distribute amounts sufficient to avoid the imposition of the tax entirely. In that event, we will be liable for the tax only on the amount by which we do not meet the foregoing distribution requirement.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20"/>
          </w:cols>
          <w:pgMar w:left="320" w:top="455"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generally expect to distribute substantially all of our earnings on a quarterly basis, but will reinvest dividends on behalf of those investors that do not elect to receive their dividends in cash. See “Item 1 Business – Dividend Reinvestment Plan” for a description of our dividend policy. One or more of the considerations described below, however, could result in the deferral of dividend distributions until the end of the fiscal year:</w:t>
      </w:r>
    </w:p>
    <w:p>
      <w:pPr>
        <w:spacing w:after="0" w:line="176"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We may make investments that are subject to tax rules that require us to include amounts in our income before we receive cash corresponding to that income or that defer or limit our ability to claim the benefit of deductions or losses. For example, if we hold securities issued with original issue discount, that original issue discount may be accrued in income before we receive any corresponding cash payments. Similarly, the terms of the debt instruments that we hold may be modified under certain circumstances. These modifications may be considered “significant modifications” for U.S. federal income tax purposes that give rise to deemed debt-for-debt exchange upon which we may recognize taxable income or gain without a corresponding receipt of cash.</w:t>
      </w:r>
    </w:p>
    <w:p>
      <w:pPr>
        <w:spacing w:after="0" w:line="187"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In cases where our taxable income exceeds our available cash flow, we will need to fund distributions with the proceeds of sale of securities or with borrowed money, and may raise funds for this purpose opportunistically over the course of the year.</w:t>
      </w:r>
    </w:p>
    <w:p>
      <w:pPr>
        <w:spacing w:after="0" w:line="16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In certain circumstances (e.g., where we are required to recognize income before or without receiving cash representing such income), we may have difficulty making distributions in the amounts necessary to satisfy the requirements for maintaining RIC status and for avoiding U.S. federal income and excise taxes. Accordingly, we may have to sell investments at times we would not otherwise consider advantageous, raise additional debt or equity capital or reduce new investment originations to meet these distribution requirements. If we are not able to obtain cash from other sources, we may fail to qualify as a RIC and thereby be subject to corporate-level U.S. federal income tax.</w:t>
      </w:r>
    </w:p>
    <w:p>
      <w:pPr>
        <w:spacing w:after="0" w:line="183"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If in any particular taxable year, we do not qualify as a RIC, all of our taxable income (including our net capital gains) will be subject to tax at regular corporate rates without any deduction for distributions to shareholders, and distributions will be taxable to our shareholders as ordinary dividends to the extent of our current or accumulated earnings and profits, and distributions would not be required. Distributions in excess of our current and accumulated earnings and profits would be treated first as a return of capital to the extent of the shareholder’s tax basis, and any remaining distributions would be treated as capital gain. If we fail to qualify as a RIC for a period greater than two consecutive taxable years, to qualify as a RIC in a subsequent year we may be subject to regular corporate tax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five years.</w:t>
      </w:r>
    </w:p>
    <w:p>
      <w:pPr>
        <w:spacing w:after="0" w:line="192"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In the event we invest in foreign securities, we may be subject to withholding and other foreign taxes with respect to those securities. We do not expect to satisfy the conditions necessary to pass through to our shareholders their share of the foreign taxes paid by us.</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Taxation of U.S. Shareholders</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Distributions from our investment company taxable income (consisting generally of net ordinary income, net short-term capital gain, and net gains from certain foreign currency transactions) generally will be taxable to U.S. shareholders as ordinary income to the extent made out of our current or accumulated earnings and profits. To the extent that such distributions paid by us to non-corporate U.S. shareholders (including individuals) are attributable to dividends from U.S. corporations and certain qualified foreign corporations, such distributions (“qualified dividend income”) may be eligible for a reduced maximum U.S. federal income tax rate. In this regard, it is anticipated that our distributions generally will not be attributable to dividends received by us and, therefore, generally will not qualify for the reduced rates that may be applicable to qualified dividend income. Distributions generally will not be eligible for the dividends received deduction allowed to corporate shareholders. Distributions derived from our net capital gains (which generally is the excess of our net long-term capital gain over net short-term capital loss) which we have reported as capital gain dividends will be taxable to U.S. shareholders as long-term capital gain regardless of how long particular U.S. shareholders have held their shares. Distributions in excess of our current and accumulated earnings and profits first will reduce a U.S. shareholder’s adjusted tax basis in such U.S. shareholder’s Common Shares and, after the adjusted tax basis is reduced to zero, will constitute capital gains to such U.S. shareholder.</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Any dividends declared by us in October, November, or December of any calendar year, payable to shareholders of record on a specified date in such a month, which are actually paid during January of the following calendar year, will be treated as if paid by us and received by such shareholders during the quarter ended December 31 of the previous calendar year. In addition, we may elect to relate any undistributed investment company taxable income or net capital gains eligible for distribution as a dividend back to our immediately prior taxable year if we:</w:t>
      </w:r>
    </w:p>
    <w:p>
      <w:pPr>
        <w:spacing w:after="0" w:line="85" w:lineRule="exact"/>
        <w:rPr>
          <w:sz w:val="20"/>
          <w:szCs w:val="20"/>
          <w:color w:val="auto"/>
        </w:rPr>
      </w:pPr>
    </w:p>
    <w:p>
      <w:pPr>
        <w:ind w:left="1080" w:right="44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such dividend prior to the earlier of the 15th day of the ninth month following the close of that taxable year, or any applicable extended due date of our U.S. federal corporate income tax return for such prior taxable year;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such amount in the 12-month period following the close of such prior taxable year; and</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 election in our U.S. federal corporate income tax return for the taxable year in which such undistributed investment company taxable income or net capital gains were recognized.</w:t>
      </w:r>
    </w:p>
    <w:p>
      <w:pPr>
        <w:spacing w:after="0" w:line="162"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Any such election will not alter the general rule that a U.S. shareholder will be treated as receiving a dividend in the taxable year in which the dividend is distributed, subject to the October, November, or December dividend declaration rule discussed immediately above.</w:t>
      </w:r>
    </w:p>
    <w:p>
      <w:pPr>
        <w:spacing w:after="0" w:line="162"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We intend to adopt a dividend reinvestment plan that will allow shareholders to elect to receive dividends in the form of additional shares instead of in cash. If a U.S. shareholder reinvests dividends in additional shares, such U.S. shareholder will be treated as if it had received a distribution in the amount of cash that it would have received if it had not made the election. Any such additional shares will have a tax basis equal to the amount of the distribution.</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Although we intend to distribute any net long-term capital gains at least annually, we may in the future decide to retain some or all of our net long-term capital gains but designate the retained amount as a “deemed distribution.” In that case, among other consequences, we will pay tax on the retained amount, each U.S. shareholder will be required to include his, her or its share of the deemed distribution in income as if it had been distributed to the U.S. shareholder, and the U.S. shareholder will be entitled to claim a credit equal to his, her or its allocable share of the tax paid on the deemed distribution by us. The amount of the deemed distribution net of such tax will be added to the U.S. shareholder’s tax basis for their Common Shares. Since we expect to pay tax on any retained capital gains at our regular corporate tax rate, and since that rate is in excess of the maximum rate currently payable by individuals on long-term capital gains, the amount of tax that individual shareholders will be treated as having paid and for which they will receive a credit will exceed the tax they owe on the retained net capital gains. Such excess generally may be claimed as a credit against the U.S. shareholder’s other federal income tax obligations or may be refunded to the extent it exceeds a shareholder’s liability for federal income tax. A shareholder that is not subject to federal income tax or otherwise required to file a federal income tax return would be required to file a federal income tax return on the appropriate form to claim a refund for the taxes we paid. To utilize the deemed distribution approach, we must provide written notice to our shareholders prior to the expiration of 60 days after the close of the relevant taxable year. We cannot treat any of our investment company taxable income as a “deemed distribution.”</w:t>
      </w:r>
    </w:p>
    <w:p>
      <w:pPr>
        <w:spacing w:after="0" w:line="187" w:lineRule="exact"/>
        <w:rPr>
          <w:sz w:val="20"/>
          <w:szCs w:val="20"/>
          <w:color w:val="auto"/>
        </w:rPr>
      </w:pPr>
    </w:p>
    <w:p>
      <w:pPr>
        <w:ind w:left="120" w:right="260" w:firstLine="440"/>
        <w:spacing w:after="0" w:line="312" w:lineRule="auto"/>
        <w:rPr>
          <w:sz w:val="20"/>
          <w:szCs w:val="20"/>
          <w:color w:val="auto"/>
        </w:rPr>
      </w:pPr>
      <w:r>
        <w:rPr>
          <w:rFonts w:ascii="Times New Roman" w:cs="Times New Roman" w:eastAsia="Times New Roman" w:hAnsi="Times New Roman"/>
          <w:sz w:val="17"/>
          <w:szCs w:val="17"/>
          <w:color w:val="auto"/>
        </w:rPr>
        <w:t>If an investor purchases Common Shares shortly before the record date of a distribution, the price of the shares will include the value of the distribution and the investor will be subject to tax on the distribution even though economically it may represent a return of his, her or its investment.</w:t>
      </w:r>
    </w:p>
    <w:p>
      <w:pPr>
        <w:spacing w:after="0" w:line="140"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If a U.S. shareholder sells or otherwise disposes of Common Shares, the U.S. shareholder will recognize gain or loss equal to the difference between its adjusted tax basis in the shares sold or otherwise disposed of and the amount received. Any such gain or loss will be treated as a capital gain or loss and will be long-term capital gain or loss if the shares have been held for more than one year. Any loss recognized on a sale or exchange of shares that were held for six months or less will be treated as long-term, rather than short-term, capital loss to the extent of any capital gain distributions previously received (or deemed to be received) thereon. In addition, all or a portion of any loss recognized upon a disposition of Common Shares may be disallowed if other Common Shares are purchased (whether through reinvestment of distributions or otherwise) within 30 days before or after the disposition.</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We will send to each of our U.S. shareholders, as promptly as possible after the end of each calendar year, a notice detailing, on a per share and per distribution basis, the amounts of such distributions includible in such U.S. shareholder’s taxable income for such year as ordinary dividends and capital gain dividends. In addition, the federal tax status of each year’s distributions generally will be reported to the IRS. Distributions may also be subject to additional state, local and foreign taxes depending on a U.S. shareholder’s particular situation.</w:t>
      </w:r>
    </w:p>
    <w:p>
      <w:pPr>
        <w:spacing w:after="0" w:line="18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Under applicable U.S. Treasury regulations, if a U.S. shareholder recognizes a loss with respect to our Common Shares of $2 million or more for a non-corporate U.S. shareholder or $10 million or more for a corporate U.S. shareholder in any single taxable year (or a greater loss over a combination of years), the U.S. shareholder must file with the IRS a disclosure statement on Form 8886. Direct U.S. shareholders of portfolio securities are in many cases exempted from this reporting requirement, but under current guidance, U.S. shareholders of a RIC are not exempted. Future guidance may extend the current exception from this reporting requirement to U.S. shareholders of most or all RICs. The fact that a loss is reportable under these regulations does not affect the legal determination of whether the taxpayer’s treatment of the loss is proper. Significant monetary penalties apply to a failure to comply with this reporting requirement. States may also have a similar reporting requirement. U.S. shareholders should consult their own tax advisers to determine the applicability of these U.S. Treasury regulations in light of their individual circumstances.</w:t>
      </w:r>
    </w:p>
    <w:p>
      <w:pPr>
        <w:spacing w:after="0" w:line="192"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We will be required in certain cases to backup withhold and remit to the U.S. Treasury a portion of qualified dividend income, ordinary income dividends and capital gain dividends, and the proceeds of redemption of shares, paid to any shareholder (a) who has provided either an incorrect tax identification number or no number at all, (b) whom the IRS subjects to backup withholding for failure to report the receipt of interest or dividend income properly or (c) who has failed to certify to us that it is not subject to backup withholding or that it is an “exempt recipient.” Backup withholding is not an additional tax and any amounts withheld may be refunded or credited against a shareholder’s federal income tax liability, provided the appropriate information is timely furnished to the IRS.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Potential Limitation with Respect to Certain U.S. Shareholders on Deductions for Certain Fees and Expenses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It is unclear whether we will be treated as a “publicly offered regulated investment company” (within the meaning of Section 67 of the Code). If we are not treated as such for any calendar year, then, for purposes of computing the taxable income of U.S. shareholders that are individuals, trusts or estates, (i) our earnings will be computed without taking into account such U.S. shareholders’ allocable shares of the Management and Incentive Fees paid to our investment adviser and certain of our other expenses, (ii) each such U.S. shareholder will be treated as having received or accrued a dividend from us in the amount of such U.S. shareholder’s allocable share of these fees and expenses for the calendar year, (iii) each such U.S. shareholder will be treated as having paid or incurred such U.S. shareholder’s allocable share of these fees and expenses for the calendar year and (iv) each such U.S. shareholder’s allocable share of these fees and expenses will be treated as miscellaneous itemized deductions by such U.S. shareholder. In addition, we would be required to report the relevant income and expenses, including the Management Fee, on Form 1099-DIV. Miscellaneous itemized deductions generally are not deductible by individuals, trusts or estates for taxable years beginning after December 31, 2017 and before January 1, 2026.</w:t>
      </w:r>
    </w:p>
    <w:p>
      <w:pPr>
        <w:spacing w:after="0" w:line="1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Taxation of Tax-Exempt U.S. Shareholders</w:t>
      </w:r>
    </w:p>
    <w:p>
      <w:pPr>
        <w:spacing w:after="0" w:line="229" w:lineRule="exact"/>
        <w:rPr>
          <w:sz w:val="20"/>
          <w:szCs w:val="20"/>
          <w:color w:val="auto"/>
        </w:rPr>
      </w:pPr>
    </w:p>
    <w:p>
      <w:pPr>
        <w:ind w:left="120" w:right="240" w:firstLine="440"/>
        <w:spacing w:after="0" w:line="272" w:lineRule="auto"/>
        <w:rPr>
          <w:sz w:val="20"/>
          <w:szCs w:val="20"/>
          <w:color w:val="auto"/>
        </w:rPr>
      </w:pPr>
      <w:r>
        <w:rPr>
          <w:rFonts w:ascii="Times New Roman" w:cs="Times New Roman" w:eastAsia="Times New Roman" w:hAnsi="Times New Roman"/>
          <w:sz w:val="17"/>
          <w:szCs w:val="17"/>
          <w:color w:val="auto"/>
        </w:rPr>
        <w:t>A U.S. shareholder that is a tax-exempt organization for U.S. federal income tax purposes and therefore generally exempt from U.S. federal income taxation may nevertheless be subject to taxation to the extent that it is considered to derive unrelated business taxable income, or UBTI. The direct conduct by a tax-exempt U.S. shareholder of the activities that we propose to conduct could give rise to UBTI. However, a RIC is a corporation for U.S. federal income tax purposes and its business activities generally will not be attributed to its shareholders for purposes of determining their treatment under current law. Therefore, a tax-exempt U.S. shareholder will not be subject to U.S. taxation solely as a result of such shareholder’s ownership of our shares and receipt of dividends that we pay. In addition, under current law, if we incur indebtedness, such indebtedness will not be attributed to portfolio investors in our Common Shares. Therefore, a tax-exempt U.S. shareholder will not be treated as earning income from “debt-financed property” and dividends we pay will not be treated as “unrelated debt-financed income” solely as a result of indebtedness that we incur.</w:t>
      </w:r>
    </w:p>
    <w:p>
      <w:pPr>
        <w:spacing w:after="0" w:line="1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40"/>
          </w:cols>
          <w:pgMar w:left="320" w:top="455" w:right="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Taxation of Non-U.S. Shareholders</w:t>
      </w:r>
    </w:p>
    <w:p>
      <w:pPr>
        <w:spacing w:after="0" w:line="22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Whether an investment in the Common Shares is appropriate for a Non-U.S. shareholder will depend upon that person’s particular circumstances. An investment in the Common Shares by a Non-U.S. shareholder may have adverse tax consequences as compared to a direct investment in the assets in which we will invest. Non-U.S. shareholders should consult their tax advisors before investing in our Common Shares.</w:t>
      </w:r>
    </w:p>
    <w:p>
      <w:pPr>
        <w:spacing w:after="0" w:line="176"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Distributions of our investment company taxable income that we pay to a Non-U.S. shareholder will be subject to U.S. withholding tax at a 30% rate to the extent of our current or accumulated earnings and profits unless (i) such dividends qualify for the pass-through rules described below, and such shareholder could have received the underlying income free of tax; (ii) such shareholder qualifies for, and complies with the procedures for claiming, an exemption or reduced rate under an applicable income tax treaty; or (iii) such shareholder qualifies, and complies with the procedures for claiming, an exemption by reason of its status as a foreign government-related entity.</w:t>
      </w:r>
    </w:p>
    <w:p>
      <w:pPr>
        <w:spacing w:after="0" w:line="183"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Non-U.S. shareholders generally are not subject to U.S. federal income tax on capital gains realized on the sale of our shares or on actual or deemed distributions of our net capital gains. If we distribute our net capital gains in the form of deemed rather than actual distributions, a Non-U.S. shareholder will be entitled to a U.S. federal income tax credit or tax refund equal to the shareholder’s allocable share of the tax we pay on the capital gains deemed to have been distributed. To obtain the refund, the Non-U.S. shareholder must obtain a U.S. taxpayer identification number and file a U.S. federal income tax return, even if the Non-U.S. shareholder would not otherwise be required to obtain a U.S. taxpayer identification number or file a U.S. federal income tax return.</w:t>
      </w:r>
    </w:p>
    <w:p>
      <w:pPr>
        <w:spacing w:after="0" w:line="187"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At the end of 2015, Congress permanently renewed the pass-through rules under which certain dividend distributions by RICs derived from our “qualified net interest income” (generally, our U.S. source interest income, other than certain contingent interest and interest from obligations of a corporation or partnership in which we are at a least a 10% shareholder, reduced by expenses that are allocable to such income) or paid in connection with our “qualified short-term capital gains” (generally, the excess of our net short-term capital gain over our net long-term capital loss for such taxable year) qualify for an exemption from U.S. withholding tax. As a result, dividends that we designate as “interest-related dividends” or “short-term capital gain dividends” generally will be exempt from U.S. withholding tax if the underlying income is U.S.-source and the Non-U.S. shareholder could have received the underlying income free of tax. To the extent dividends are paid that do not qualify for this exemption (e.g., dividends related to foreign-source income or other income not treated as qualified net interest income or qualified short-term capital gains), some Non-U.S. shareholders may qualify for a reduced rate of U.S. withholding tax under an applicable tax treaty or for an exemption from U.S. withholding tax by reason of their status as a foreign sovereign or under special treaty provisions for certain foreign pension funds. Prospective investors should consult their own advisers regarding their eligibility for a reduced rate or exemption as described above. We will disclose information regarding our dividend distributions relevant for shareholder tax characteristics on an annual basis.</w:t>
      </w:r>
    </w:p>
    <w:p>
      <w:pPr>
        <w:spacing w:after="0" w:line="190"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To qualify for an exemption or reduced rate of U.S. withholding tax (under a treaty, by reason of an exemption for sovereign investors, or under the rules applicable to interest-related dividends or short-term capital gain dividends), a Non-U.S. shareholder must comply with the U.S. tax certification requirements described below. A Non-U.S. shareholder must deliver to the applicable withholding agent and maintain in effect a valid IRS Form W-8BEN-E or other applicable tax certification establishing its entitlement to the exemption or reduced rate, or otherwise establishing an exemption from backup withholding.</w:t>
      </w:r>
    </w:p>
    <w:p>
      <w:pPr>
        <w:spacing w:after="0" w:line="183"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We intend to adopt a dividend reinvestment plan that will allow shareholders to elect to receive dividends in the form of additional shares instead of in cash. If a Non-U.S. shareholder reinvests dividends in additional shares, such Non-U.S. shareholder will be treated as if it had received a distribution in the amount of cash that it would have received if it had not made the election. If the distribution is a distribution of our investment company taxable income and is not designated by us as a short-term capital gain dividend or interest-related dividend, if applicable, the amount distributed (to the extent of our current or accumulated earnings and profits) will be subject to withholding of U.S. federal income tax at a 30% rate (or lower rate provided by an applicable income tax treaty) and only the net after-tax amount will be reinvested in our Common Shares. The Non-U.S. shareholder will have an adjusted tax basis in the additional Common Shares purchased through the dividend reinvestment plan equal to the amount of</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00"/>
          </w:cols>
          <w:pgMar w:left="320" w:top="455" w:right="4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the reinvested distribution. The additional shares will have a new holding period commencing on the day following the day on which the shares are credited to the Non-U.S. shareholder’s account.</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the case of distributions made by the Fund (other than capital gain dividends), additional requirements will apply to Non-U.S. shareholders that are considered for U.S. federal income tax purposes to be a foreign financial institution or non-financial foreign entity, as well as to Non-U.S. shareholders that hold their shares through such an institution or entity. In general, an exemption from U.S. withholding tax will be available only if the foreign financial institution, under an agreement it has entered into with the U.S. government or under certain intergovernmental agreements, collects and provides to the U.S. tax authorities information about its accountholders (including certain investors in such institution) and if the non-financial foreign entity has provided the withholding agent with a certification identifying certain of its direct and indirect U.S. owners. Any U.S. taxes withheld pursuant to the aforementioned requirements from distributions paid to affected Non-U.S. shareholders who are otherwise eligible for an exemption from, or reduction of, U.S. federal withholding taxes on such distributions may only be reclaimed by such Non-U.S. shareholders by timely filing a U.S. tax return with the IRS to claim the benefit of such exemption or reduction.</w:t>
      </w:r>
    </w:p>
    <w:p>
      <w:pPr>
        <w:spacing w:after="0" w:line="188"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 RIC is a corporation for U.S. federal income tax purposes. Under current law, a Non-U.S. shareholder will not be considered to be engaged in the conduct of a business in the United States solely by reason of its ownership in a RIC. Certain special rules apply to a Non-U.S. shareholder that is an entity qualifying for tax exemption under Section 892 of the Code. Such a Non-U.S. shareholders will generally not be treated as engaged in “commercial activity” merely by virtue of its ownership of our Common Shares and will generally be exempt from withholding tax on dividends received on Common Shares. Certain special rules apply to such Non-U.S. shareholders if we qualify as a U.S. real property holding corporation. We do not expect these special rules to apply but there cannot be any assurance thereof.</w:t>
      </w:r>
    </w:p>
    <w:p>
      <w:pPr>
        <w:spacing w:after="0" w:line="187"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Non-U.S. shareholders should consult their own tax advisors with respect to the U.S. federal income tax and withholding tax, and state, local and foreign tax consequences of an investment in the Common Shares.</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U.S. information reporting requirements will apply and backup withholding will not apply to dividends paid on our shares to a Non-U.S. shareholder, provided the Non-U.S. shareholder provides to the applicable withholding agent a Form W-8BEN-E (or satisfies certain documentary evidence requirements for establishing that it is not a United States person) or otherwise establishes an exemption. Similarly, information reporting requirements (but not backup withholding) will apply to a payment of the proceeds of a sale of our shares effected outside the United States by a foreign office of a broker if the broker (i) is a United States person, (ii) derives 50% or more of its gross income for certain periods from the conduct of a trade or business in the United States, (iii) is a “controlled foreign corporation” as to the United States, or (iv) is a foreign partnership that, at any time during its taxable year is more than 50% (by income or capital interest) owned by United States persons or is engaged in the conduct of a U.S. trade or business, unless in any such case the broker has documentary evidence in its records that the holder is a Non-U.S. shareholder and certain conditions are met, or such holder otherwise establishes an exemption. Payment by a United States office of a broker of the proceeds of a sale of our shares will be subject to both backup withholding and information reporting unless the Non-U.S. shareholder certifies its status that it is not a United States person under penalties of perjury or otherwise establishes an exemption. Backup withholding is not an additional tax. Any amounts withheld from payments made to a Non-U.S. shareholder may be refunded or credited against such shareholder’s U.S. federal income tax liability, if any, provided that the required information is timely furnished to the IRS.</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80"/>
          </w:cols>
          <w:pgMar w:left="320" w:top="455" w:right="4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following is only a summary of the principal risks that may materially adversely affect our business, financial condition, results of operations and cash flows. The following summary should be read in conjunction with the complete discussion of risk factors we face, which are set forth below under “-Risk Factors.”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Risks Related to Our Business and Structure</w:t>
      </w:r>
    </w:p>
    <w:p>
      <w:pPr>
        <w:spacing w:after="0" w:line="133" w:lineRule="exact"/>
        <w:rPr>
          <w:sz w:val="20"/>
          <w:szCs w:val="20"/>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new company and have no operating history.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Trustees may amend our Declaration of Trust without prior shareholder approval.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upon management personnel of the Adviser, Sixth Street and their affiliates for our future success.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governing our operation as a BDC affect our ability to, and the way in which we, raise additional capital.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intend to borrow money, which magnifies the potential for gain or loss and increases the risk of investing in 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highly competitive market for investment opportunities.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source investments, access financing or manage future growth effectively, we may be unable to achieve our investment objective.</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subject to corporate-level U.S. federal income tax if we are unable to maintain our qualification as a RIC under Subchapter M of the Code, including as a result of our failure to satisfy the RIC distribution requirements.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Adviser and its affiliates, officers and employees may face certain conflicts of interest.</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Adviser can resign on 60 days’ notice. We may not be able to find a suitable replacement within that time, resulting in a disruption in our operations and a loss of the benefits from our relationship with Sixth Street. Any new investment advisory agreement would require shareholder approval.</w:t>
      </w:r>
    </w:p>
    <w:p>
      <w:pPr>
        <w:spacing w:after="0" w:line="81"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Adviser’s liability is limited under the Advisory Agreement, and we are required to indemnify the Adviser against certain liabilities, which may lead the Adviser to act in a riskier manner on our behalf than it would when acting for its own account.</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resources that individuals employed by the Adviser devote to us may be diverted and we may face additional competition due to the fact that individuals employed by the Adviser are not prohibited from raising money for or managing other entities that make the same types of investments that we target.</w:t>
      </w:r>
    </w:p>
    <w:p>
      <w:pPr>
        <w:spacing w:after="0" w:line="81"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non-diversified investment company within the meaning of the 1940 Act, and therefore we are not limited with respect to the proportion of our assets that may be invested in securities of a single issuer.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maintain our status as a BDC would reduce our operating flexibility.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investors are limited in their ability to make significant investments in 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risks and cyber incidents may adversely affect our business or those of our portfolio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may change our investment objective, operating policies and strategies without prior notice or shareholder approval.</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rates of our debt investments to our portfolio companies and our indebtedness that extend beyond 2023 might be subject to change based on recent regulatory changes.</w:t>
      </w:r>
    </w:p>
    <w:p>
      <w:pPr>
        <w:spacing w:after="0" w:line="67" w:lineRule="exact"/>
        <w:rPr>
          <w:rFonts w:ascii="Times New Roman" w:cs="Times New Roman" w:eastAsia="Times New Roman" w:hAnsi="Times New Roman"/>
          <w:sz w:val="18"/>
          <w:szCs w:val="18"/>
          <w:color w:val="auto"/>
        </w:rPr>
      </w:pPr>
    </w:p>
    <w:p>
      <w:pPr>
        <w:ind w:left="1080" w:right="160" w:hanging="424"/>
        <w:spacing w:after="0" w:line="266"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Declaration of Trust includes exclusive forum and jury trial waiver provisions that could limit a shareholder’s ability to bring a claim or, if such provisions are deemed inapplicable or unenforceable by a court, may cause the Fund to incur additional costs associated with such action.</w:t>
      </w:r>
    </w:p>
    <w:p>
      <w:pPr>
        <w:spacing w:after="0" w:line="81"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is likely to materially and adversely affect our portfolio companies and the results of our operations, including our financial results.</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state of the economy and financial markets increases the likelihood of adverse effects on our financial position and results of operations.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recessions or downturns could impair our portfolio companies and harm our operating results.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40"/>
          </w:cols>
          <w:pgMar w:left="320" w:top="455" w:right="4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Risks Related to Our Portfolio Company Investments</w:t>
      </w:r>
    </w:p>
    <w:p>
      <w:pPr>
        <w:spacing w:after="0" w:line="133" w:lineRule="exact"/>
        <w:rPr>
          <w:sz w:val="20"/>
          <w:szCs w:val="20"/>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investments are very risky and highly speculative.</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Investing in upper middle market companies involves a number of significant risks, any one of which could have a material adverse effect on our operating results.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strategy focused primarily on privately-held companies presents certain challenges, including, but not limited to, the lack of available information about these companies.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most of our portfolio securities will not have a readily available market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liquidity in our investments may adversely affect our business.</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portfolio may be focused on a limited number of portfolio companies or industries, which will subject us to a risk of significant loss if any of these companies defaults on its obligations under any of its debt instruments or if there is a downturn in a particular industry.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securitize certain of our investments, which may subject us to certain structured financing risks.</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66"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generally do not hold controlling interests in our portfolio companies, we may not be in a position to exercise control over those portfolio companies or prevent decisions by management of those portfolio companies that could decrease the value of our investments.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risks associated with changes in interest rates.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realize expected returns on our invested capital.</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originating loans to companies that are experiencing significant financial or business difficulties, we may be exposed to distressed lending risks.</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portfolio companies in some cases may incur debt or issue equity securities that rank equally with, or senior to, our investments in those companies.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exposed to special risks associated with bankruptcy cases.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transactions with our affiliates is restricted.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acquisitions or strategic investments that we pursue are subject to risks and uncertainties.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guarantee that we will be able to obtain various required licenses in U.S. states or in any other jurisdiction where they may be required in the future.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expose ourselves to risks when we engage in hedging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portfolio companies may be highly leveraged.</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structure applicable to derivatives imposed by the Dodd-Frank Act may affect our ability to use over-the-counter (“OTC”) derivatives for hedging purposes.</w:t>
      </w:r>
    </w:p>
    <w:p>
      <w:pPr>
        <w:spacing w:after="0" w:line="67"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cease to be eligible for an exemption from regulation as a commodity pool operator, our compliance expenses could increase substantially.</w:t>
      </w:r>
    </w:p>
    <w:p>
      <w:pPr>
        <w:spacing w:after="0" w:line="67" w:lineRule="exact"/>
        <w:rPr>
          <w:rFonts w:ascii="Times New Roman" w:cs="Times New Roman" w:eastAsia="Times New Roman" w:hAnsi="Times New Roman"/>
          <w:sz w:val="18"/>
          <w:szCs w:val="18"/>
          <w:color w:val="auto"/>
        </w:rPr>
      </w:pPr>
    </w:p>
    <w:p>
      <w:pPr>
        <w:ind w:left="1080" w:right="180" w:hanging="424"/>
        <w:spacing w:after="0" w:line="261"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treated as a publicly offered regulated investment company, certain U.S. shareholders will be treated as having received a dividend from us in the amount of such U.S. shareholders’ allocable share of the Management and Incentive Fees paid to our investment adviser and certain of our other expenses, and these fees and expenses will be treated as miscellaneous itemized deductions of such U.S. shareholders.</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certain risks associated with holding debt obligations that have original issue discount or payment-in-kind interest.</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Risks Related to Our Securities</w:t>
      </w:r>
    </w:p>
    <w:p>
      <w:pPr>
        <w:spacing w:after="0" w:line="133" w:lineRule="exact"/>
        <w:rPr>
          <w:sz w:val="20"/>
          <w:szCs w:val="20"/>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in our Common Shares will have limited liquidity.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risk that investors in our Common Shares may not receive dividends or that our dividends may not grow over time.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investors will be subject to Exchange Act filing requirements.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distributions to shareholders may be funded from expense reimbursements or waivers of investment advisory fees, some of which are subject to repayment pursuant to our Expense Support and Conditional Reimbursement Agreement.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Investing in our securities may involve a high degree of risk.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shareholders will experience dilution in their ownership percentage if they opt out of our dividend reinvestment plan.</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General Risk Factors</w:t>
      </w:r>
    </w:p>
    <w:p>
      <w:pPr>
        <w:spacing w:after="0" w:line="133" w:lineRule="exact"/>
        <w:rPr>
          <w:sz w:val="20"/>
          <w:szCs w:val="20"/>
          <w:color w:val="auto"/>
        </w:rPr>
      </w:pPr>
    </w:p>
    <w:p>
      <w:pPr>
        <w:ind w:left="1080" w:right="62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information systems and systems failures could significantly disrupt our business, which may, in turn, negatively affect the market price of our Common Shares and our ability to pay dividends.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governing our operations may adversely affect our business.</w:t>
      </w:r>
    </w:p>
    <w:p>
      <w:pPr>
        <w:sectPr>
          <w:pgSz w:w="11900" w:h="16838" w:orient="portrait"/>
          <w:cols w:equalWidth="0" w:num="1">
            <w:col w:w="11100"/>
          </w:cols>
          <w:pgMar w:left="320" w:top="455" w:right="479" w:bottom="285" w:gutter="0" w:footer="0" w:header="0"/>
        </w:sectPr>
      </w:pP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00"/>
          </w:cols>
          <w:pgMar w:left="320" w:top="455" w:right="479" w:bottom="285"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Investing in our Common Shares involves a number of significant risks. The following information is a discussion of the material risk factors associated with an investment in our Common Shares specifically, as well as those factors generally associated with an investment in a company with investment objectives, investment policies, capital structure or trading markets similar to ours. In addition to the other information contained in this prospectus, you should consider carefully the following information before making an investment in our Common Shares. The risks below are not the only risks we face. Additional risks and uncertainties not presently known to us or not presently deemed material by us may also impair our operations and performance. If any of the following events occur our business, financial condition and results of operations could be materially and adversely affected. In such cases, the NAV of our Common Shares could decline, and you may lose all or part of your investment.</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Business and Structure</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are a new company and have no operating history.</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are newly formed, and will not have conducted any business activities prior to the completion of this offering. As a result, we have no financial information on which an investor can evaluate an investment in our company or our prior performance. We are subject to all of the business risks and uncertainties associated with any new business, including the risk that we will not achieve our investment objective and that the value of an investor’s investment could decline substantially or an investor’s investment could become worthless. We anticipate that it will take multiple years to invest substantially all of the capital commitments received by us from this offering due to the time necessary to identify, evaluate, structure, negotiate and close suitable investments in private middle-market companies. To the extent required to comply with diversification requirements during the startup period, we will use funds to invest in temporary investments, such as cash, cash equivalents, U.S. government securities and other high-quality debt investments that mature in one year or less, which we expect will earn yields substantially lower than the interest, dividend or other income that we anticipate receiving in respect of suitable portfolio investments. We may not be able to pay any significant dividends during this period, and any such dividends may be substantially lower than the dividends we expect to pay when our portfolio is fully invested.</w:t>
      </w:r>
    </w:p>
    <w:p>
      <w:pPr>
        <w:spacing w:after="0" w:line="194"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We will pay a management fee to the Adviser throughout this interim period. If the management fee and our other expenses exceed the return on the temporary investments, our equity capital will be eroded.</w:t>
      </w:r>
    </w:p>
    <w:p>
      <w:pPr>
        <w:spacing w:after="0" w:line="162"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The Fund is a non-diversified, closed-end management investment company, that will elect to be regulated as a BDC, with no operating history. As a result, prospective investors have no track record or history on which to base their investment decision. We are subject to the business risks and uncertainties associated with recently formed businesses, including the risk that we will not achieve our investment objective and the value of a shareholder’s investment could decline substantially or become worthless. While we believe that the past professional experiences of the Adviser’s investment team, including investment and financial experience of the Adviser’s senior management, will increase the likelihood that the Adviser will be able to manage the Fund successfully, there can be no assurance that this will be the case.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Board of Trustees may amend our Declaration of Trust without prior shareholder approval.</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Our Board of Trustees may, without shareholder vote (subject to certain exceptions) amend or otherwise supplement the Declaration of Trust, including without limitation to classify the Board of Trustees, to impose advance notice provisions for Trustee nominations or for shareholder proposals and to require super-majority approval of transactions with significant shareholders or other provisions that may be characterized as anti-takeover in nature. See </w:t>
      </w:r>
      <w:r>
        <w:rPr>
          <w:rFonts w:ascii="Times New Roman" w:cs="Times New Roman" w:eastAsia="Times New Roman" w:hAnsi="Times New Roman"/>
          <w:sz w:val="18"/>
          <w:szCs w:val="18"/>
          <w:i w:val="1"/>
          <w:iCs w:val="1"/>
          <w:color w:val="auto"/>
        </w:rPr>
        <w:t>“Item 11. Description of Registrant’s Securities to be Registered—Delaware Law and Certain Declaration of Trust Provisions— Amendment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the Declaration of Trust; No Approval by Shareholders</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upon management personnel of the Adviser, Sixth Street and their affiliates for our future success.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depend on the experience, diligence, skill and network of business contacts of senior members of our Investment Team. Our Investment Team, together with other professionals at Sixth Street and its affiliates, identifies, evaluates, negotiates, structures, closes, monitors and manages our investments. Our success will depend to a significant extent on the continued service and coordination of the senior members of our Investment Team. The senior members of our Investment Team are not contractually restricted from leaving the Adviser. The departure of any of these key personnel, including members of our Adviser’s Investment Review Committee, could have a material adverse effect on us.</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00"/>
          </w:cols>
          <w:pgMar w:left="320" w:top="455" w:right="4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In addition, we cannot assure investors that the Adviser will remain our investment adviser or that we will continue to have access to Sixth Street or its investment professionals. The Advisory Agreement may be terminated by either party without penalty on 60 days’ written notice to the other party. The holders of a majority of our outstanding voting securities may also terminate the Advisory Agreement without penalty on 60 days’ written notice.</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Regulations governing our operation as a BDC affect our ability to, and the way in which we, raise additional capital.</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The 1940 Act imposes numerous constraints on the operations of BDCs. For example, BDCs are required to invest at least 70% of their total assets in securities of nonpublic or thinly traded U.S. companies, cash, cash equivalents, U.S. government securities and other high-quality debt investments that mature in one year or less. These constraints may hinder the Adviser’s ability to take advantage of attractive investment opportunities and to achieve our investment objective.</w:t>
      </w:r>
    </w:p>
    <w:p>
      <w:pPr>
        <w:spacing w:after="0" w:line="180"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may need to periodically access the debt and equity capital markets to raise cash to fund new investments in excess of our repayments, and we may also need to access the capital markets to refinance existing debt obligations to the extent such maturing obligations are not repaid with availability under our revolving credit facilities or cash flows from operations.</w:t>
      </w:r>
    </w:p>
    <w:p>
      <w:pPr>
        <w:spacing w:after="0" w:line="176"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Regulations governing our operation as a BDC affect our ability to raise additional capital, and the ways in which we can do so. Raising additional capital may expose us to risks, including the typical risks associated with leverage, and may result in dilution to our current shareholders. The 1940 Act limits our ability to incur borrowings and issue debt securities and preferred shares, which we refer to as senior securities, requiring that after any borrowing or issuance the ratio of total assets (less total liabilities other than indebtedness) to total indebtedness plus preferred shares, is at least 150%.</w:t>
      </w:r>
    </w:p>
    <w:p>
      <w:pPr>
        <w:spacing w:after="0" w:line="164"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may need to continue to borrow from financial institutions and issue additional securities to fund our growth. Unfavorable economic or capital market conditions may increase our funding costs, limit our access to the capital markets or could result in a decision by lenders not to extend credit to us. An inability to successfully access the capital markets may limit our ability to refinance our existing debt obligations as they come due and/or to fully execute our business strategy and could limit our ability to grow or cause us to have to shrink the size of our business, which could decrease our earnings, if any. Consequently, if the value of our assets declines or we are unable to access the capital markets we may be required to sell a portion of our investments and, depending on the nature of our leverage, repay a portion of our indebtedness at a time when this may be disadvantageous. Also, any amounts that we use to service our indebtedness would not be available for distributions to our common shareholders. If we borrow money or issue senior securities, we will be exposed to typical risks associated with leverage, including an increased risk of loss.</w:t>
      </w:r>
    </w:p>
    <w:p>
      <w:pPr>
        <w:spacing w:after="0" w:line="192"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If we issue preferred shares, the preferred shares would rank senior to Common Shares in our capital structure. Preferred shareholders would have separate voting rights on certain matters and may have other rights, preferences or privileges more favorable than those of our common shareholders. The issuance of preferred shares could have the effect of delaying, deferring or preventing a transaction or a change of control that might involve a premium price for holders of our Common Shares or otherwise be in the best interest of holders of our Common Shares. Holders of our Common Shares will directly or indirectly bear all of the costs associated with offering and servicing any preferred shares that we issue. In addition, any interests of preferred shareholders may not necessarily align with the interests of holders of our Common Shares and the rights of holders of shares of preferred shares to receive dividends would be senior to those of holders of our Common Shares.</w:t>
      </w:r>
    </w:p>
    <w:p>
      <w:pPr>
        <w:spacing w:after="0" w:line="189" w:lineRule="exact"/>
        <w:rPr>
          <w:sz w:val="20"/>
          <w:szCs w:val="20"/>
          <w:color w:val="auto"/>
        </w:rPr>
      </w:pPr>
    </w:p>
    <w:p>
      <w:pPr>
        <w:ind w:left="120" w:right="120" w:firstLine="440"/>
        <w:spacing w:after="0" w:line="289" w:lineRule="auto"/>
        <w:rPr>
          <w:sz w:val="20"/>
          <w:szCs w:val="20"/>
          <w:color w:val="auto"/>
        </w:rPr>
      </w:pPr>
      <w:r>
        <w:rPr>
          <w:rFonts w:ascii="Times New Roman" w:cs="Times New Roman" w:eastAsia="Times New Roman" w:hAnsi="Times New Roman"/>
          <w:sz w:val="17"/>
          <w:szCs w:val="17"/>
          <w:color w:val="auto"/>
        </w:rPr>
        <w:t>Our Board may decide to issue additional Common Shares to finance our operations rather than issuing debt or other senior securities. However, we generally are not able to issue and sell our Common Shares at a price below net asset value per share. We may, however, elect to issue and sell our Common Shares, or warrants, options or rights to acquire our Common Shares, at a price below the then-current net asset value of our Common Shares</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20"/>
          </w:cols>
          <w:pgMar w:left="320" w:top="455"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if our Board determines that the sale is in the Fund’s best interest and the best interests of the Fund’s shareholders, and the Fund’s shareholders have approved our policy and practice of making these sales within the preceding 12 months. We may in the future seek such approval; however, there is no assurance such approval will be obtained. In any such case, the price at which our securities are to be issued and sold may not be less than a price that, in the determination of our Board, closely approximates the market value of those securities (less any distribution commission or discount). In the event we sell our Common Shares at a price below net asset value per share, existing shareholders will experience net asset value dilution. This dilution would occur as a result of the sale of shares at a price below the then current net asset value per share and would cause a proportionately greater decrease in the shareholders’ interest in our earnings and assets and their voting interest in us than the increase in our assets resulting from such issuance. As a result of any such dilution, our market price per share may decline. Because the number of Common Shares that could be so issued and the timing of any issuance is not currently known, the actual dilutive effect cannot be predicted.</w:t>
      </w:r>
    </w:p>
    <w:p>
      <w:pPr>
        <w:spacing w:after="0" w:line="188"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In addition to issuing securities to raise capital as described above, we could securitize our investments to generate cash for funding new investments. To securitize our investments, we likely would create a wholly owned subsidiary, contribute a pool of loans to the subsidiary and have the subsidiary issue primarily investment grade debt securities to purchasers who we would expect would be willing to accept a substantially lower interest rate than the loans earn. We would retain all or a portion of the equity in the securitized pool of loans. Our retained equity would be exposed to any losses on the portfolio of investments before any of the debt securities would be exposed to the losses. An inability to successfully securitize our investment portfolio could limit our ability to grow or fully execute our business and could adversely affect our earnings, if any. The successful securitization of our investment could expose us to losses because the portions of the securitized investments that we would typically retain tend to be those that are riskier and more apt to generate losses. The 1940 Act also may impose restrictions on the structure of any securitization. In connection with any future securitization of investments, we may incur greater set-up and administration fees relating to such vehicles than we have in connection with financing of our investments in the past. See “—</w:t>
      </w:r>
      <w:r>
        <w:rPr>
          <w:rFonts w:ascii="Times New Roman" w:cs="Times New Roman" w:eastAsia="Times New Roman" w:hAnsi="Times New Roman"/>
          <w:sz w:val="18"/>
          <w:szCs w:val="18"/>
          <w:i w:val="1"/>
          <w:iCs w:val="1"/>
          <w:color w:val="auto"/>
        </w:rPr>
        <w:t>Risks Related to Our Portfolio Company Investments—We may securitize certain of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investments, which may subject us to certain structured financing risks</w:t>
      </w:r>
      <w:r>
        <w:rPr>
          <w:rFonts w:ascii="Times New Roman" w:cs="Times New Roman" w:eastAsia="Times New Roman" w:hAnsi="Times New Roman"/>
          <w:sz w:val="18"/>
          <w:szCs w:val="18"/>
          <w:color w:val="auto"/>
        </w:rPr>
        <w:t>.”</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intend borrow money, which magnifies the potential for gain or loss and increases the risk of investing in us.</w:t>
      </w:r>
    </w:p>
    <w:p>
      <w:pPr>
        <w:spacing w:after="0" w:line="121" w:lineRule="exact"/>
        <w:rPr>
          <w:sz w:val="20"/>
          <w:szCs w:val="20"/>
          <w:color w:val="auto"/>
        </w:rPr>
      </w:pPr>
    </w:p>
    <w:p>
      <w:pPr>
        <w:jc w:val="both"/>
        <w:ind w:left="120" w:right="40" w:firstLine="440"/>
        <w:spacing w:after="0" w:line="272" w:lineRule="auto"/>
        <w:rPr>
          <w:sz w:val="20"/>
          <w:szCs w:val="20"/>
          <w:color w:val="auto"/>
        </w:rPr>
      </w:pPr>
      <w:r>
        <w:rPr>
          <w:rFonts w:ascii="Times New Roman" w:cs="Times New Roman" w:eastAsia="Times New Roman" w:hAnsi="Times New Roman"/>
          <w:sz w:val="17"/>
          <w:szCs w:val="17"/>
          <w:color w:val="auto"/>
        </w:rPr>
        <w:t>As part of our business strategy, we intend borrow from and may in the future issue senior debt securities to banks, insurance companies and other lenders. Holders of these loans or senior securities would have fixed-dollar claims on our assets that have priority over the claims of our shareholders. If the value of our assets decreases, leverage will cause our net asset value to decline more sharply than it otherwise would have without leverage.</w:t>
      </w:r>
    </w:p>
    <w:p>
      <w:pPr>
        <w:spacing w:after="0" w:line="2" w:lineRule="exact"/>
        <w:rPr>
          <w:sz w:val="20"/>
          <w:szCs w:val="20"/>
          <w:color w:val="auto"/>
        </w:rPr>
      </w:pPr>
    </w:p>
    <w:p>
      <w:pPr>
        <w:ind w:left="120" w:right="60"/>
        <w:spacing w:after="0" w:line="251" w:lineRule="auto"/>
        <w:rPr>
          <w:sz w:val="20"/>
          <w:szCs w:val="20"/>
          <w:color w:val="auto"/>
        </w:rPr>
      </w:pPr>
      <w:r>
        <w:rPr>
          <w:rFonts w:ascii="Times New Roman" w:cs="Times New Roman" w:eastAsia="Times New Roman" w:hAnsi="Times New Roman"/>
          <w:sz w:val="18"/>
          <w:szCs w:val="18"/>
          <w:color w:val="auto"/>
        </w:rPr>
        <w:t xml:space="preserve">Similarly, any decrease in our income would cause our net income to decline more sharply than it would have if we had not borrowed. This decline could negatively affect our ability to make dividend payments on our Common Shares. Our ability to service our borrowings depends largely on our financial performance and is subject to prevailing economic conditions and competitive pressures. In addition, the Management Fee is payable based on our gross assets, including cash and assets acquired through the use of leverage, which may give our Adviser an incentive to use leverage to make additional investments. See </w:t>
      </w:r>
      <w:r>
        <w:rPr>
          <w:rFonts w:ascii="Times New Roman" w:cs="Times New Roman" w:eastAsia="Times New Roman" w:hAnsi="Times New Roman"/>
          <w:sz w:val="18"/>
          <w:szCs w:val="18"/>
          <w:i w:val="1"/>
          <w:iCs w:val="1"/>
          <w:color w:val="auto"/>
        </w:rPr>
        <w:t>“—Risks Related to Our Business and Structure—Even in the event the value of an investor’s investment declines,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Management Fee and, in certain circumstances, the Incentive Fee will still be payable to the Adviser</w:t>
      </w:r>
      <w:r>
        <w:rPr>
          <w:rFonts w:ascii="Times New Roman" w:cs="Times New Roman" w:eastAsia="Times New Roman" w:hAnsi="Times New Roman"/>
          <w:sz w:val="18"/>
          <w:szCs w:val="18"/>
          <w:color w:val="auto"/>
        </w:rPr>
        <w:t>.” The amount of leverage that we employ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depend on our Adviser’s and our Board’s assessment of market and other factors at the time of any proposed borrowing. We cannot assure investors that we will be able to obtain credit at all or on terms acceptable to us.</w:t>
      </w:r>
    </w:p>
    <w:p>
      <w:pPr>
        <w:spacing w:after="0" w:line="194"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We intend to enter into credit facilities or issue debt pursuant to indentures that may impose financial and operating covenants that restrict our business activities, remedies on default and similar matters. Our compliance with these covenants depends on many factors, some of which are beyond our control. Failure to comply with these covenants could result in a default. If we were unable to obtain a waiver of a default from the lenders or holders of that indebtedness, as applicable, those lenders or holders could accelerate repayment under that indebtedness. An acceleration could have a material adverse impact on our business, financial condition and results of operations. Lastly, we may be unable to obtain additional leverage, which would, in turn, affect our return on capital.</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20"/>
          </w:cols>
          <w:pgMar w:left="320" w:top="455"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indebtedness could adversely affect our business, financial conditions or results of operations.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cannot assure investors that our business will generate sufficient cash flow from operations or that future borrowings will be available to us under our credit facilities or otherwise in an amount sufficient to enable us to pay our indebtedness or to fund our other liquidity needs. We may need to refinance all or a portion of our indebtedness on or before it matures. We cannot assure investors that we will be able to refinance any of our indebtedness on commercially reasonable terms or at all. If we cannot service our indebtedness, we may have to take actions such as selling assets or seeking additional equity. We cannot assure investors that any such actions, if necessary, could be effected on commercially reasonable terms or at all, or on terms that would not be disadvantageous to our shareholders or on terms that would not require us to breach the terms and conditions of our existing or future debt agreements.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Legislation allows us to incur additional leverage.</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Under the 1940 Act, a BDC generally is not permitted to incur borrowings, issue debt securities or issue preferred stock unless immediately after the borrowing or issuance the ratio of total assets (less total liabilities other than indebtedness) to total indebtedness plus preferred stock is at least 200%. However, under the SBCAA, which became law in March 2018, BDCs have the ability to elect to become subject to a lower asset coverage requirement of 150%, subject to the receipt of the requisite board or shareholder approvals under the SBCAA and satisfaction of certain other conditions. Our initial shareholder is expected to approve the lower asset coverage ratio prior to the completion of our initial offering.</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As a result, investors may face increased investment risk. We may not be able to implement our strategy to utilize additional leverage successfully. See “ </w:t>
      </w:r>
      <w:r>
        <w:rPr>
          <w:rFonts w:ascii="Times New Roman" w:cs="Times New Roman" w:eastAsia="Times New Roman" w:hAnsi="Times New Roman"/>
          <w:sz w:val="18"/>
          <w:szCs w:val="18"/>
          <w:i w:val="1"/>
          <w:iCs w:val="1"/>
          <w:color w:val="auto"/>
        </w:rPr>
        <w:t>—We operate in a highly competitive environment for investment opportunities</w:t>
      </w:r>
      <w:r>
        <w:rPr>
          <w:rFonts w:ascii="Times New Roman" w:cs="Times New Roman" w:eastAsia="Times New Roman" w:hAnsi="Times New Roman"/>
          <w:sz w:val="18"/>
          <w:szCs w:val="18"/>
          <w:color w:val="auto"/>
        </w:rPr>
        <w:t xml:space="preserve">.” Any impact on returns or equity or our business associated with additional leverage may not outweigh the additional risk. See “ </w:t>
      </w:r>
      <w:r>
        <w:rPr>
          <w:rFonts w:ascii="Times New Roman" w:cs="Times New Roman" w:eastAsia="Times New Roman" w:hAnsi="Times New Roman"/>
          <w:sz w:val="18"/>
          <w:szCs w:val="18"/>
          <w:i w:val="1"/>
          <w:iCs w:val="1"/>
          <w:color w:val="auto"/>
        </w:rPr>
        <w:t>—We borrow money, which magnifies the potential for gain or loss and increases the 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investing in us</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default under our future credit facilities.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the event we default under a credit facility or other borrowings, our business could be adversely affected as we may be forced to sell a portion of our investments quickly and prematurely at what may be disadvantageous prices to us in order to meet our outstanding payment obligations and/or support working capital requirements under such credit facility, any of which would have a material adverse effect on our business, financial condition, results of operations and cash flows. In addition, following any such default, the agent for the lenders under such borrowing facility could assume control of the disposition of any or all of our assets, including the selection of such assets to be disposed and the timing of such disposition, which would have a material adverse effect on our business, financial condition, results of operations and cash flows.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Provisions in a credit facility may limit our investment discretion.</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A credit facility may be backed by all or a portion of our loans and securities on which the lenders will have a security interest. We may pledge up to 100% of our assets and may grant a security interest in all of our assets under the terms of any debt instrument we enter into with lenders. We expect that any security interests we grant will be set forth in a pledge and security agreement and evidenced by the filing of financing statements by the agent for the lenders. In addition, we expect that the custodian for our securities serving as collateral for such loan would include in its electronic systems notices indicating the existence of such security interests and, following notice of occurrence of an event of default, if any, and during its continuance, will only accept transfer instructions with respect to any such securities from the lender or its designee. If we were to default under the terms of any debt instrument, the agent for the applicable lenders would be able to assume control of the timing of disposition of any or all of our assets securing such debt, which would have a material adverse effect on our business, financial condition, results of operations and cash flows.</w:t>
      </w:r>
    </w:p>
    <w:p>
      <w:pPr>
        <w:spacing w:after="0" w:line="192" w:lineRule="exact"/>
        <w:rPr>
          <w:sz w:val="20"/>
          <w:szCs w:val="20"/>
          <w:color w:val="auto"/>
        </w:rPr>
      </w:pPr>
    </w:p>
    <w:p>
      <w:pPr>
        <w:ind w:left="120" w:right="300" w:firstLine="440"/>
        <w:spacing w:after="0" w:line="289" w:lineRule="auto"/>
        <w:rPr>
          <w:sz w:val="20"/>
          <w:szCs w:val="20"/>
          <w:color w:val="auto"/>
        </w:rPr>
      </w:pPr>
      <w:r>
        <w:rPr>
          <w:rFonts w:ascii="Times New Roman" w:cs="Times New Roman" w:eastAsia="Times New Roman" w:hAnsi="Times New Roman"/>
          <w:sz w:val="17"/>
          <w:szCs w:val="17"/>
          <w:color w:val="auto"/>
        </w:rPr>
        <w:t>In addition, any security interests and/or negative covenants required by a credit facility may limit our ability to create liens on assets to secure additional debt and may make it difficult for us to restructure or refinance indebtedness at or prior to maturity or obtain additional debt or equity financing. In addition, if our borrowing base under a credit facility were to decrease, we may be required to secure additional assets in an amount</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20"/>
          </w:cols>
          <w:pgMar w:left="320" w:top="455"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sufficient to cure any borrowing base deficiency. In the event that all of our assets are secured at the time of such a borrowing base deficiency, we could be required to repay advances under a credit facility or make deposits to a collection account, either of which could have a material adverse impact on our ability to fund future investments and to make distributions.</w:t>
      </w:r>
    </w:p>
    <w:p>
      <w:pPr>
        <w:spacing w:after="0" w:line="176" w:lineRule="exact"/>
        <w:rPr>
          <w:sz w:val="20"/>
          <w:szCs w:val="20"/>
          <w:color w:val="auto"/>
        </w:rPr>
      </w:pPr>
    </w:p>
    <w:p>
      <w:pPr>
        <w:ind w:left="120" w:right="180" w:firstLine="440"/>
        <w:spacing w:after="0" w:line="255" w:lineRule="auto"/>
        <w:rPr>
          <w:sz w:val="20"/>
          <w:szCs w:val="20"/>
          <w:color w:val="auto"/>
        </w:rPr>
      </w:pPr>
      <w:r>
        <w:rPr>
          <w:rFonts w:ascii="Times New Roman" w:cs="Times New Roman" w:eastAsia="Times New Roman" w:hAnsi="Times New Roman"/>
          <w:sz w:val="18"/>
          <w:szCs w:val="18"/>
          <w:color w:val="auto"/>
        </w:rPr>
        <w:t>In addition, we may be subject to limitations as to how borrowed funds may be used, which may include restrictions on geographic and industry concentrations, loan size, payment frequency and status, average life, collateral interests and investment ratings, as well as regulatory restrictions on leverage which may affect the amount of funding that may be obtained. There may also be certain requirements relating to portfolio performance, including required minimum portfolio yield and limitations on delinquencies and charge-offs, a violation of which could limit further advances and, in some cases, result in an event of default. An event of default under a credit facility could result in an accelerated maturity date for all amounts outstanding thereunder, which could have a material adverse effect on our business and financial condition. This could reduce our liquidity and cash flow and impair our ability to grow our business.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operate in a highly competitive market for investment opportunities.</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Other public and private entities, including commercial banks, commercial financing companies, other BDCs and insurance companies, compete with us to make the types of investments that we make in upper middle-market companies. Certain of these competitors may be substantially larger, have considerably greater financial, technical and marketing resources than we have and offer a wider array of financial services. For example, some competitors may have a lower cost of funds and access to funding sources that are not available to us. In addition, some of our competitors may have higher risk tolerances or different risk assessments, which could allow them to consider a wider variety of investments and establish more relationships. We may lose investment opportunities if we do not match our competitors’ pricing, terms and structure. If we match our competitors’ pricing, terms and structure, however, we may experience decreased net interest income and increased risk of credit loss.</w:t>
      </w:r>
    </w:p>
    <w:p>
      <w:pPr>
        <w:spacing w:after="0" w:line="18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addition, many competitors are not subject to the regulatory restrictions that the 1940 Act imposes on us as a BDC or the restrictions that the Code imposes on us as a RIC. As a result, we face additional constraints on our operations, which may put us at a competitive disadvantage. As a result of this existing and potentially increasing competition, we may not be able to take advantage of attractive investment opportunities and we cannot assure investors that we will be able to identify and make investments that are consistent with our investment objective. The competitive pressures we face could have a material adverse effect on our ability to achieve our investment objective.</w:t>
      </w:r>
    </w:p>
    <w:p>
      <w:pPr>
        <w:spacing w:after="0" w:line="2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source investments, access financing or manage future growth effectively, we may be unable to achieve our investment objective.</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Our ability to achieve our investment objective depends on our Investment Team’s ability to identify, evaluate, finance and invest in suitable companies that meet our investment criteria. Accomplishing this result on a cost-effective basis is largely a function of our marketing capabilities, our management of the investment process, our ability to provide efficient services and our access to financing sources on acceptable terms, including equity financing. Moreover, our ability to structure investments may also depend upon the participation of other prospective investors. For example, our ability to offer loans above a certain size and to structure loans in a certain way may depend on our ability to partner with other investors. As a result, we could fail to capture some investment opportunities if we cannot provide “one-stop” financing to a potential portfolio company either alone or with other investment partners.</w:t>
      </w:r>
    </w:p>
    <w:p>
      <w:pPr>
        <w:spacing w:after="0" w:line="189"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In addition to monitoring the performance of our existing investments, members of our Investment Team may also be called upon to provide managerial assistance to our portfolio companies. These demands on their time may distract them or slow the rate of investment. To grow, our Adviser may need to hire, train, supervise and manage new employees. Failure to manage our future growth effectively could have a material adverse effect on our growth prospects and ability to achieve our investment objective.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20"/>
          </w:cols>
          <w:pgMar w:left="320" w:top="455"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in the event the value of an investor’s investment declines, the Management Fee and, in certain circumstances, the Incentive Fee will still be payable to the Adviser.</w:t>
      </w:r>
    </w:p>
    <w:p>
      <w:pPr>
        <w:spacing w:after="0" w:line="51"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Even in the event the value of an investor’s investment declines, the Management Fee and, in certain circumstances, the Incentive Fee will still be payable to the Adviser. The Management Fee is calculated as a percentage of the value of our gross assets at a specific time, which would include any borrowings for investment purposes, and may give our Adviser an incentive to use leverage to make additional investments. However, prior to any Exchange Listing that may occur, the Adviser has waived its right to receive management fees in excess of the sum of 1.00% of the Fund’s average aggregate drawn capital (including capital drawn to pay Fund expenses) as of the end of the two most recently completed calendar quarters, appropriately adjusted for any Common Share issuances or repurchases during the current calendar quarter. The fee waiver will terminate if and when the Fund consummates an Exchange Listing. In addition, the Management Fee is payable regardless of whether the value of our gross assets or an investor’s investment have decreased. The use of increased leverage may increase the likelihood of default, which would disfavor holders of our Common Shares. Given the subjective nature of the investment decisions that our Adviser will make on our behalf, we may not be able to monitor this potential conflict of interest.</w:t>
      </w:r>
    </w:p>
    <w:p>
      <w:pPr>
        <w:spacing w:after="0" w:line="19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Incentive Fee is calculated as a percentage of pre-Incentive Fee net investment income. Since pre-Incentive Fee net investment income does not include any realized capital gains, realized capital losses or unrealized capital gains or losses, it is possible that we may pay an Incentive Fee in a quarter in which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in that quarter and, as a result, that an Incentive Fee is paid for that quarter. Our net investment income used to calculate this component of the Incentive Fee is also included in the amount of our gross assets used to calculate the Management Fee.</w:t>
      </w:r>
    </w:p>
    <w:p>
      <w:pPr>
        <w:spacing w:after="0" w:line="19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Also, one component of the Incentive Fee is calculated annually based upon our realized capital gains, computed net of realized capital losses and unrealized capital losses on a cumulative basis. As a result, we may owe the Adviser an Incentive Fee during one year as a result of realized capital gains on certain investments, and then incur significant realized capital losses and unrealized capital losses on the remaining investments in our portfolio during subsequent years. Incentive Fees earned in prior years cannot be clawed back even if we later incur losses.</w:t>
      </w:r>
    </w:p>
    <w:p>
      <w:pPr>
        <w:spacing w:after="0" w:line="180"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In addition, the Incentive Fee payable by us to the Adviser may create an incentive for the Adviser to make investments on our behalf that are risky or more speculative than would be the case in the absence of such a compensation arrangement. The Adviser receives the Incentive Fee based, in part, upon capital gains realized on our investments. Unlike the portion of the Incentive Fee that is based on income, there is no hurdle rate applicable to the portion of the Incentive Fee based on capital gains. As a result, the Adviser may have an incentive to invest more in companies whose securities are likely to yield capital gains, as compared to income-producing investments. Such a practice could result in our making more speculative investments than would otherwise be the case, which could result in higher investment losses, particularly during cyclical economic downturns.</w:t>
      </w:r>
    </w:p>
    <w:p>
      <w:pPr>
        <w:spacing w:after="0" w:line="291" w:lineRule="exact"/>
        <w:rPr>
          <w:sz w:val="20"/>
          <w:szCs w:val="20"/>
          <w:color w:val="auto"/>
        </w:rPr>
      </w:pPr>
    </w:p>
    <w:p>
      <w:pPr>
        <w:ind w:left="12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To the extent that we do not realize income or choose not to retain after-tax realized net capital gains, we will have a greater need for additional capital to fund our investments and operating expenses.</w:t>
      </w:r>
    </w:p>
    <w:p>
      <w:pPr>
        <w:spacing w:after="0" w:line="51" w:lineRule="exact"/>
        <w:rPr>
          <w:sz w:val="20"/>
          <w:szCs w:val="20"/>
          <w:color w:val="auto"/>
        </w:rPr>
      </w:pPr>
    </w:p>
    <w:p>
      <w:pPr>
        <w:ind w:left="120" w:right="40" w:firstLine="440"/>
        <w:spacing w:after="0" w:line="273" w:lineRule="auto"/>
        <w:rPr>
          <w:sz w:val="20"/>
          <w:szCs w:val="20"/>
          <w:color w:val="auto"/>
        </w:rPr>
      </w:pPr>
      <w:r>
        <w:rPr>
          <w:rFonts w:ascii="Times New Roman" w:cs="Times New Roman" w:eastAsia="Times New Roman" w:hAnsi="Times New Roman"/>
          <w:sz w:val="17"/>
          <w:szCs w:val="17"/>
          <w:color w:val="auto"/>
        </w:rPr>
        <w:t>To maintain our status as a RIC for U.S. federal income tax purposes, we must distribute (or be treated as distributing) in each taxable year dividends for tax purposes equal to at least 90% of our investment company taxable income and net tax-exempt income for that taxable year, and may either distribute or retain our realized net capital gains from investments. Unless investors elect to reinvest dividends, earnings that we are required to distribute to shareholders will not be available to fund future investments. Accordingly, we may have insufficient funds to make new and follow-on investments, which could have a material adverse effect on our financial condition and results of operations. Because of the structure and objectives of our business, we may experience operating losses and expect to rely on proceeds from sales of investments, rather than on interest and dividend income, to pay our operating expenses. We cannot assure investors that we will be able to sell our investments and thereby fund our operating expenses.</w:t>
      </w:r>
    </w:p>
    <w:p>
      <w:pPr>
        <w:spacing w:after="0" w:line="1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20"/>
          </w:cols>
          <w:pgMar w:left="320" w:top="455"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be subject to corporate-level U.S. federal income tax if we are unable to maintain our qualification as a RIC under Subchapter M of the Code, including as a result of our failure to satisfy the RIC distribution requirements.</w:t>
      </w:r>
    </w:p>
    <w:p>
      <w:pPr>
        <w:spacing w:after="0" w:line="5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We will incur corporate-level U.S. federal income tax costs if we are unable to maintain our qualification as a RIC for U.S. federal income tax purposes, including as a result of our failure to satisfy the RIC distribution requirements. Although we have elected to be treated as a RIC for U.S. federal income tax purposes, we cannot assure investors that we will be able to continue to qualify for and maintain RIC status. To maintain RIC status under the Code and to avoid corporate-level U.S. federal income tax, we must meet the following annual distribution, income source and asset diversification requirements:</w:t>
      </w:r>
    </w:p>
    <w:p>
      <w:pPr>
        <w:spacing w:after="0" w:line="89" w:lineRule="exact"/>
        <w:rPr>
          <w:sz w:val="20"/>
          <w:szCs w:val="20"/>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distribute (or be treated as distributing) dividends for tax purposes in each taxable year equal to at least 90% of each of:</w:t>
      </w:r>
    </w:p>
    <w:p>
      <w:pPr>
        <w:spacing w:after="0" w:line="130" w:lineRule="exact"/>
        <w:rPr>
          <w:rFonts w:ascii="Times New Roman" w:cs="Times New Roman" w:eastAsia="Times New Roman" w:hAnsi="Times New Roman"/>
          <w:sz w:val="18"/>
          <w:szCs w:val="18"/>
          <w:color w:val="auto"/>
        </w:rPr>
      </w:pPr>
    </w:p>
    <w:p>
      <w:pPr>
        <w:ind w:left="1080" w:right="80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our net ordinary income and realized net short-term capital gains in excess of realized net long-term capital losses or, investment company taxable income, if any, for that taxable year;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net tax-exempt income for that taxable year.</w:t>
      </w:r>
    </w:p>
    <w:p>
      <w:pPr>
        <w:spacing w:after="0" w:line="225"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asset coverage ratio requirements under the 1940 Act and financial covenants under our loan and credit agreements could, under certain circumstances, restrict us from making distributions necessary to satisfy the distribution requirement. In addition, as discussed in more detail below, our income for tax purposes may exceed our available cash flow. If we are unable to obtain cash from other sources, we could fail to satisfy the distribution requirements that apply to a RIC. As a result, we could lose our RIC status and become subject to corporate-level U.S. federal income tax.</w:t>
      </w:r>
    </w:p>
    <w:p>
      <w:pPr>
        <w:spacing w:after="0" w:line="85" w:lineRule="exact"/>
        <w:rPr>
          <w:sz w:val="20"/>
          <w:szCs w:val="20"/>
          <w:color w:val="auto"/>
        </w:rPr>
      </w:pPr>
    </w:p>
    <w:p>
      <w:pPr>
        <w:ind w:left="1080" w:right="100" w:hanging="424"/>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derive at least 90% of our gross income for each taxable year from dividends, interest, gains from the sale of or other disposition of stock or securities or similar sources.</w:t>
      </w:r>
    </w:p>
    <w:p>
      <w:pPr>
        <w:spacing w:after="0" w:line="67"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meet specified asset diversification requirements at the end of each quarter of our taxable year. The need to satisfy these requirements to prevent the loss of RIC status may result in our having to dispose of certain investments quickly on unfavorable terms. Because most of our investments will be relatively illiquid, any such dispositions could be made at disadvantageous prices and could result in substantial losses.</w:t>
      </w:r>
    </w:p>
    <w:p>
      <w:pPr>
        <w:spacing w:after="0" w:line="180"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If we fail to maintain our qualification for tax treatment as a RIC for any reason, the resulting U.S. federal income tax liability could substantially reduce our net assets, the amount of income available for distribution, and the amount of our distributions.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Adviser and its affiliates, officers and employees may face certain conflicts of interest.</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Subject to the Adviser’s allocation policy, Sixth Street and its affiliates will refer upper middle-market loan origination activities for companies domiciled in the United States to us, though we will not necessarily be entitled to the full amount of any such investment opportunities, and conduct those activities through the Fund. The Adviser will determine whether it would be permissible, advisable or otherwise appropriate for the Fund to pursue a particular investment opportunity allocated to the Fund. However, the Adviser, its officers and employees and members of its Investment Review Committee serve or may serve as investment advisers, officers, directors or principals of entities or investment funds that operate in the same or a related line of business as us or of investment funds managed by our affiliates. Accordingly, these individuals may have obligations to investors in those entities or funds, the fulfillment of which might not be in the Fund’s best interest or the best interests of the Fund’s shareholders.</w:t>
      </w:r>
    </w:p>
    <w:p>
      <w:pPr>
        <w:spacing w:after="0" w:line="189" w:lineRule="exact"/>
        <w:rPr>
          <w:sz w:val="20"/>
          <w:szCs w:val="20"/>
          <w:color w:val="auto"/>
        </w:rPr>
      </w:pPr>
    </w:p>
    <w:p>
      <w:pPr>
        <w:ind w:left="120" w:right="100" w:firstLine="440"/>
        <w:spacing w:after="0" w:line="277" w:lineRule="auto"/>
        <w:rPr>
          <w:sz w:val="20"/>
          <w:szCs w:val="20"/>
          <w:color w:val="auto"/>
        </w:rPr>
      </w:pPr>
      <w:r>
        <w:rPr>
          <w:rFonts w:ascii="Times New Roman" w:cs="Times New Roman" w:eastAsia="Times New Roman" w:hAnsi="Times New Roman"/>
          <w:sz w:val="17"/>
          <w:szCs w:val="17"/>
          <w:color w:val="auto"/>
        </w:rPr>
        <w:t>In addition, any affiliated investment vehicle currently formed or formed in the future and managed by the Adviser or its affiliates, particularly in connection with any future growth of their respective businesses, may have overlapping investment objectives with our own and, accordingly, may invest in asset classes similar to those targeted by us. For example, Sixth Street has organized and may organize other separate investment platforms, such as Sixth Street Specialty Lending Europe, aimed specifically at European middle-market loan originations and may in the future organize vehicles aimed at other loan origination opportunities. Our ability to pursue investment opportunities that may be suitable or desirable for us, either including or</w:t>
      </w:r>
    </w:p>
    <w:p>
      <w:pPr>
        <w:spacing w:after="0" w:line="10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20"/>
          </w:cols>
          <w:pgMar w:left="320" w:top="455"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outside of, upper middle-market loan originations for companies domiciled in the United States is subject to Sixth Street’s allocation policy. As a result, the Adviser and its affiliates may face conflicts in allocating investment opportunities between us and those other entities. It is possible that we may not be given the opportunity to participate in certain investments made by those other entities that would otherwise be suitable for us.</w:t>
      </w:r>
    </w:p>
    <w:p>
      <w:pPr>
        <w:spacing w:after="0" w:line="280" w:lineRule="exact"/>
        <w:rPr>
          <w:sz w:val="20"/>
          <w:szCs w:val="20"/>
          <w:color w:val="auto"/>
        </w:rPr>
      </w:pPr>
    </w:p>
    <w:p>
      <w:pPr>
        <w:ind w:left="120"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Adviser can resign on 60 days’ notice. We may not be able to find a suitable replacement within that time, resulting in a disruption in our operations and a loss of the benefits from our relationship with Sixth Street. Any new investment advisory agreement would require shareholder approval.</w:t>
      </w:r>
    </w:p>
    <w:p>
      <w:pPr>
        <w:spacing w:after="0" w:line="6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Adviser has the right, under the Advisory Agreement and the Administration Agreement, to resign at any time on 60 days’ written notice, regardless of whether we have found a replacement. In addition, our Board has the authority to remove the Adviser for any reason or for no reason, or may choose not to renew the Advisory Agreement and the Administration Agreement. Furthermore, the Advisory Agreement automatically terminates in the event of its assignment, as defined in the 1940 Act, by the Adviser. If the Adviser resigns or is terminated, or if we do not obtain the requisite approvals of shareholders and our Board to approve an agreement with the Adviser after an assignment, we may not be able to find a new investment adviser or hire internal management with similar expertise and ability to provide the same or equivalent services on acceptable terms within 60 days, or at all. If we are unable to do so quickly, our operations are likely to experience a disruption and costs under any new agreements that we enter into could increase. Our financial condition, business and results of operations, as well as our ability to pay dividends, are likely to be adversely affected, and the value of our Common Shares may decline.</w:t>
      </w:r>
    </w:p>
    <w:p>
      <w:pPr>
        <w:spacing w:after="0" w:line="188"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Any new Advisory Agreement would be subject to approval by our shareholders. Even if we are able to enter into comparable management or administrative arrangements, the integration of a new adviser or administrator and their lack of familiarity with our investment objective may result in additional costs and time delays that may adversely affect our business, financial condition and results of operations.</w:t>
      </w:r>
    </w:p>
    <w:p>
      <w:pPr>
        <w:spacing w:after="0" w:line="176"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In addition, if the Adviser resigns or is terminated, we would lose the benefits of our relationship with Sixth Street, including insights into our existing portfolio, market expertise, sector and macroeconomic views and due diligence capabilities, as well as any investment opportunities referred to us.</w:t>
      </w:r>
    </w:p>
    <w:p>
      <w:pPr>
        <w:spacing w:after="0" w:line="280"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Adviser’s liability is limited under the Advisory Agreement, and we are required to indemnify the Adviser against certain liabilities, which may lead the Adviser to act in a riskier manner on our behalf than it would when acting for its own account.</w:t>
      </w:r>
    </w:p>
    <w:p>
      <w:pPr>
        <w:spacing w:after="0" w:line="5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Adviser has not assumed any responsibility to us other than to render the services described in the Advisory Agreement, and it will not be responsible for any action of our Board in declining to follow the Adviser’s advice or recommendations. Pursuant to the Advisory Agreement, the Adviser and its members, managers, officers, employees, agents, controlling persons and any other person or entity affiliated with it will not be liable to us for any action taken or omitted to be taken by the Adviser in connection with the performance of any of its duties or obligations under the Advisory Agreement or otherwise as our investment adviser (except to the extent specified in Section 36(b) of the 1940 Act concerning loss resulting from a breach of fiduciary duty (as the same is finally determined by judicial proceedings) with respect to the receipt of compensation for services).</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have agreed to the fullest extent permitted by law, to provide indemnification and the right to the advancement of expenses, to each person who was or is made a party or is threatened to be made a party to or is involved (including as a witness) in any actual or threatened action, suit or proceeding, whether civil, criminal, administrative or investigative, because he or she is or was a member, manager, officer, employee, agent, controlling person or any other person or entity affiliated with the Adviser with respect to all damages, liabilities, costs and expenses resulting from acts of the Adviser in the performance of the person’s duties under the Advisory Agreement. 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 Despite these limitations, the rights to indemnification and advancement of expenses may lead the Adviser and its members, managers, officers, employees, agents, controlling persons and other persons and entities affiliated with the Adviser to act in a riskier manner than they would when acting for their own account.</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20"/>
          </w:cols>
          <w:pgMar w:left="320" w:top="455"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time and resources that individuals employed by the Adviser devote to us may be diverted and we may face additional competition due to the fact that individuals employed by the Adviser are not prohibited from raising money for or managing other entities that make the same types of investments that we target.</w:t>
      </w:r>
    </w:p>
    <w:p>
      <w:pPr>
        <w:spacing w:after="0" w:line="67"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Adviser and individuals employed by the Adviser are generally not prohibited from raising capital for and managing other investment entities that make the same types of investments as those we target. As a result, the time and resources that these individuals may devote to us may be diverted. In addition, we may compete with any such investment entity for the same investors and investment opportunities.</w:t>
      </w:r>
    </w:p>
    <w:p>
      <w:pPr>
        <w:spacing w:after="0" w:line="280" w:lineRule="exact"/>
        <w:rPr>
          <w:sz w:val="20"/>
          <w:szCs w:val="20"/>
          <w:color w:val="auto"/>
        </w:rPr>
      </w:pPr>
    </w:p>
    <w:p>
      <w:pPr>
        <w:ind w:left="120"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under the JOBS Act, and we cannot be certain if the reduced disclosure requirements applicable to emerging growth companies will make our securities less attractive to investors.</w:t>
      </w:r>
    </w:p>
    <w:p>
      <w:pPr>
        <w:spacing w:after="0" w:line="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We are and we will remain an “emerging growth company” as defined in the JOBS Act until the earlier of (a) the last day of the fiscal year</w:t>
      </w:r>
    </w:p>
    <w:p>
      <w:pPr>
        <w:spacing w:after="0" w:line="27" w:lineRule="exact"/>
        <w:rPr>
          <w:sz w:val="20"/>
          <w:szCs w:val="20"/>
          <w:color w:val="auto"/>
        </w:rPr>
      </w:pPr>
    </w:p>
    <w:p>
      <w:pPr>
        <w:ind w:left="340" w:hanging="224"/>
        <w:spacing w:after="0"/>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fifth anniversary of the completion of the initial offering, (ii) in which we have total annual gross revenue of at least $1 billion, or</w:t>
      </w:r>
    </w:p>
    <w:p>
      <w:pPr>
        <w:spacing w:after="0" w:line="9" w:lineRule="exact"/>
        <w:rPr>
          <w:rFonts w:ascii="Times New Roman" w:cs="Times New Roman" w:eastAsia="Times New Roman" w:hAnsi="Times New Roman"/>
          <w:sz w:val="18"/>
          <w:szCs w:val="18"/>
          <w:color w:val="auto"/>
        </w:rPr>
      </w:pPr>
    </w:p>
    <w:p>
      <w:pPr>
        <w:ind w:left="120" w:right="20" w:hanging="4"/>
        <w:spacing w:after="0" w:line="252" w:lineRule="auto"/>
        <w:tabs>
          <w:tab w:leader="none" w:pos="43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which we are deemed to be a large accelerated filer, which means the market value of our Common Shares that is held by non-affiliates exceeds $700 million as of the prior June 30th, and (b) the date on which we have issued more than $1.07 billion in non-convertible debt during the prior three-year period. For so long as we remain an “emerging growth company”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We cannot predict if investors will find our Common Shares less attractive because we will rely on some or all of these exemptions.</w:t>
      </w:r>
    </w:p>
    <w:p>
      <w:pPr>
        <w:spacing w:after="0" w:line="190"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such extended transition periods.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status as an “emerging growth company” under the JOBS Act may make it more difficult to raise capital as and when we need it.</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Because of the exemptions from various reporting requirements provided to us as an “emerging growth company” and because we will have an extended transition period for complying with new or revised financial accounting standards, we may be less attractive to investors and it may be difficult for us to raise additional capital as and when we need it. Investors may be unable to compare our business with other companies in our industry if they believe that our financial accounting is not as transparent as other companies in our industry. If we are unable to raise additional capital as and when we need it, our financial condition and results of operations may be materially and adversely affected.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expend significant financial and other resources to comply with the requirements of being a public reporting entity.</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will be subject to the reporting requirements of the Exchange Act and requirements of the Sarbanes-Oxley Act. The Exchange Act requires that we file annual, quarterly and current reports with respect to our business and financial condition. The Sarbanes-Oxley Act requires that we maintain effective disclosure controls and procedures and internal controls over financial reporting, which are discussed below. In order to maintain and improve the effectiveness of our disclosure controls and procedures and internal controls, significant resources and management oversight are required. We have implemented procedures, processes, policies and practices for the purpose of addressing the standards and requirements applicable to public companies. These activities may divert management’s attention from other business concerns, which could have a material adverse effect on our business, financial condition, results of operations and cash flows.</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00"/>
          </w:cols>
          <w:pgMar w:left="320" w:top="455" w:right="4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540" w:firstLine="440"/>
        <w:spacing w:after="0" w:line="261" w:lineRule="auto"/>
        <w:rPr>
          <w:sz w:val="20"/>
          <w:szCs w:val="20"/>
          <w:color w:val="auto"/>
        </w:rPr>
      </w:pPr>
      <w:r>
        <w:rPr>
          <w:rFonts w:ascii="Times New Roman" w:cs="Times New Roman" w:eastAsia="Times New Roman" w:hAnsi="Times New Roman"/>
          <w:sz w:val="18"/>
          <w:szCs w:val="18"/>
          <w:color w:val="auto"/>
        </w:rPr>
        <w:t>The systems and resources necessary to comply with public company reporting requirements will increase further once we cease to be an “emerging growth company” under the JOBS Act. As long as we remain an emerging growth company, we intend to take advantage of certain exemptions from various reporting requirements that are applicable to other public companies, including, but not limited to, not being required to comply with the auditor attestation requirements of Section 404 of the Sarbanes-Oxley Act.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Any failure to maintain our status as a BDC would reduce our operating flexibility.</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If we do not remain a BDC, we might be regulated as a closed-end investment company under the 1940 Act, which would subject us to substantially more regulatory restrictions under the 1940 Act and correspondingly decrease our operating flexibility. In addition, failure to comply with the requirements imposed on BDCs by the 1940 Act could cause the SEC to bring an enforcement action against us.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fluctuations in our quarterly results.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may experience fluctuations in our quarterly operating results as a result of a number of factors, including the pace at which investments are made, rates of repayment, interest rates payable on investments, changes in realized and unrealized gains and losses, syndication and other fees, the level of our expenses and default rates on our investments. As a result of these and other possible factors, results for any period should not be relied upon as being indicative of performance in future periods.</w:t>
      </w:r>
    </w:p>
    <w:p>
      <w:pPr>
        <w:spacing w:after="0" w:line="284" w:lineRule="exact"/>
        <w:rPr>
          <w:sz w:val="20"/>
          <w:szCs w:val="20"/>
          <w:color w:val="auto"/>
        </w:rPr>
      </w:pPr>
    </w:p>
    <w:p>
      <w:pPr>
        <w:ind w:left="12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model depends upon the development and maintenance of strong referral relationships with other asset managers and investment banking firms.</w:t>
      </w:r>
    </w:p>
    <w:p>
      <w:pPr>
        <w:spacing w:after="0" w:line="5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are substantially dependent on our informal relationships, which we use to help identify and gain access to investment opportunities. If we fail to maintain our relationships with key firms, or if we fail to establish strong referral relationships with other firms or other sources of investment opportunities, we will not be able to grow our portfolio of investments and achieve our investment objective. In addition, persons with whom we have informal relationships are not obligated to inform us of investment opportunities, and therefore such relationships may not lead to the origination of debt or other investments. Any loss or diminishment of such relationships could effectively reduce our ability to identify attractive portfolio companies that meet our investment criteria, either for direct debt investments or secondary transactions.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Certain investors are limited in their ability to make significant investments in us.</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Investment companies regulated under the 1940 Act are restricted from acquiring directly or through a controlled entity more than 3% of our total outstanding voting shares (measured at the time of the acquisition), unless these funds comply with an exemption under the 1940 Act as well as other limitations under the 1940 Act that would restrict the amount that they are able to invest in our securities. Private funds that are excluded from the definition of “investment company” either pursuant to Section 3(c)(1) or 3(c)(7) of the 1940 Act are also subject to this restriction. As a result, certain investors may be precluded from acquiring additional shares at a time that they might desire to do so.</w:t>
      </w:r>
    </w:p>
    <w:p>
      <w:pPr>
        <w:spacing w:after="0" w:line="287"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non-diversified investment company within the meaning of the 1940 Act, and therefore we are not limited with respect to the proportion of our assets that may be invested in securities of a single issuer.</w:t>
      </w:r>
    </w:p>
    <w:p>
      <w:pPr>
        <w:spacing w:after="0" w:line="5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are classified as a non-diversified investment company within the meaning of the 1940 Act, which means that we are not limited by the 1940 Act with respect to the proportion of our assets that we may invest in securities of a single issuer. Under the 1940 Act, a “diversified” investment company is required to invest at least 75% of the value of its total assets in cash and cash items, government securities, securities of other investment companies and other securities limited in respect of any one issuer to an amount not greater than 5% of the value of the total assets of such company and no more than 10% of the outstanding voting securities of such issuer. As a non-diversified investment company, we are not subject to this requirement. To the extent that we assume large positions in the securities of a small number of issuers, or within a particular industry, our NAV may fluctuate to a greater extent than that of a diversified investment company as a result of changes in the financial condition or the market’s assessment of the issuer. We may also be more susceptible to any single economic or regulatory occurrence than a diversified investment company or to a general downturn in the economy.</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20"/>
          </w:cols>
          <w:pgMar w:left="320" w:top="455"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Adviser will endeavor to build and manage a diversified portfolio of investments with representation in various industries and economic sectors, geographic regions and deal types which may include growth financings and recapitalizations. Despite the foregoing objectives, the Fund may be concentrated in certain industries and/or economic sectors, geographic regions and/or deal types. The Fund also may be more concentrated than other funds with similar diversification objectives.</w:t>
      </w:r>
    </w:p>
    <w:p>
      <w:pPr>
        <w:spacing w:after="0" w:line="180"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However, we will be subject to the diversification requirements applicable to RICs under Subchapter M of the Code, which include single issuer concentration limits. See “</w:t>
      </w:r>
      <w:r>
        <w:rPr>
          <w:rFonts w:ascii="Times New Roman" w:cs="Times New Roman" w:eastAsia="Times New Roman" w:hAnsi="Times New Roman"/>
          <w:sz w:val="18"/>
          <w:szCs w:val="18"/>
          <w:i w:val="1"/>
          <w:iCs w:val="1"/>
          <w:color w:val="auto"/>
        </w:rPr>
        <w:t>Item 1. Business—Material U.S. Federal Income Tax Considerations.</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Fund may be restricted from initiating transactions as a result of the receipt of material non-public information.</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Sixth Street funds and investment platforms regularly obtain non-public information regarding various target companies and other investment opportunities. In general, Sixth Street imputes non-public information received by one investment team within Sixth Street to all other investment professionals. As Sixth Street and affiliated professionals may acquire confidential or material nonpublic information (“MNPI”), the Fund and/or other Affiliated Funds may be restricted from initiating transactions in certain securities, including, as a result of the receipt of MNPI by another investment team or professional within Sixth Street.</w:t>
      </w:r>
    </w:p>
    <w:p>
      <w:pPr>
        <w:spacing w:after="0" w:line="183"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Non-public information received by one investment team within Sixth Street is likely to restrict trading on a firm-wide basis. As a result, the Fund may, in certain circumstances, decline to receive non-public information regarding a company.</w:t>
      </w:r>
    </w:p>
    <w:p>
      <w:pPr>
        <w:spacing w:after="0" w:line="162" w:lineRule="exact"/>
        <w:rPr>
          <w:sz w:val="20"/>
          <w:szCs w:val="20"/>
          <w:color w:val="auto"/>
        </w:rPr>
      </w:pPr>
    </w:p>
    <w:p>
      <w:pPr>
        <w:ind w:left="120" w:right="460" w:firstLine="440"/>
        <w:spacing w:after="0" w:line="261" w:lineRule="auto"/>
        <w:rPr>
          <w:sz w:val="20"/>
          <w:szCs w:val="20"/>
          <w:color w:val="auto"/>
        </w:rPr>
      </w:pPr>
      <w:r>
        <w:rPr>
          <w:rFonts w:ascii="Times New Roman" w:cs="Times New Roman" w:eastAsia="Times New Roman" w:hAnsi="Times New Roman"/>
          <w:sz w:val="18"/>
          <w:szCs w:val="18"/>
          <w:color w:val="auto"/>
        </w:rPr>
        <w:t>Further, non-disclosure agreements associated with transactions (including transactions entered into by other Affiliated Funds) often contain contractual trading restrictions, including standstill and non-circumvent provisions, which could prevent the Fund from acquiring or disposing of investments in an issuer, potentially for extended periods. Such agreements could also restrict the Fund’s ability to share certain information with shareholders relevant to the Fund or its portfolio investments.</w:t>
      </w:r>
    </w:p>
    <w:p>
      <w:pPr>
        <w:spacing w:after="0" w:line="180"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Separately, certain counterparties may disqualify the Fund from transacting with such counterparties or their affiliates as a result of the activities of other businesses of Sixth Street and its affiliates.</w:t>
      </w:r>
    </w:p>
    <w:p>
      <w:pPr>
        <w:spacing w:after="0" w:line="16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addition, during a transitional period, despite taking certain steps designed to facilitate physical and electronic separation, Sixth Street and TPG will continue to occupy certain shared physical premises and Sixth Street or its affiliates will utilize certain limited information technology services provided by TPG. As a result of these arrangements, and despite the implementation of a permanent information barrier between Sixth Street and TPG, there is a heightened risk that Sixth Street or TPG (or certain of their respective affiliates) may be imputed with non-public information received by the other. Although TPG is not affiliated with Sixth Street, many of the considerations described above apply with respect to the information barrier in place between Sixth Street and TPG, in particular that in certain circumstances the Fund may face restrictions on its activities as a result of non-public or otherwise confidential information received from TPG.</w:t>
      </w:r>
    </w:p>
    <w:p>
      <w:pPr>
        <w:spacing w:after="0" w:line="293" w:lineRule="exact"/>
        <w:rPr>
          <w:sz w:val="20"/>
          <w:szCs w:val="20"/>
          <w:color w:val="auto"/>
        </w:rPr>
      </w:pPr>
    </w:p>
    <w:p>
      <w:pPr>
        <w:ind w:left="120"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Cybersecurity risks and cyber incidents may adversely affect our business or those of our portfolio companies by causing a disruption to our operations, a compromise or corruption of confidential information and/or damage to business relationships, or those of our portfolio companies, all of which could negatively impact our business, results of operations or financial condition.</w:t>
      </w:r>
    </w:p>
    <w:p>
      <w:pPr>
        <w:spacing w:after="0" w:line="67"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 cyber incident is considered to be any adverse event that threatens the confidentiality, integrity or availability of our information resources. These incidents may be an intentional attack or an unintentional event and could involve gaining unauthorized access to, use, alteration or destruction of our information systems for purposes of misappropriating assets, obtaining ransom payments, stealing confidential information, corrupting data or causing operational disruption, or may involve phishing. The Fund’s information and technology systems and those of its Adviser, affiliates, and third</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00"/>
          </w:cols>
          <w:pgMar w:left="320" w:top="455" w:right="4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party service providers are, just as with other companies, vulnerable to potential damage or interruption, including but not limited to, from computer viruses, network failures, computer and telecommunication failures, infiltration by unauthorized persons and security breaches, usage errors by their respective professionals, power outages and catastrophic events such as fires, tornadoes, floods, hurricanes and earthquakes. The result of these incidents may include disrupted operations, misstated or unreliable financial data, liability for stolen information, misappropriation of assets, increased cybersecurity protection and insurance costs, litigation and damage to our business relationships. This could result in significant losses, reputational damage, litigation, regulatory fines or penalties, or otherwise adversely affect our business, financial condition or results of operations. Although Sixth Street and the Fund have implemented, and the Fund’s portfolio companies and third-party service providers likely will have implemented, various measures designed to manage risks relating to these types of events, if these systems are compromised, become inoperable for extended periods of time or cease to function properly, it may be necessary for Sixth Street, the Funds and/or a portfolio companies in which the Fund has an investment to make a significant investment to fix or replace them. In addition, we may be required to expend significant additional resources to modify our protective measures and to investigate and remediate vulnerabilities or other exposures arising from operational and security risks. The costs related to cybersecurity incidents may not be fully insured or indemnified. As our and our portfolio companies’ reliance on technology has increased, so have the risks posed to our information systems, both internal and those provided by our Adviser and third-party service providers, and the information systems of our portfolio companies. We, our Adviser and its affiliates have implemented processes, procedures and internal controls to help mitigate cybersecurity risks and cyber intrusions, but these measures, along with our increased awareness of the nature and extent of a risk of a cyber-incident, may be ineffective and do not guarantee that a cyber-incident will not occur or that our financial results, operations or confidential information will not be negatively impacted by such an incident.</w:t>
      </w:r>
    </w:p>
    <w:p>
      <w:pPr>
        <w:spacing w:after="0" w:line="19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Third parties with which we do business (including, but not limited to, service providers, such as accountants, custodians, transfer agents and administrators, and the issuers of securities in which we invest) may also be sources or targets of cybersecurity or other technological risks. We outsource certain functions and these relationships allow for the storage and processing of our information and assets, as well as certain investor, counterparty, employee and borrower information. While we engage in actions to reduce our exposure resulting from outsourcing, we cannot control the cybersecurity plans and systems put in place by these third parties and ongoing threats may result in unauthorized access, loss, exposure or destruction of data, or other cybersecurity incidents, with increased costs and other consequences, including those described above. Privacy and information security laws and regulation changes, and compliance with those changes, may also result in cost increases due to system changes and the development of new administrative processes.</w:t>
      </w:r>
    </w:p>
    <w:p>
      <w:pPr>
        <w:spacing w:after="0" w:line="192"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Additionally, investments of Sixth Street’s funds, including the Fund, and other Sixth Street entities have involved and may in the future involve companies that have experienced cyber-events and that, given the rise of cybersecurity incidents, may become involved in future cyber events. Cybersecurity events also could affect other Sixth Street and/or affiliated entities. Such cyber security attacks are evolving and include, but are not limited to, malicious software, attempts to gain unauthorized access to data, and other electronic security breaches that could lead to disruptions in critical systems, unauthorized release of confidential or otherwise protected information and corruption of data.</w:t>
      </w:r>
    </w:p>
    <w:p>
      <w:pPr>
        <w:spacing w:after="0" w:line="183" w:lineRule="exact"/>
        <w:rPr>
          <w:sz w:val="20"/>
          <w:szCs w:val="20"/>
          <w:color w:val="auto"/>
        </w:rPr>
      </w:pPr>
    </w:p>
    <w:p>
      <w:pPr>
        <w:ind w:left="120" w:right="80" w:firstLine="440"/>
        <w:spacing w:after="0" w:line="269" w:lineRule="auto"/>
        <w:rPr>
          <w:sz w:val="20"/>
          <w:szCs w:val="20"/>
          <w:color w:val="auto"/>
        </w:rPr>
      </w:pPr>
      <w:r>
        <w:rPr>
          <w:rFonts w:ascii="Times New Roman" w:cs="Times New Roman" w:eastAsia="Times New Roman" w:hAnsi="Times New Roman"/>
          <w:sz w:val="17"/>
          <w:szCs w:val="17"/>
          <w:color w:val="auto"/>
        </w:rPr>
        <w:t>A cybersecurity breach may cause the Fund to lose proprietary information, suffer data corruption or expose information to misuse. Sensitive information which may be breached in the event of a cybersecurity threat includes, without limitation, information regarding the Fund’s investment activities and shareholders. Cybersecurity breaches of Sixth Street’s and the Fund’s third-party service providers or portfolio investments may also subject the Fund to many of the same risks associated with direct cybersecurity breaches. If such events were to materialize, they could, among other things, (i) lead to losses of sensitive information or capabilities essential to Sixth Street’s, the Fund’s, and/or the Fund’s portfolio company’s operations,</w:t>
      </w:r>
    </w:p>
    <w:p>
      <w:pPr>
        <w:spacing w:after="0" w:line="3" w:lineRule="exact"/>
        <w:rPr>
          <w:sz w:val="20"/>
          <w:szCs w:val="20"/>
          <w:color w:val="auto"/>
        </w:rPr>
      </w:pPr>
    </w:p>
    <w:p>
      <w:pPr>
        <w:ind w:left="120" w:right="160" w:hanging="4"/>
        <w:spacing w:after="0" w:line="255" w:lineRule="auto"/>
        <w:tabs>
          <w:tab w:leader="none" w:pos="38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 material adverse effect on Sixth Street’s, the Fund’s and/or the portfolio company’s reputations, financial positions, results of operations or cash flows, (iii) lead to financial losses from remedial actions, loss of business or potential liability, or (iv) lead to the disclosure of Fund shareholders’ personal information or other sensitive information.</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20"/>
          </w:cols>
          <w:pgMar w:left="320" w:top="455"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20" w:firstLine="440"/>
        <w:spacing w:after="0" w:line="256" w:lineRule="auto"/>
        <w:rPr>
          <w:sz w:val="20"/>
          <w:szCs w:val="20"/>
          <w:color w:val="auto"/>
        </w:rPr>
      </w:pPr>
      <w:r>
        <w:rPr>
          <w:rFonts w:ascii="Times New Roman" w:cs="Times New Roman" w:eastAsia="Times New Roman" w:hAnsi="Times New Roman"/>
          <w:sz w:val="18"/>
          <w:szCs w:val="18"/>
          <w:color w:val="auto"/>
        </w:rPr>
        <w:t>The failure of these systems and/or of disaster recovery plans for any reason could cause significant interruptions in Sixth Street’s, the Fund’s and/or a portfolio company’s operations and result in a failure to maintain the security, confidentiality or privacy of sensitive data, including personal information of any shareholder (and, if applicable, its underlying investors or beneficial owners and/or control persons) or information relating to any portfolio company. Such a failure could result in reputational harm to Sixth Street, the Fund and/or the affected portfolio investment, subject any such entity and its affiliates to legal claims and otherwise adversely affect its business and financial performance. Cybersecurity risks also require us to undertake ongoing preventative measures and to incur compliance costs.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Board may change our investment objective, operating policies and strategies without prior notice or shareholder approval.</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Our Board has the authority to change our investment objective and modify or waive certain of our operating policies and strategies without prior notice (except as required by the 1940 Act) and without shareholder approval. However, absent shareholder approval, we may not change the nature of our business so as to cease to be a BDC and we may not withdraw our election as a BDC. We cannot predict the effect any changes to our current operating policies or strategies would have on our business, operating results and value of our Common Shares. Nevertheless, the effects may adversely affect our business and impact our ability to pay dividends.</w:t>
      </w:r>
    </w:p>
    <w:p>
      <w:pPr>
        <w:spacing w:after="0" w:line="287"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interest rates of our debt investments to our portfolio companies and any indebtedness that we may incur that extends beyond 2023 might be subject to change based on recent regulatory changes.</w:t>
      </w:r>
    </w:p>
    <w:p>
      <w:pPr>
        <w:spacing w:after="0" w:line="51"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Changes in the method of determining LIBOR, or the replacement of LIBOR with an alternative reference rate, may adversely affect our debt investments.</w:t>
      </w:r>
    </w:p>
    <w:p>
      <w:pPr>
        <w:spacing w:after="0" w:line="16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On December 31, 2021, GBP, CHF, EUR and JPY LIBOR, as well as 1-week and 2-month tenors of USD LIBOR were discontinued. The UK Financial Conduct Authority (“FCA”), which regulates LIBOR, has noted in a March 5, 2021 announcement that June 30, 2023 is the cessation date for the other five tenors (overnight, 1-month, 3-month, 6-month, and 12-month). The FCA also plans to publish “synthetic” 1-month, 3-month and 6-month rates for GBP and JPY LIBOR for a limited time. New York State legislation was signed into law to aid “tough legacy” LIBOR contracts. Other legislative solutions are being pursued at the Federal level in the U.S., however, there continues to be uncertainty regarding the scope and timing of such legislation. To accelerate the transition away from LIBOR, the Federal Reserve Board (the U.S. Federal Reserve System or the “FRS”), Federal Deposit Insurance Corporation and the Office of the Comptroller of the Currency issued joint supervisory guidance to cease entering into new contracts referencing USD LIBOR after December 31, 2021 (note there are limited exceptions related to derivative product use).</w:t>
      </w:r>
    </w:p>
    <w:p>
      <w:pPr>
        <w:spacing w:after="0" w:line="192"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As an alternative to LIBOR, the FRS, in conjunction with the Alternative Reference Rates Committee, a steering committee comprised of large U.S. financial institutions, has recommended replacing U.S.-dollar LIBOR with the Secured Overnight Financing Rate (“SOFR”), a new index calculated by short-term repurchase agreements, backed by Treasury securities. Abandonment of or modifications to LIBOR could have adverse impacts on newly issued financial instruments and our existing financial instruments which reference LIBOR. While some instruments may contemplate a scenario where LIBOR is no longer available by providing for an alternative rate setting methodology, not all instruments may have such provisions and there is significant uncertainty regarding the effectiveness of any such alternative methodologies. Abandonment of or modifications to LIBOR could lead to significant short-term and long-term uncertainty and market instability. We and our portfolio companies may need to amend or restructure our LIBOR-based debt instruments, if any, and any related hedging arrangements that extend beyond June 30, 2023, depending on the existing contractual provisions (i.e., fallback language). Such amendments and restructurings may be difficult, costly and time consuming. In addition, from time to time we invest in floating rate loans and investment securities whose interest rates are indexed to LIBOR. Uncertainty as to the nature of alternative reference rates and as to potential changes or other reforms to LIBOR, or any changes announced with respect to such reforms, may result in a sudden or prolonged increase or decrease in the reported LIBOR rates and the value of LIBOR-based loans and securities, including those of other issuers we may in the future own. It remains uncertain how such changes would be implemented and the effects such changes would have on us, issuers of instruments in which we invest and financial markets generally.</w:t>
      </w:r>
    </w:p>
    <w:p>
      <w:pPr>
        <w:spacing w:after="0" w:line="13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20"/>
          </w:cols>
          <w:pgMar w:left="320" w:top="455" w:right="4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expected discontinuation of LIBOR could have a significant impact on our business. There could be significant operational challenges for the transition away from LIBOR including, but not limited to, amending loan agreements with borrowers on investments that may have not been modified with fallback language and adding effective fallback language to new agreements in the event that LIBOR is discontinued before maturity. Beyond these challenges, we anticipate there may be additional risks to our current processes and information systems that will need to be identified and evaluated by us. Due to the uncertainty of the replacement for LIBOR, the potential effect of any such event on our cost of capital and net investment income cannot yet be determined. In addition, the cessation of LIBOR could:</w:t>
      </w:r>
    </w:p>
    <w:p>
      <w:pPr>
        <w:spacing w:after="0" w:line="93" w:lineRule="exact"/>
        <w:rPr>
          <w:sz w:val="20"/>
          <w:szCs w:val="20"/>
          <w:color w:val="auto"/>
        </w:rPr>
      </w:pPr>
    </w:p>
    <w:p>
      <w:pPr>
        <w:ind w:left="1080" w:right="40" w:hanging="424"/>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impact the pricing, liquidity, value of, return on and trading for a broad array of financial products, including any LIBOR-linked securities, loans and derivatives that may be included in our assets and liabilities;</w:t>
      </w:r>
    </w:p>
    <w:p>
      <w:pPr>
        <w:spacing w:after="0" w:line="67"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extensive changes to documentation that governs or references LIBOR or LIBOR-based products, including, for example, pursuant to time-consuming renegotiations of documentation to modify the terms of investments;</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inquiries or other actions from regulators in respect of our preparation and readiness for the replacement of LIBOR with one or more alternative reference rates;</w:t>
      </w:r>
    </w:p>
    <w:p>
      <w:pPr>
        <w:spacing w:after="0" w:line="67" w:lineRule="exact"/>
        <w:rPr>
          <w:rFonts w:ascii="Times New Roman" w:cs="Times New Roman" w:eastAsia="Times New Roman" w:hAnsi="Times New Roman"/>
          <w:sz w:val="18"/>
          <w:szCs w:val="18"/>
          <w:color w:val="auto"/>
        </w:rPr>
      </w:pPr>
    </w:p>
    <w:p>
      <w:pPr>
        <w:ind w:left="1080" w:right="140" w:hanging="424"/>
        <w:spacing w:after="0" w:line="261"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disputes, litigation or other actions with portfolio companies, or other counterparties, regarding the interpretation and enforceability of provisions in our LIBOR-based investments, such as fallback language or other related provisions, including, in the case of fallbacks to the alternative reference rates, any economic, legal, operational or other impact resulting from the fundamental differences between LIBOR and the various alternative reference rates;</w:t>
      </w:r>
    </w:p>
    <w:p>
      <w:pPr>
        <w:spacing w:after="0" w:line="85" w:lineRule="exact"/>
        <w:rPr>
          <w:rFonts w:ascii="Times New Roman" w:cs="Times New Roman" w:eastAsia="Times New Roman" w:hAnsi="Times New Roman"/>
          <w:sz w:val="18"/>
          <w:szCs w:val="18"/>
          <w:color w:val="auto"/>
        </w:rPr>
      </w:pPr>
    </w:p>
    <w:p>
      <w:pPr>
        <w:jc w:val="both"/>
        <w:ind w:left="1080" w:right="340" w:hanging="424"/>
        <w:spacing w:after="0" w:line="266"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transition and/or development of appropriate systems and analytics to effectively transition our risk management processes from LIBOR-based products to those based on one or more alternative reference rates, which may prove challenging given the limited history of the proposed alternative reference rates;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us to incur additional costs in relation to any of the above factors.</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There is no guarantee that a transition from LIBOR to an alternative will not result in financial market disruptions, significant increases in benchmark rates, or borrowing costs to borrowers, any of which could have a material adverse effect on our business, result of operations, financial condition, and unit price. In addition, the transition to a successor rate could potentially cause (i) increased volatility or illiquidity in markets for instruments that currently rely on LIBOR, (ii) a reduction in the value of certain instruments that will be held by the Fund, or (iii) reduced effectiveness of related Fund transactions, such as hedging. It remains uncertain how such changes would be implemented and the effects such changes would have on the Fund, issuers of instruments in which the Fund invests and financial markets generally.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including the Tax Cuts and Jobs Act may adversely affect our business.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Recent changes to U.S. tax laws, including the Tax Cuts and Jobs Act enacted on December 22, 2017 (“Tax Reform”) and the Coronavirus Aid, Relief, and Economic Security Act enacted on March 27, 2020 (the “CARES Act”) have made significant changes to the U.S. federal income tax system. Among other things, Tax Reform may limit the ability of borrowers to fully deduct interest expense. This could potentially affect the loan market, for example by impacting the demand for loans available from us or the terms of such loans. Further changes could be made under the new Presidential administration in the United States. Such changes to the tax laws, including changes to interest deductibility, utility of net operating losses and other provisions of Tax Reform or of future legislation or regulatory guidance could also in certain circumstances increase the U.S. tax burden on our portfolio assets which, in turn, could negatively impact their ability to service their interest expense obligations to us. Prospective investors are urged to consult with their own advisors about the potential effects of Tax Reform and other changes in tax laws on the loan market and about the tax consequences of an investment in us.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40"/>
          </w:cols>
          <w:pgMar w:left="320" w:top="455" w:right="4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United Kingdom’s exit from the European Union may create significant risks and uncertainty for global markets and the Fund’s investments.</w:t>
      </w:r>
    </w:p>
    <w:p>
      <w:pPr>
        <w:spacing w:after="0" w:line="121"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The U.K. formally left the E.U. on January 31, 2020, followed by an implementation period which expired on December 31, 2020. During the implementation period, on December 30, 2020, the U.K. and the E.U. signed a trade and cooperation agreement (the “TCA”) to govern their on-going relationship. The TCA was officially ratified by the U.K. Parliament on December 30, 2020, and was ratified by the E.U. Parliament and Council on April 27, 2021. The TCA entered into force on May 1, 2021.</w:t>
      </w:r>
    </w:p>
    <w:p>
      <w:pPr>
        <w:spacing w:after="0" w:line="180"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Although it is probable that any adverse effects flowing from the U.K.’s withdrawal from the E.U. will principally affect the U.K. (and those having an economic interest in, or connected to, the U.K.), given the size and global significance of the U.K.’s economy, the impact of the withdrawal is unpredictable and likely to be an ongoing source of instability, produce significant currency fluctuations, and/or have other adverse effects on international markets, international trade agreements and/or other existing cross-border cooperation arrangements (whether economic, tax, fiscal, legal, regulatory or otherwise). The withdrawal of the U.K. from the E.U. could therefore adversely affect us. In addition, although it seems less likely now than at the time of Britain’s referendum, the withdrawal of the U.K. from the E.U. could have a further destabilizing effect if any other member states were to consider withdrawing from the E.U., presenting similar and/or additional potential risks and consequences to our business and financial results.</w:t>
      </w:r>
    </w:p>
    <w:p>
      <w:pPr>
        <w:spacing w:after="0" w:line="293"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Compliance with the SEC’s Regulation Best Interest may negatively impact our ability to raise capital, which would harm our ability to achieve our investment objectives.</w:t>
      </w:r>
    </w:p>
    <w:p>
      <w:pPr>
        <w:spacing w:after="0" w:line="51"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Broker-dealers must comply with Regulation Best Interest, which, among other requirements, enhances the prior standard of conduct for broker-dealers and natural persons who are associated persons of a broker-dealer when recommending to a retail customer any securities transaction or investment strategy involving securities to a retail customer. The impact of Regulation Best Interest on broker-dealers participating in our private offering of Common Shares cannot be determined at this time, but it may negatively impact whether broker-dealers and their associated persons recommend the offering to retail customers. If Regulation Best Interest reduces our ability to raise capital in the offering, it would harm our ability to create a diversified portfolio of investments and achieve our investment objectives and would result in our fixed operating costs representing a larger percentage of our gross income.</w:t>
      </w:r>
    </w:p>
    <w:p>
      <w:pPr>
        <w:spacing w:after="0" w:line="293"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Declaration of Trust includes exclusive forum and jury trial waiver provisions that could limit a shareholder’s ability to bring a claim or, if such provisions are deemed inapplicable or unenforceable by a court, may cause the Fund to incur additional costs associated with such action.</w:t>
      </w:r>
    </w:p>
    <w:p>
      <w:pPr>
        <w:spacing w:after="0" w:line="51" w:lineRule="exact"/>
        <w:rPr>
          <w:sz w:val="20"/>
          <w:szCs w:val="20"/>
          <w:color w:val="auto"/>
        </w:rPr>
      </w:pPr>
    </w:p>
    <w:p>
      <w:pPr>
        <w:ind w:left="120" w:right="60" w:firstLine="440"/>
        <w:spacing w:after="0" w:line="269" w:lineRule="auto"/>
        <w:rPr>
          <w:sz w:val="20"/>
          <w:szCs w:val="20"/>
          <w:color w:val="auto"/>
        </w:rPr>
      </w:pPr>
      <w:r>
        <w:rPr>
          <w:rFonts w:ascii="Times New Roman" w:cs="Times New Roman" w:eastAsia="Times New Roman" w:hAnsi="Times New Roman"/>
          <w:sz w:val="17"/>
          <w:szCs w:val="17"/>
          <w:color w:val="auto"/>
        </w:rPr>
        <w:t>Our Declaration of Trust provides that, to the fullest extent permitted by law, unless we consent in writing to the selection of an alternative forum, the sole and exclusive forum for (i) any derivative action or proceeding brought on behalf of the Fund, (ii) any action asserting a claim of breach of a duty owed by any trustee, officer or other agent of the Fund to the Fund or our shareholders, (iii) any action asserting a claim arising pursuant to any provision of Title 12 of the Delaware Code, Delaware statutory or common law, our Declaration of Trust, or (iv) any action asserting a claim governed by the internal affairs doctrine (for the avoidance of doubt, including any claims brought to interpret, apply or enforce the federal securities laws of the United States, including, without limitation, the 1940 Act or the securities or antifraud laws of any international, national, state, provincial, territorial, local or other governmental or regulatory authority, including, in each case, the applicable rules and regulations promulgated thereunder) shall be the Court of Chancery of the State of Delaware or, if such court does not have subject matter jurisdiction thereof, any other court in the State of Delaware with subject matter jurisdiction. In addition, our Declaration of Trust provides that no shareholder may maintain a derivative action on behalf of the Fund unless holders of a certain percentage of the outstanding shares, as disclosed in our Declaration of Trust, join in the bringing of such action. These provisions of our Declaration of Trust may make it more difficult for shareholders to bring a derivative action than a company without such provisions.</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20"/>
          </w:cols>
          <w:pgMar w:left="320" w:top="455"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Our Declaration of Trust also includes an irrevocable waiver of the right to trial by jury in all such claims, suits, actions and proceedings. Any person purchasing or otherwise acquiring any of our Common Shares shall be deemed to have notice of and to have consented to these provisions of our Declaration of Trust. These provisions may limit a shareholder’s ability to bring a claim in a judicial forum or in a manner that it finds favorable for disputes with the Fund or the Fund’s trustees or officers, which may discourage such lawsuits. Alternatively, if a court were to find the exclusive forum provision or the jury trial waiver provision to be inapplicable or unenforceable in an action, we may incur additional costs associated with resolving such action in other jurisdictions or in other manners, which could have a material adverse effect on our business, financial condition and results of operations.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Notwithstanding any of the foregoing, neither we nor any of our investors are permitted to waive compliance with any provision of the U.S.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federal securities laws and the rules and regulations promulgated thereunder.</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 shareholder approval is required for certain mergers.</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Our Board of Trustees may undertake to approve mergers between us and certain other funds or vehicles. Subject to the requirements of the 1940 Act, such mergers will not require shareholder approval so investors will not be given an opportunity to vote on these matters unless such mergers are reasonably anticipated to result in a material dilution of the NAV per share of the Fund. These mergers may involve funds managed by affiliates of the Adviser. The Board of Trustees may also convert the form and/or jurisdiction of organization, including to take advantage of laws that are more favorable to maintaining board control in the face of dissident shareholders.</w:t>
      </w:r>
    </w:p>
    <w:p>
      <w:pPr>
        <w:spacing w:after="0" w:line="287" w:lineRule="exact"/>
        <w:rPr>
          <w:sz w:val="20"/>
          <w:szCs w:val="20"/>
          <w:color w:val="auto"/>
        </w:rPr>
      </w:pPr>
    </w:p>
    <w:p>
      <w:pPr>
        <w:ind w:left="120"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COVID-19 pandemic is likely to materially and adversely affect our portfolio companies and the results of our operations, including our financial results.</w:t>
      </w:r>
    </w:p>
    <w:p>
      <w:pPr>
        <w:spacing w:after="0" w:line="51"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In late 2019 and early 2020, the novel coronavirus SARS-CoV-2 and related respiratory disease COVID-19 emerged in China and spread rapidly across the world, including to the United States. This outbreak has led to, and for an unknown and potentially significant period of time will continue to lead to, disruptions in local, regional, national and global markets and economies affected thereby. To date, cross border commercial activity and market sentiment have been negatively impacted by the outbreak and government and other measures seeking to contain its spread. With respect to the U.S. credit markets, and upper middle market loans and the businesses of our portfolio companies in particular, this outbreak has resulted in, and is likely to continue to result in, among other things, government imposition of various forms of “stay at home” orders and the closing of “non-essential” businesses, resulting in significant disruption to the businesses of many middle-market loan borrowers including supply chains, demand and practical aspects of their operations, as well as in lay-offs of employees; rapidly evolving proposals and/or actions by state and federal governments to address problems being experienced by the markets and by businesses and the economy in general which will not necessarily adequately address the problems facing the loan market and upper middle market businesses; and liquidity issues. While these effects are hoped to be temporary, some effects could be persistent or even permanent. We cannot predict when, or if, the impacts of the COVID-19 pandemic may lessen, including whether new variants will emerge and how severe they will be. As a result, these conditions could result in (i) increased draws by some eligible borrowers on revolving lines of credit and/or (ii) increased requests by some borrowers for amendments and waivers of their credit agreements to avoid default, increased defaults by such borrowers and/or increased difficulty in obtaining refinancing at the maturity dates of their loans. Further, volatility and disruption of these markets has led to greater volatility in pricing and spreads, and may lead to difficulty in valuing loans during these periods. This outbreak and its effects are having, and the effects of any future outbreaks could have, an adverse impact on our portfolio companies and us and on the markets and the economy in general, and that impact could be material.</w:t>
      </w:r>
    </w:p>
    <w:p>
      <w:pPr>
        <w:spacing w:after="0" w:line="193"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From an operational perspective, the effects of the COVID-19 pandemic could materially and adversely disrupt our business operations and the operations of the Adviser, including the guidelines and restrictions put in place by federal, state and local governments that may cause a potentially significant duration of remote working.</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20"/>
          </w:cols>
          <w:pgMar w:left="320" w:top="455"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Moreover, the effects of the COVID-19 pandemic may heighten the other risk factors described herein. It is currently impossible to determine the scope of this or any future outbreak, how long any such outbreak, market disruption, volatility or uncertainty may last, the effect any governmental actions will have or the full potential impact on us, the Adviser and our portfolio companies.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Inflation and Supply Chain Risk</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Inflation and rapid fluctuations in inflation rates have had in the past, and may in the future have, negative effects on economies and financial markets, particularly in emerging economies. For example, wages and prices of inputs increase during periods of inflation, which can negatively impact returns on investments. In an attempt to stabilize inflation, countries may impose wage and price controls or otherwise intervene in the economy. Governmental efforts to curb inflation often have negative effects on the level of economic activity. There can be no assurance that inflation will not become a serious problem in the future and have an adverse impact on the Fund’s returns.</w:t>
      </w:r>
    </w:p>
    <w:p>
      <w:pPr>
        <w:spacing w:after="0" w:line="183" w:lineRule="exact"/>
        <w:rPr>
          <w:sz w:val="20"/>
          <w:szCs w:val="20"/>
          <w:color w:val="auto"/>
        </w:rPr>
      </w:pPr>
    </w:p>
    <w:p>
      <w:pPr>
        <w:jc w:val="both"/>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Economic activity has continued to accelerate across sectors and regions. Nevertheless, due to global supply chain issues, a rise in energy prices and strong consumer demand as economies continue to reopen, inflation is showing signs of acceleration in the U.S. and globally. Inflation is likely to continue in the near to medium-term, particularly in the U.S., with the possibility that monetary policy may tighten in response. Persistent inflationary pressures could affect our obligors’ profit margins.</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Additionally, the continuing trade dispute between the United States and China, pursuant to which both countries have, among other things, imposed tariffs on one another, has had an adverse economic effect on U.S. markets and international trade more broadly. This adverse economic effect is likely to become more pronounced if the dispute remains unresolved, which could have a material adverse impact on the Fund’s portfolio investments. For example, existing and any additional supply chain and other laws, regulations, or executive orders by either country that restrict or prohibit transactions or impose requirements or limitations on business could impair the ability of U.S.-based companies (in which the Fund is likely to invest) to expand into markets in China and the ability of such companies’ to produce or obtain component parts necessary for production. Also, for the foreseeable future, the trade dispute will likely continue to be an ongoing source of instability, resulting in significant currency fluctuations, increased capital markets volatility, and other adverse effects on international markets, international trade agreements, and other existing cross-border cooperation arrangements (whether economic, tax, fiscal, legal, regulatory or otherwise), which could present similar and additional potential risks and consequences for the Funds and their portfolio investments.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are currently operating in a period of disruption, volatility and uncertainty in the capital markets and in the economy generally.</w:t>
      </w:r>
    </w:p>
    <w:p>
      <w:pPr>
        <w:spacing w:after="0" w:line="12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The U.S. capital markets have experienced extreme volatility and disruption following the spread of COVID-19 in the United States and globally. Disruptions in the capital markets have increased the spread between the yields realized on risk-free and higher risk securities, resulting in illiquidity in parts of the capital markets. The federal government and the Federal Reserve, as well as foreign governments and central banks, have implemented significant fiscal and monetary policies in response to these disruptions, and additional government and regulatory responses may be possible. These actions, future market disruptions and illiquidity could have an adverse effect on our business, financial condition, results of operations and cash flows. Unfavorable economic conditions also could increase our funding costs, limit our access to the capital markets or result in a decision by lenders not to extend credit to us. These events could limit our investment originations and our ability to grow, and could have a material negative impact on our operating results and the fair values of our debt and equity investments.</w:t>
      </w:r>
    </w:p>
    <w:p>
      <w:pPr>
        <w:spacing w:after="0" w:line="192"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We believe that attractive investment opportunities may present themselves during this volatile period as in other periods of market volatility, and we may have opportunities to make investments at compelling values. However, periods of market disruption and instability, like the one we are experiencing currently, may adversely affect our access to sufficient debt and equity capital in order to take advantage of attractive investment opportunities that are created during these periods. In addition, the debt capital that will be available in the future, if any, may be at a higher cost and on less favorable terms and conditions.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20"/>
          </w:cols>
          <w:pgMar w:left="320" w:top="455"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8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current state of the economy and financial markets increases the likelihood of adverse effects on our financial position and results of operations.</w:t>
      </w:r>
    </w:p>
    <w:p>
      <w:pPr>
        <w:spacing w:after="0" w:line="51" w:lineRule="exact"/>
        <w:rPr>
          <w:sz w:val="20"/>
          <w:szCs w:val="20"/>
          <w:color w:val="auto"/>
        </w:rPr>
      </w:pPr>
    </w:p>
    <w:p>
      <w:pPr>
        <w:ind w:left="120" w:right="160" w:firstLine="440"/>
        <w:spacing w:after="0" w:line="253" w:lineRule="auto"/>
        <w:rPr>
          <w:sz w:val="20"/>
          <w:szCs w:val="20"/>
          <w:color w:val="auto"/>
        </w:rPr>
      </w:pPr>
      <w:r>
        <w:rPr>
          <w:rFonts w:ascii="Times New Roman" w:cs="Times New Roman" w:eastAsia="Times New Roman" w:hAnsi="Times New Roman"/>
          <w:sz w:val="18"/>
          <w:szCs w:val="18"/>
          <w:color w:val="auto"/>
        </w:rPr>
        <w:t>The U.S. and global capital markets experienced extreme volatility and disruption in recent years, leading to periods of recessionary conditions and depressed levels of consumer and commercial spending. For instance, political uncertainty resulting from recent events, including changes to U.S. trade policies, the impact of the end of the transition period following United Kingdom’s exit from the European Union in January 2020 (“Brexit”), the provisional application of the EU-UK Trade and Cooperation Agreement and the transition of presidential power in the United States, has led to disruption and instability in the global markets. Disruptions in the capital markets increased the spread between the yields realized on risk-free and higher risk securities, resulting in illiquidity in parts of the capital markets. We cannot assure investors that these conditions will not worsen. If conditions worsen, a prolonged period of market illiquidity could have a material adverse effect on our business, financial condition and results of operations. Unfavorable economic conditions also could increase our funding costs, limit our access to the capital markets or result in a decision by lenders not to extend credit to us. These events could limit our investment originations, limit our ability to grow and negatively impact our operating results.</w:t>
      </w:r>
    </w:p>
    <w:p>
      <w:pPr>
        <w:spacing w:after="0" w:line="194"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In addition, to the extent that recessionary conditions return, the financial results of small to mid-sized companies, like those in which we invest, will likely experience deterioration, which could ultimately lead to difficulty in meeting debt service requirements and an increase in defaults. Additionally, the end markets for certain of our portfolio companies’ products and services have experienced, and continue to experience, negative economic trends. The performances of certain of our portfolio companies have been, and may continue to be, negatively impacted by these economic or other conditions, which may ultimately result in:</w:t>
      </w:r>
    </w:p>
    <w:p>
      <w:pPr>
        <w:spacing w:after="0" w:line="89" w:lineRule="exact"/>
        <w:rPr>
          <w:sz w:val="20"/>
          <w:szCs w:val="20"/>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receipt of a reduced level of interest income from our portfolio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the value of collateral securing some of our loans and the value of our equity investments;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ultimately, losses or charge-offs related to our investments.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Uncertainty about financial stability could have a significant adverse effect on our business, results of operations and financial condition.</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Due to federal budget deficit concerns, S&amp;P downgraded the federal government’s credit rating from AAA to AA+ for the first time in history on August 5, 2011. Further, Moody’s and Fitch warned that they may downgrade the federal government’s credit rating. Further downgrades or warnings by S&amp;P or other rating agencies, and the government’s credit and deficit concerns in general, could cause interest rates and borrowing costs to rise, which may negatively impact both the perception of credit risk associated with our debt portfolio and our ability to access the debt markets on favorable terms. In addition, a decreased credit rating could create broader financial turmoil and uncertainty, which may weigh heavily on our financial performance and the value of our Common Shares. Also, to the extent uncertainty regarding any economic recovery in Europe and Brexit continue to negatively impact consumer confidence and consumer credit factors, our business and results of operations could be significantly and adversely affected.</w:t>
      </w:r>
    </w:p>
    <w:p>
      <w:pPr>
        <w:spacing w:after="0" w:line="189"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In October 2014, the Federal Reserve announced that it was concluding its bond-buying program, or quantitative easing, which was designed to stimulate the economy and expand the Federal Reserve’s holdings of long-term securities, suggesting that key economic indicators, such as the unemployment rate, had showed signs of improvement since the inception of the program. It is unclear what effect, if any, the conclusion of the Federal Reserve’s bond-buying program will have on the value of our investments. However, it is possible that, without quantitative easing by the Federal Reserve, these developments, along with the United States government’s credit and deficit concerns and the European sovereign debt crisis, could cause interest rates and borrowing costs to rise, which may negatively impact our ability to access the debt markets on favorable terms. Additionally, after raising the target range for the federal funds rate in 2017 and 2018, the Federal Reserve lowered the target rate three times in 2019 and two times in 2020. In December 2021, the Federal Reserve indicated that it intends to increase the target range for the federal fund rates in 2022. Further changes in key economic indicators, such as the unemployment rate or inflation, could lead to changes to the target range for the federal funds rate that may cause instability or may negatively impact our ability to access the debt markets on favorable terms.</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40"/>
          </w:cols>
          <w:pgMar w:left="320" w:top="455" w:right="4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As a result of the 2020 U.S. election, the Democratic Party currently controls the executive branch of government, the Senate, and the House of Representatives. The Democratic Party’s consolidation of power, while a bare majority in the Senate, makes it more likely that legislation may be adopted that could significantly affect the regulation of U.S. financial markets. Areas subject to potential change or amendment include the Wall Street Reform and Consumer Protection Act, or the Dodd-Frank Act, and the authority of the Federal Reserve and the Financial Stability Oversight Council. These or other regulatory changes could result in greater regulation of nonbank lenders such as us. The United States may also potentially withdraw from, renegotiate or enter into various trade agreements and take other actions that would change current trade policies of the United States. We cannot predict which, if any, of these actions will be taken or, if taken, their effect on the financial stability of the United States. Such actions could have a significant adverse effect on our business, financial condition and results of operations.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Economic recessions or downturns could impair our portfolio companies and harm our operating results.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Many of the portfolio companies in which we make investments may be susceptible to economic slowdowns or recessions and during these periods may be unable to repay the loans we made to them. Therefore, our non-performing assets may increase and the value of our portfolio may decrease during these periods as we are required to record our investments at their current fair value. Adverse economic conditions also may decrease the value of collateral securing some of our loans and the value of our equity investments. Economic slowdowns or recessions could lead to financial losses in our portfolio and a decrease in revenues, net income and assets. Unfavorable economic conditions also could increase our and our portfolio companies’ funding costs, limit our and our portfolio companies’ access to the capital markets or result in a decision by lenders not to extend credit to us or our portfolio companies. These events could prevent us from increasing investments and harm our operating results.</w:t>
      </w:r>
    </w:p>
    <w:p>
      <w:pPr>
        <w:spacing w:after="0" w:line="189"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A portfolio company’s failure to satisfy financial or operating covenants imposed by us or other lenders could lead to defaults and, potentially, acceleration of the time when the loans are due and foreclosure on its secured assets, which could trigger cross-defaults under other agreements and jeopardize the portfolio company’s ability to meet its obligations under the debt that we hold. We may incur additional expenses to the extent necessary to seek recovery upon default or to negotiate new terms with a defaulting portfolio company. In addition, if one of our portfolio companies were to go bankrupt, depending on the facts and circumstances, including the extent to which we will actually provide significant managerial assistance to that portfolio company, a bankruptcy court might subordinate all or a portion of our claim to that of other creditors.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Portfolio Company Investments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investments are very risky and highly speculative.</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primarily invest in first-lien debt, second-lien debt, mezzanine and unsecured debt or equity or other securities issued by upper middle-market companies. The companies in which we intend to invest are typically highly leveraged, and, in most cases, our investments in these companies are not rated by any rating agency. If these instruments were rated, we believe that they would likely receive a rating of below investment grade (that is, below BBB- or Baa3, which is often referred to as “junk”). Exposure to below investment grade instruments involves certain risks, including speculation with respect to the borrower’s capacity to pay interest and repay principal.</w:t>
      </w:r>
    </w:p>
    <w:p>
      <w:pPr>
        <w:spacing w:after="0" w:line="18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First-Lien Debt</w:t>
      </w:r>
      <w:r>
        <w:rPr>
          <w:rFonts w:ascii="Times New Roman" w:cs="Times New Roman" w:eastAsia="Times New Roman" w:hAnsi="Times New Roman"/>
          <w:sz w:val="18"/>
          <w:szCs w:val="18"/>
          <w:color w:val="auto"/>
        </w:rPr>
        <w:t>. When we make a first-lien loan, we generally take a security interest in the available assets of the portfolio company,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equity interests of its subsidiaries, which we expect to help mitigate the 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In some circumstances, our lien is, or could become, subordinated to claims of other creditors. Consequently, the fact that a loan is secured does not guarantee that we will receive principal and interest payments according to the loan’s terms, or at all, or that we will be able to collect on the loan should we need to enforce our remedies. In addition, in connection with our “last out” first-lien loans, we enter into agreements among lenders. Under these agreements, our interest in the collateral of the first-lien loans may rank junior to those of other lenders in the loan under certain circumstances. This may result in greater risk and loss of principal on these loans.</w:t>
      </w:r>
    </w:p>
    <w:p>
      <w:pPr>
        <w:spacing w:after="0" w:line="1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20"/>
          </w:cols>
          <w:pgMar w:left="320" w:top="455" w:right="4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jc w:val="both"/>
        <w:ind w:left="120" w:right="20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Second-Lien and Mezzanine Debt</w:t>
      </w:r>
      <w:r>
        <w:rPr>
          <w:rFonts w:ascii="Times New Roman" w:cs="Times New Roman" w:eastAsia="Times New Roman" w:hAnsi="Times New Roman"/>
          <w:sz w:val="18"/>
          <w:szCs w:val="18"/>
          <w:color w:val="auto"/>
        </w:rPr>
        <w:t>. Our investments in second-lien and mezzanine debt generally are subordinated to senior loans and will either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junior security interests or be unsecured. As such, other creditors may rank senior to us in the event of insolvency. This may result in greater risk and loss of principal.</w:t>
      </w:r>
    </w:p>
    <w:p>
      <w:pPr>
        <w:spacing w:after="0" w:line="173"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Equity and Other Investments. </w:t>
      </w:r>
      <w:r>
        <w:rPr>
          <w:rFonts w:ascii="Times New Roman" w:cs="Times New Roman" w:eastAsia="Times New Roman" w:hAnsi="Times New Roman"/>
          <w:sz w:val="18"/>
          <w:szCs w:val="18"/>
          <w:color w:val="auto"/>
        </w:rPr>
        <w:t>When we invest in first-lien debt, second-lien debt or mezzanine debt, we may acquire equity securities, such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warrants, options and convertible instruments. In addition, we may invest directly in the equity securities of portfolio companies. We seek to dispose of these equity interests and realize gains upon our disposition of these interests. However, the equity interests we receive may not appreciate in value and, in fact, may decline in value. Accordingly, we may not be able to realize gains from our equity interests, and any gains that we do realize on the disposition of any equity interests may not be sufficient to offset any other losses we experience.</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Preferred Shares. </w:t>
      </w:r>
      <w:r>
        <w:rPr>
          <w:rFonts w:ascii="Times New Roman" w:cs="Times New Roman" w:eastAsia="Times New Roman" w:hAnsi="Times New Roman"/>
          <w:sz w:val="18"/>
          <w:szCs w:val="18"/>
          <w:color w:val="auto"/>
        </w:rPr>
        <w:t>To the extent we invest in preferred securities, we may incur particular risks, including:</w:t>
      </w:r>
    </w:p>
    <w:p>
      <w:pPr>
        <w:spacing w:after="0" w:line="133" w:lineRule="exact"/>
        <w:rPr>
          <w:sz w:val="20"/>
          <w:szCs w:val="20"/>
          <w:color w:val="auto"/>
        </w:rPr>
      </w:pPr>
    </w:p>
    <w:p>
      <w:pPr>
        <w:ind w:left="1080" w:right="180" w:hanging="424"/>
        <w:spacing w:after="0" w:line="266"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securities may include provisions that permit the issuer, at its discretion, to defer distributions for a stated period without any adverse consequences to the issuer. If we own a preferred security that is deferring its distributions, we may be required to report income for U.S. federal income tax purposes before we receive such distributions;</w:t>
      </w:r>
    </w:p>
    <w:p>
      <w:pPr>
        <w:spacing w:after="0" w:line="81"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securities are subordinated to bonds and other debt instruments in a company’s capital structure in terms of priority to corporate income and liquidation payments, and therefore are subject to greater credit risk than more senior debt instruments; and</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preferred security holders have no voting rights with respect to the issuing company unless preferred dividends have been in arrears for a specified number of periods, at which time the preferred security holders may elect a number of directors to the issuer’s board; generally, once all the arrearages have been paid, the preferred security holders no longer have voting rights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addition, our investments generally involve a number of significant risks, including:</w:t>
      </w:r>
    </w:p>
    <w:p>
      <w:pPr>
        <w:spacing w:after="0" w:line="131" w:lineRule="exact"/>
        <w:rPr>
          <w:sz w:val="20"/>
          <w:szCs w:val="20"/>
          <w:color w:val="auto"/>
        </w:rPr>
      </w:pPr>
    </w:p>
    <w:p>
      <w:pPr>
        <w:ind w:left="1080" w:right="140" w:hanging="424"/>
        <w:spacing w:after="0" w:line="266"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companies in which we invest may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81" w:lineRule="exact"/>
        <w:rPr>
          <w:rFonts w:ascii="Times New Roman" w:cs="Times New Roman" w:eastAsia="Times New Roman" w:hAnsi="Times New Roman"/>
          <w:sz w:val="18"/>
          <w:szCs w:val="18"/>
          <w:color w:val="auto"/>
        </w:rPr>
      </w:pPr>
    </w:p>
    <w:p>
      <w:pPr>
        <w:ind w:left="1080" w:right="160" w:hanging="424"/>
        <w:spacing w:after="0" w:line="266"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companies in which we invest typically have shorter operating histories, narrower product lines and smaller market shares than larger businesses, which tend to render them more vulnerable to competitors’ actions and market conditions, as well as general economic downturns;</w:t>
      </w:r>
    </w:p>
    <w:p>
      <w:pPr>
        <w:spacing w:after="0" w:line="81"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companies in which we invest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81" w:lineRule="exact"/>
        <w:rPr>
          <w:rFonts w:ascii="Times New Roman" w:cs="Times New Roman" w:eastAsia="Times New Roman" w:hAnsi="Times New Roman"/>
          <w:sz w:val="18"/>
          <w:szCs w:val="18"/>
          <w:color w:val="auto"/>
        </w:rPr>
      </w:pPr>
    </w:p>
    <w:p>
      <w:pPr>
        <w:ind w:left="1080" w:right="220" w:hanging="424"/>
        <w:spacing w:after="0" w:line="266"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companies in which we invest generally have less predictable operating results, may be engaged in rapidly changing businesses with products subject to a substantial risk of obsolescence, and may require substantial additional capital to support their operations, finance expansion or maintain their competitive position;</w:t>
      </w:r>
    </w:p>
    <w:p>
      <w:pPr>
        <w:spacing w:after="0" w:line="81"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 investments in our portfolio generally have a significant portion of principal due at the maturity of the investment, which would result in a substantial loss to us if such borrowers are unable to refinance or repay their debt at maturity;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20"/>
          </w:cols>
          <w:pgMar w:left="320" w:top="455" w:right="4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80" w:hanging="424"/>
        <w:spacing w:after="0" w:line="282"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executive officers, directors and Adviser may, in the ordinary course of business, be named as defendants in litigation arising from our investments in the portfolio companies;</w:t>
      </w:r>
    </w:p>
    <w:p>
      <w:pPr>
        <w:spacing w:after="0" w:line="67" w:lineRule="exact"/>
        <w:rPr>
          <w:rFonts w:ascii="Times New Roman" w:cs="Times New Roman" w:eastAsia="Times New Roman" w:hAnsi="Times New Roman"/>
          <w:sz w:val="18"/>
          <w:szCs w:val="18"/>
          <w:color w:val="auto"/>
        </w:rPr>
      </w:pPr>
    </w:p>
    <w:p>
      <w:pPr>
        <w:ind w:left="1080" w:right="160" w:hanging="424"/>
        <w:spacing w:after="0" w:line="266"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companies in which we invest generally have less publicly available information about their businesses, operations and financial condition and, if we are unable to uncover all material information about these companies, we may not make a fully informed investment decision; and</w:t>
      </w:r>
    </w:p>
    <w:p>
      <w:pPr>
        <w:spacing w:after="0" w:line="81"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companies in which we invest may have difficulty accessing the capital markets to meet future capital needs, which may limit their ability to grow or to repay their outstanding indebtedness upon maturity.</w:t>
      </w:r>
    </w:p>
    <w:p>
      <w:pPr>
        <w:spacing w:after="0" w:line="158" w:lineRule="exact"/>
        <w:rPr>
          <w:sz w:val="20"/>
          <w:szCs w:val="20"/>
          <w:color w:val="auto"/>
        </w:rPr>
      </w:pPr>
    </w:p>
    <w:p>
      <w:pPr>
        <w:ind w:left="120" w:right="14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Subordinated Debt</w:t>
      </w:r>
      <w:r>
        <w:rPr>
          <w:rFonts w:ascii="Times New Roman" w:cs="Times New Roman" w:eastAsia="Times New Roman" w:hAnsi="Times New Roman"/>
          <w:sz w:val="18"/>
          <w:szCs w:val="18"/>
          <w:color w:val="auto"/>
        </w:rPr>
        <w:t>. Our subordinated debt investments will generally rank junior in priority of payment to senior debt and will generally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unsecured. This may result in a heightened level of risk and volatility or a loss of principal, which could lead to the loss of the entire investment. These investments may involve additional risks that could adversely affect our investment returns. To the extent interest payments associated with such debt are deferred, such debt may be subject to greater fluctuations in valuations, and such debt could subject us and our shareholders to non-cash income. Because we will not receive any principal repayments prior to the maturity of some of our subordinated debt investments, such investments will be of greater risk than amortizing loans.</w:t>
      </w:r>
    </w:p>
    <w:p>
      <w:pPr>
        <w:spacing w:after="0" w:line="18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Non-U.S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Securities</w:t>
      </w:r>
      <w:r>
        <w:rPr>
          <w:rFonts w:ascii="Times New Roman" w:cs="Times New Roman" w:eastAsia="Times New Roman" w:hAnsi="Times New Roman"/>
          <w:sz w:val="18"/>
          <w:szCs w:val="18"/>
          <w:color w:val="auto"/>
        </w:rPr>
        <w:t>. We may invest in non-U.S. securities, which may include securities denominated in U.S. dollars or in non-U.S. currencies,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extent permitted by the 1940 Act. Because evidence of ownership of such securities usually is held outside the United States, we would be subject to additional risks if we invested in non-U.S. securities, which include possible adverse political and economic developments, seizure or nationalization of foreign deposits and adoption of governmental restrictions, which might adversely affect or restrict the payment of principal and interest on the non-U.S. securities to shareholders located outside the country of the issuer, whether from currency blockage or otherwise. Because non-U.S. securities may be purchased with and payable in foreign currencies, the value of these assets as measured in U.S. dollars may be affected unfavorably by changes in currency rates and exchange control regulations.</w:t>
      </w:r>
    </w:p>
    <w:p>
      <w:pPr>
        <w:spacing w:after="0" w:line="183"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Junior, Unsecured Securities. </w:t>
      </w:r>
      <w:r>
        <w:rPr>
          <w:rFonts w:ascii="Times New Roman" w:cs="Times New Roman" w:eastAsia="Times New Roman" w:hAnsi="Times New Roman"/>
          <w:sz w:val="18"/>
          <w:szCs w:val="18"/>
          <w:color w:val="auto"/>
        </w:rPr>
        <w:t>Our strategy may entail acquiring securities that are junior or unsecured instruments. While this approach can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facilitate obtaining control and then adding value through active management, it also means that certain of the Fund’s investments may be unsecured. If a portfolio company becomes financially distressed or insolvent and does not successfully reorganize, we will have no assurance (compared to those distressed securities investors that acquire only fully collateralized positions) that we will recover any of the principal that we have invested. Similarly, investments in “last out” pieces of unitranche loans will be similar to second lien loans in that such investments will be junior in priority to the “first out” piece of the same unitranche loan with respect to payment of principal, interest and other amounts. Consequently, the fact that debt is secured does not guarantee that we will receive principal and interest payments according to the debt’s terms, or at all, or that we will be able to collect on the debt should it be forced to enforce its remedies.</w:t>
      </w:r>
    </w:p>
    <w:p>
      <w:pPr>
        <w:spacing w:after="0" w:line="18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While such junior or unsecured investments may benefit from the same or similar financial and other covenants as those enjoyed by the indebtedness ranking more senior to such investments and may benefit from cross-default provisions and security over the issuer’s assets, some or all of such terms may not be part of particular investments. Moreover, our ability to influence an issuer’s affairs, especially during periods of financial distress or following insolvency, is likely to be substantially less than that of senior creditors. For example, under typical subordination terms, senior creditors are able to block the acceleration of the junior debt or the exercise by junior debt holders of other rights they may have as creditors. Accordingly, we may not be able to take steps to protect investments in a timely manner or at all, and there can be no assurance that our rate of return objectives or any particular investment will be achieved. In addition, the debt securities in which we will invest may not be protected by financial covenants or limitations upon additional indebtedness, may have limited liquidity and are not expected to be rated by a credit rating agency.</w:t>
      </w:r>
    </w:p>
    <w:p>
      <w:pPr>
        <w:spacing w:after="0" w:line="192"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Early repayments of our investments may have a material adverse effect on our investment objectives. In addition, depending on fluctuations of the equity markets and other factors, warrants and other equity investments may become worthless.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20"/>
          </w:cols>
          <w:pgMar w:left="320" w:top="455" w:right="4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There can be no assurance that attempts to provide downside protection through contractual or structural terms with respect to our investments will achieve their desired effect and potential investors should regard an investment in us as being speculative and having a high degree of risk. Furthermore, we have limited flexibility to negotiate terms when purchasing newly issued investments in connection with a syndication of mezzanine or certain other junior or subordinated investments or in the secondary market.</w:t>
      </w:r>
    </w:p>
    <w:p>
      <w:pPr>
        <w:spacing w:after="0" w:line="176" w:lineRule="exact"/>
        <w:rPr>
          <w:sz w:val="20"/>
          <w:szCs w:val="20"/>
          <w:color w:val="auto"/>
        </w:rPr>
      </w:pPr>
    </w:p>
    <w:p>
      <w:pPr>
        <w:ind w:left="120" w:right="10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“Covenant-lite” Obligations</w:t>
      </w:r>
      <w:r>
        <w:rPr>
          <w:rFonts w:ascii="Times New Roman" w:cs="Times New Roman" w:eastAsia="Times New Roman" w:hAnsi="Times New Roman"/>
          <w:sz w:val="18"/>
          <w:szCs w:val="18"/>
          <w:color w:val="auto"/>
        </w:rPr>
        <w:t>. We may invest in, or obtain exposure to, obligations that may be “covenant- lite,” which means such obligations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lack certain financial maintenance covenants. While these loans may still contain other collateral protections, a covenant-lite loan may carry more risk than a covenant-heavy loan made by the same borrower, as it does not require the borrower to provide affirmation that certain specific financial tests have been satisfied on a routine basis as is required under a covenant-heavy loan agreement. Should a loan we hold begin to deteriorate in quality, our ability to negotiate with the borrower may be delayed under a covenant-lite loan compared to a loan with full maintenance covenants. This may in turn delay our ability to seek to recover its investment.</w:t>
      </w:r>
    </w:p>
    <w:p>
      <w:pPr>
        <w:spacing w:after="0" w:line="182" w:lineRule="exact"/>
        <w:rPr>
          <w:sz w:val="20"/>
          <w:szCs w:val="20"/>
          <w:color w:val="auto"/>
        </w:rPr>
      </w:pPr>
    </w:p>
    <w:p>
      <w:pPr>
        <w:ind w:left="120" w:right="34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Restructurings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Investments in companies operating in workout or bankruptcy modes present additional legal risks, including fraudulent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conveyance, voidable preference and equitable subordination risks. The level of analytical sophistication, both financial and legal, necessary for successful investment in companies experiencing significant business and financial difficulties is unusually high. There is no assurance that we will correctly evaluate the value of the assets collateralizing our loans or the prospects for a successful reorganization or similar action.</w:t>
      </w:r>
    </w:p>
    <w:p>
      <w:pPr>
        <w:spacing w:after="0" w:line="284"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Investing in upper middle market companies involves a number of significant risks, any one of which could have a material adverse effect on our operating results.</w:t>
      </w:r>
    </w:p>
    <w:p>
      <w:pPr>
        <w:spacing w:after="0" w:line="5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Investments in upper middle market companies involve the same risks that apply generally to investments in larger, more established companies.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However, such investments have more pronounced risks in that upper middle market companies:</w:t>
      </w:r>
    </w:p>
    <w:p>
      <w:pPr>
        <w:spacing w:after="0" w:line="112" w:lineRule="exact"/>
        <w:rPr>
          <w:sz w:val="20"/>
          <w:szCs w:val="20"/>
          <w:color w:val="auto"/>
        </w:rPr>
      </w:pPr>
    </w:p>
    <w:p>
      <w:pPr>
        <w:jc w:val="both"/>
        <w:ind w:left="1080" w:right="200" w:hanging="424"/>
        <w:spacing w:after="0" w:line="266"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have limited financial resources and may be unable to meet their obligations under their debt securities that we hold, which may be accompanied by a deterioration in the value of any collateral and a reduction in the likelihood of us realizing on any guarantees we may have obtained in connection with our investment;</w:t>
      </w:r>
    </w:p>
    <w:p>
      <w:pPr>
        <w:spacing w:after="0" w:line="81"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shorter operating histories, narrower product lines and smaller market shares than larger businesses, which tends to render them more vulnerable to competitors’ actions and changing market conditions, as well as general economic downturns;</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67" w:lineRule="exact"/>
        <w:rPr>
          <w:rFonts w:ascii="Times New Roman" w:cs="Times New Roman" w:eastAsia="Times New Roman" w:hAnsi="Times New Roman"/>
          <w:sz w:val="18"/>
          <w:szCs w:val="18"/>
          <w:color w:val="auto"/>
        </w:rPr>
      </w:pPr>
    </w:p>
    <w:p>
      <w:pPr>
        <w:ind w:left="1080" w:right="400" w:hanging="424"/>
        <w:spacing w:after="0" w:line="258"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 In addition, our executive officers, Trustees and members of the Adviser may, in the ordinary course of business, be named as defendants in litigation arising from our investments in the portfolio companies; and</w:t>
      </w:r>
    </w:p>
    <w:p>
      <w:pPr>
        <w:spacing w:after="0" w:line="88"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have difficulty accessing the capital markets to meet future capital needs, which may limit their ability to grow or to repay their outstanding indebtedness upon maturity.</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080"/>
          </w:cols>
          <w:pgMar w:left="320" w:top="455" w:right="4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investment strategy focused primarily on privately-held companies presents certain challenges, including, but not limited to, the lack of available information about these companies.</w:t>
      </w:r>
    </w:p>
    <w:p>
      <w:pPr>
        <w:spacing w:after="0" w:line="5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intend to invest primarily in privately-held companies. Investments in private companies may pose greater risks than investments in public companies. First, private companies have reduced access to the capital markets, resulting in diminished capital resources and the ability to withstand financial distress. Second, the depth and breadth of experience of management in private companies tends to be less than that at public companies, which makes such companies more likely to depend on the management talents and efforts of a smaller group of persons and/or persons with less depth and breadth of experience. Therefore, the decisions made by such management teams and/or the death, disability, resignation or termination of one or more of these persons could have a material adverse impact on our investments and, in turn, on us. Third, the investments themselves tend to be less liquid. As such, we may have difficulty exiting an investment promptly or at a desired price prior to maturity or outside of a normal repayment schedule. As a result, the relative lack of liquidity and the potential diminished capital resources of our target portfolio companies may affect our investment returns. Fourth, little public information generally exists about private companies. Further, these companies may not have third-party debt ratings or audited financial statements. We must therefore rely on the ability of the Adviser to obtain adequate information through due diligence to evaluate the creditworthiness and potential returns from investing in these companies. The Adviser would typically assess an investment in a portfolio company based on the Adviser’s estimate of the portfolio company’s earnings and enterprise value, among other factors, and these estimates may be based on limited information and may otherwise be inaccurate, causing the Adviser to make different investment decisions than it may have made with more complete information. These companies and their financial information will generally not be subject to the Sarbanes-Oxley Act and other rules that govern public companies. If we are unable to determine all material information about these companies, we may not make a fully informed investment decision, and we may lose money on our investments.</w:t>
      </w:r>
    </w:p>
    <w:p>
      <w:pPr>
        <w:spacing w:after="0" w:line="299" w:lineRule="exact"/>
        <w:rPr>
          <w:sz w:val="20"/>
          <w:szCs w:val="20"/>
          <w:color w:val="auto"/>
        </w:rPr>
      </w:pPr>
    </w:p>
    <w:p>
      <w:pPr>
        <w:jc w:val="both"/>
        <w:ind w:left="120"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value of most of our portfolio securities will not have a readily available market price and we value these securities at fair value as determined in good faith by our Board, which valuation is inherently subjective, may not reflect what we may actually realize for the sale of the investment and could result in a conflict of interest with the Adviser.</w:t>
      </w:r>
    </w:p>
    <w:p>
      <w:pPr>
        <w:spacing w:after="0" w:line="6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Investments are valued at the end of each fiscal quarter. Substantially all of our investments are expected to be in loans that do not have readily ascertainable market prices. Assets that are not publicly traded or whose market prices are not readily available are valued at fair value as determined in good faith by the Board, which is supported by the valuation committee of our Adviser and by the audit committee of our Board. The Board intends to retain independent providers of financial advisory and investment banking services to assist the Board by performing certain limited third-party valuation services. In connection with that determination, investment professionals from the Adviser will prepare portfolio company valuations using sources and/or proprietary models depending on the availability of information on our assets and the type of asset being valued, all in accordance with our valuation policy. The participation of the Adviser in our valuation process could result in a conflict of interest, since the Management Fee is based in part on our gross assets.</w:t>
      </w:r>
    </w:p>
    <w:p>
      <w:pPr>
        <w:spacing w:after="0" w:line="192"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Factors that we may consider in determining the fair value of our investments include the nature and realizable value of any collateral, the portfolio company’s earnings and its ability to make payments on its indebtedness, the markets in which the portfolio company does business, comparison to similar publicly traded companies, discounted cash flow and other relevant factors. Because fair valuations, and particularly fair valuations of private securities and private companies, are inherently uncertain, may fluctuate over short periods of time and are often based to a large extent on estimates, comparisons and qualitative evaluations of private information, our determinations of fair value may differ materially from the values that would have been determined if a ready market for these securities existed. This could make it more difficult for investors to value accurately our portfolio investments and could lead to undervaluation or overvaluation of our Common Shares. In addition, the valuation of these types of securities may result in substantial write-downs and earnings volatility.</w:t>
      </w:r>
    </w:p>
    <w:p>
      <w:pPr>
        <w:spacing w:after="0" w:line="19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Decreases in the market values or fair values of our investments are recorded as unrealized losses. The effect of all of these factors on our portfolio can reduce our net asset value by increasing net unrealized losses in our portfolio. Depending on market conditions, we could incur substantial realized losses and may suffer unrealized losses, which could have a material adverse impact on our business, financial condition and results of operations.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00"/>
          </w:cols>
          <w:pgMar w:left="320" w:top="455" w:right="47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lack of liquidity in our investments may adversely affect our business.</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We generally make loans to private companies. There may not be a ready market for our loans and certain loans may contain transfer restrictions, which may also limit liquidity. The illiquidity of these investments may make it difficult for us to sell positions if the need arises. In addition, if we are required to liquidate all or a portion of our portfolio quickly, we may realize significantly less than the value at which we had previously recorded these investments. In addition, we may face other restrictions on our ability to liquidate an investment in a portfolio company to the extent that we hold a significant portion of a company’s equity or if we have material nonpublic information regarding that company.</w:t>
      </w:r>
    </w:p>
    <w:p>
      <w:pPr>
        <w:spacing w:after="0" w:line="287" w:lineRule="exact"/>
        <w:rPr>
          <w:sz w:val="20"/>
          <w:szCs w:val="20"/>
          <w:color w:val="auto"/>
        </w:rPr>
      </w:pPr>
    </w:p>
    <w:p>
      <w:pPr>
        <w:ind w:left="12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portfolio may be focused on a limited number of portfolio companies or industries, which will subject us to a risk of significant loss if any of these companies defaults on its obligations under any of its debt instruments or if there is a downturn in a particular industry.</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portfolio is currently invested in a limited number of portfolio companies and industries and may continue to be in the near future. Beyond the asset diversification requirements associated with our qualification as a RIC for U.S. federal income tax purposes, we do not have fixed guidelines for diversification. While we are not targeting any specific industries, our investments may be focused on relatively few industries. For example, although we classify the industries of our portfolio companies by end-market (such as healthcare, and business services) and not by the products or services (such as software) directed to those end-markets, many of our portfolio companies principally provide software products or services, which exposes us to downturns in that sector. As a result, the aggregate returns we realize may be significantly adversely affected if a small number of investments perform poorly or if we need to write down the value of any one investment. Additionally, a downturn in any particular industry in which we are invested could significantly affect our aggregate returns.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securitize certain of our investments, which may subject us to certain structured financing risks.</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We may securitize certain of our investments in the future, including through the formation of one or more collateralized loan obligations, or CLOs, while retaining all or most of the exposure to the performance of these investments. This would involve contributing a pool of assets to a special purpose entity, and selling debt interests in that entity on a non-recourse or limited-recourse basis to purchasers.</w:t>
      </w:r>
    </w:p>
    <w:p>
      <w:pPr>
        <w:spacing w:after="0" w:line="176"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If we were to create a CLO or other securitization vehicle, we would depend on distributions from the vehicle to pay dividends to our shareholders. The ability of a CLO or other securitization vehicle to make distributions will be subject to various limitations, including the terms and covenants of the debt it issues. For example, tests (based on interest coverage or other financial ratios or other criteria) may restrict our ability, as holder of a CLO or other securitization vehicle equity interest, to receive cash flow from these investments. We cannot assure investors that any such performance tests would be satisfied. Also, a CLO or other securitization vehicle may take actions that delay distributions to preserve ratings and to keep the cost of present and future financings lower or the financing vehicle may be obligated to retain cash or other assets to satisfy over-collateralization requirements commonly provided for holders of its debt. As a result, there may be a lag, which could be significant, between the repayment or other realization on a loan or other assets in, and the distribution of cash out of, a CLO or other securitization vehicle, or cash flow may be completely restricted for the life of the CLO or other securitization vehicle.</w:t>
      </w:r>
    </w:p>
    <w:p>
      <w:pPr>
        <w:spacing w:after="0" w:line="188"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 addition, a decline in the credit quality of loans in a CLO or other securitization vehicle due to poor operating results of the relevant borrower, declines in the value of loan collateral or increases in defaults, among other things, may force the sale of certain assets at a loss, reducing their earnings and, in turn, cash potentially available for distribution to us for distribution to our shareholders. If we were to form a CLO or other securitization vehicle, to the extent that any losses were incurred by the financing vehicle in respect of any collateral, these losses would be borne first by us as owners of its equity interests. Any equity interests that we were to retain in a CLO or other securitization vehicle would not be secured by its assets and we would rank behind all of its creditors.</w:t>
      </w:r>
    </w:p>
    <w:p>
      <w:pPr>
        <w:spacing w:after="0" w:line="187" w:lineRule="exact"/>
        <w:rPr>
          <w:sz w:val="20"/>
          <w:szCs w:val="20"/>
          <w:color w:val="auto"/>
        </w:rPr>
      </w:pPr>
    </w:p>
    <w:p>
      <w:pPr>
        <w:ind w:left="120" w:right="140" w:firstLine="440"/>
        <w:spacing w:after="0" w:line="312" w:lineRule="auto"/>
        <w:rPr>
          <w:sz w:val="20"/>
          <w:szCs w:val="20"/>
          <w:color w:val="auto"/>
        </w:rPr>
      </w:pPr>
      <w:r>
        <w:rPr>
          <w:rFonts w:ascii="Times New Roman" w:cs="Times New Roman" w:eastAsia="Times New Roman" w:hAnsi="Times New Roman"/>
          <w:sz w:val="17"/>
          <w:szCs w:val="17"/>
          <w:color w:val="auto"/>
        </w:rPr>
        <w:t>A CLO or other securitization vehicle, if created, also would likely be consolidated in our financial statements and consequently affect our asset coverage ratio, which may limit our ability to incur additional leverage. See “</w:t>
      </w:r>
      <w:r>
        <w:rPr>
          <w:rFonts w:ascii="Times New Roman" w:cs="Times New Roman" w:eastAsia="Times New Roman" w:hAnsi="Times New Roman"/>
          <w:sz w:val="17"/>
          <w:szCs w:val="17"/>
          <w:i w:val="1"/>
          <w:iCs w:val="1"/>
          <w:color w:val="auto"/>
        </w:rPr>
        <w:t>ITEM 1. BUSINESS – Regulation as a Business Development Company.”</w:t>
      </w:r>
    </w:p>
    <w:p>
      <w:pPr>
        <w:spacing w:after="0" w:line="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20"/>
          </w:cols>
          <w:pgMar w:left="320" w:top="455" w:right="4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6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Because we generally do not hold controlling interests in our portfolio companies, we may not be in a position to exercise control over those portfolio companies or prevent decisions by management of those portfolio companies that could decrease the value of our investments.</w:t>
      </w:r>
    </w:p>
    <w:p>
      <w:pPr>
        <w:spacing w:after="0" w:line="28"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We are a lender, and loans (and any equity investments we make) typically will be non-controlling investments, meaning we will not be in a position to control the management, operation and strategic decision-making of the companies we invest in (outside of, potentially, the context of a restructuring, insolvency or similar event). As a result, we will be subject to the risk that a portfolio company we do not control, or in which we do not have a majority ownership position, may make business decisions with which we disagree, and the equity holders and management of such a portfolio company may take risks or otherwise act in ways that are adverse to our interests. We may not be able to dispose of our investments in the event that we disagree with the actions of a portfolio company, and may therefore suffer a decrease in the value of our investments.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risks associated with changes in interest rates.</w:t>
      </w:r>
    </w:p>
    <w:p>
      <w:pPr>
        <w:spacing w:after="0" w:line="121"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The majority of our debt investments are based on floating rates, such as LIBOR, EURIBOR, the Federal Funds Rate, the Prime Rate or the SOFR. General interest rate fluctuations may have a substantial negative impact on our investments, the value of our Common Shares and our rate of return on invested capital. On one hand, a reduction in the interest rates on new investments relative to interest rates on current investments could have an adverse impact on our net interest income, which also could be negatively impacted by our borrowers making prepayments on their loans. On the other hand, an increase in interest rates could increase the interest repayment obligations of our borrowers and result in challenges to their financial performance and ability to repay their obligations.</w:t>
      </w:r>
    </w:p>
    <w:p>
      <w:pPr>
        <w:spacing w:after="0" w:line="187"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An increase in interest rates could also decrease the value of any investments we hold that earn fixed interest rates, including subordinated loans, senior and junior secured and unsecured debt securities and loans and high yield bonds, and also could increase our interest expense, thereby decreasing our net income. Moreover, an increase in interest rates available to investors could make investment in our Common Shares less attractive if we are not able to increase our dividend rate, which could reduce the value of our Common Shares. Federal Reserve policy, including with respect to certain interest rates and the decision to end its quantitative easing policy, may also adversely affect the value, volatility and liquidity of dividend- and interest-paying securities. Market volatility, rising interest rates and/or a return to unfavorable economic conditions could adversely affect our business. See “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Risks Related to Economic Conditions—Uncertainty about financial stability could have a significant adverse effect on our business, results of operations and financial condition.</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A rise in the general level of interest rates typically leads to higher interest rates applicable to our debt investments. Accordingly, an increase in interest rates may result in an increase in the amount of the Incentive Fee payable to the Adviser.</w:t>
      </w:r>
    </w:p>
    <w:p>
      <w:pPr>
        <w:spacing w:after="0" w:line="162"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We may use interest rate risk management techniques in an effort to limit our exposure to interest rate fluctuations. These techniques may include various interest rate hedging activities to the extent permitted by the 1940 Act. See “ </w:t>
      </w:r>
      <w:r>
        <w:rPr>
          <w:rFonts w:ascii="Times New Roman" w:cs="Times New Roman" w:eastAsia="Times New Roman" w:hAnsi="Times New Roman"/>
          <w:sz w:val="18"/>
          <w:szCs w:val="18"/>
          <w:i w:val="1"/>
          <w:iCs w:val="1"/>
          <w:color w:val="auto"/>
        </w:rPr>
        <w:t>—Risks Related to Our Portfolio Company Investments—We expose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ourselves to risks when we engage in hedging transactions.</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realize expected returns on our invested capital.</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may not realize expected returns on our investment in a portfolio company due to changes in the portfolio company’s financial position or due to an acquisition of the portfolio company. If a portfolio company repays our loans prior to their maturity, we may not receive our expected returns on our invested capital. Many of our investments are structured to provide a disincentive for the borrower to pre-pay or call the security, but this call protection may not cover the full expected value of an investment if that investment is repaid prior to maturity.</w:t>
      </w:r>
    </w:p>
    <w:p>
      <w:pPr>
        <w:spacing w:after="0" w:line="180"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Middle-market companies operate in a highly acquisitive market with frequent mergers and buyouts. If a portfolio company is acquired or merged with another company prior to drawing on our commitment, we would not realize our expected return. Similarly, in many cases companies will seek to restructure or repay their debt investments or buy our other equity ownership positions as part of an acquisition or merger transaction, which may result in a repayment of debt or other reduction of our investment.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120"/>
          </w:cols>
          <w:pgMar w:left="320" w:top="455" w:right="4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By originating loans to companies that are experiencing significant financial or business difficulties, we may be exposed to distressed lending risks.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As part of our lending activities, we may originate loans to companies that are experiencing significant financial or business difficulties, including companies involved in bankruptcy or other reorganization and liquidation proceedings. Although the terms of such financing may result in significant financial returns to us, they involve a substantial degree of risk. The level of analytical sophistication, both financial and legal, necessary for successful financing to companies experiencing significant business and financial difficulties is unusually high. We cannot assure investors that we will correctly evaluate the value of the assets collateralizing our loans or the prospects for a successful reorganization or similar action. In any reorganization or liquidation proceeding relating to a company that we fund, we may lose all or part of the amounts advanced to the borrower or may be required to accept collateral with a value less than the amount of the loan advanced by us to the borrower.</w:t>
      </w:r>
    </w:p>
    <w:p>
      <w:pPr>
        <w:spacing w:after="0" w:line="293" w:lineRule="exact"/>
        <w:rPr>
          <w:sz w:val="20"/>
          <w:szCs w:val="20"/>
          <w:color w:val="auto"/>
        </w:rPr>
      </w:pPr>
    </w:p>
    <w:p>
      <w:pPr>
        <w:ind w:left="120"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portfolio companies in some cases may incur debt or issue equity securities that rank equally with, or senior to, our investments in those companies.</w:t>
      </w:r>
    </w:p>
    <w:p>
      <w:pPr>
        <w:spacing w:after="0" w:line="5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Our portfolio companies may have, or may be permitted to incur, other debt, or issue other equity securities that rank equally with, or senior to, our investments. By their terms, those instruments may provide that the holders are entitled to receive payment of dividends, interest or principal on or before the dates on which we are entitled to receive payments in respect of our investments. These debt instruments would usually prohibit the portfolio companies from paying interest on or repaying our investments in the event and during the continuance of a default under the debt. Also, in the event of insolvency, liquidation, dissolution, reorganization or bankruptcy of a portfolio company, holders of securities ranking senior to our investment in that portfolio company typically would be entitled to receive payment in full before we receive any distribution in respect of our investment. After repaying those holders, the portfolio company may not have any remaining assets to use for repaying its obligation to us. In the case of securities ranking equally with our investments, we would have to share on an equal basis any distributions with other security holders in the event of an insolvency, liquidation, dissolution, reorganization or bankruptcy of the relevant portfolio company.</w:t>
      </w:r>
    </w:p>
    <w:p>
      <w:pPr>
        <w:spacing w:after="0" w:line="188"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rights we may have with respect to the collateral securing certain loans we make to our portfolio companies may also be limited pursuant to the terms of one or more intercreditor agreements or agreements among lenders. Under these agreements, we may forfeit certain rights with respect to the collateral to holders with prior claims. These rights may include the right to commence enforcement proceedings against the collateral, the right to control the conduct of those enforcement proceedings, the right to approve amendments to collateral documents, the right to release liens on the collateral and the right to waive past defaults under collateral documents. We may not have the ability to control or direct such actions, even if as a result our rights as lenders are adversely affected.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be exposed to special risks associated with bankruptcy cases.</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One or more of our portfolio companies may be involved in bankruptcy or other reorganization or liquidation proceedings. Many of the events within a bankruptcy case are adversarial and often beyond the control of the creditors. While creditors generally are afforded an opportunity to object to significant actions, we cannot assure investors that a bankruptcy court would not approve actions that may be contrary to our interests. There also are instances where creditors can lose their ranking and priority if they are considered to have taken over management of a borrower. If one of our portfolio companies were to go bankrupt, depending on the facts and circumstances, including the extent to which we will actually provide significant managerial assistance to that portfolio company, a bankruptcy court might subordinate all or a portion of our claim to that of other creditors.</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reorganization of a company can involve substantial legal, professional and administrative costs to a lender and the borrower. It is subject to unpredictable and lengthy delays, and during the process a company’s competitive position may erode, key management may depart and a company may not be able to invest adequately. In some cases, the debtor company may not be able to reorganize and may be required to liquidate assets. The debt of companies in financial reorganization will, in most cases, not pay current interest, may not accrue interest during reorganization and may be adversely affected by an erosion of the issuer’s fundamental value.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20"/>
          </w:cols>
          <w:pgMar w:left="320" w:top="455" w:right="4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In addition, lenders can be subject to lender liability claims for actions taken by them where they become too involved in the borrower’s business or exercise control over the borrower. For example, we could become subject to a lender liability claim (alleging that we misused our influence on the borrower for the benefit of its lenders), if, among other things, the borrower requests significant managerial assistance from us and we provide that assistance.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failure to make follow-on investments in our portfolio companies could impair the value of our investments.</w:t>
      </w:r>
    </w:p>
    <w:p>
      <w:pPr>
        <w:spacing w:after="0" w:line="121" w:lineRule="exact"/>
        <w:rPr>
          <w:sz w:val="20"/>
          <w:szCs w:val="20"/>
          <w:color w:val="auto"/>
        </w:rPr>
      </w:pPr>
    </w:p>
    <w:p>
      <w:pPr>
        <w:ind w:left="120" w:right="840" w:firstLine="440"/>
        <w:spacing w:after="0" w:line="282" w:lineRule="auto"/>
        <w:rPr>
          <w:sz w:val="20"/>
          <w:szCs w:val="20"/>
          <w:color w:val="auto"/>
        </w:rPr>
      </w:pPr>
      <w:r>
        <w:rPr>
          <w:rFonts w:ascii="Times New Roman" w:cs="Times New Roman" w:eastAsia="Times New Roman" w:hAnsi="Times New Roman"/>
          <w:sz w:val="18"/>
          <w:szCs w:val="18"/>
          <w:color w:val="auto"/>
        </w:rPr>
        <w:t>Following an initial investment in a portfolio company, we may make additional investments in that portfolio company as “follow-on” investments to:</w:t>
      </w:r>
    </w:p>
    <w:p>
      <w:pPr>
        <w:spacing w:after="0" w:line="67" w:lineRule="exact"/>
        <w:rPr>
          <w:sz w:val="20"/>
          <w:szCs w:val="20"/>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or maintain in whole or in part our equity ownership percentage;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warrants, options or convertible securities that were acquired in the original or subsequent financing;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attempt to preserve or enhance the value of our investment</w:t>
      </w:r>
    </w:p>
    <w:p>
      <w:pPr>
        <w:spacing w:after="0" w:line="225"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We may elect not to make follow-on investments, may be constrained in our ability to employ available funds, or otherwise may lack sufficient funds to make those investments. We have the discretion to make any follow-on investments, subject to the availability of capital resources. However, doing so could be placing even more capital at risk in existing portfolio companies.</w:t>
      </w:r>
    </w:p>
    <w:p>
      <w:pPr>
        <w:spacing w:after="0" w:line="176"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may not want to increase our concentration of risk, because we prefer other opportunities or because we are inhibited by compliance with BDC requirements or the desire to maintain our tax status.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enter into transactions with our affiliates is restricted.</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Fund is prohibited under the 1940 Act from participating in certain transactions with certain of our affiliates without the prior approval of our Independent Trustees and, in some cases, exemptive relief from the SEC. Any person that owns, directly or indirectly, 5% or more of our outstanding voting securities is our affiliate for purposes of the 1940 Act, and the Fund is generally prohibited from buying or selling any security from or to such affiliate, absent the prior approval of our Independent Trustees. The 1940 Act also prohibits certain “joint” transactions with certain of our affiliates, which could include investments in the same portfolio company (whether at the same or different times), without prior approval of our Independent Trustees and, in some cases, exemptive relief from the SEC. If a person acquires more than 25% of our voting securities, we are prohibited from buying or selling any security from or to such person or certain of that person’s affiliates, or entering into prohibited joint transactions with such persons, absent the prior approval of the SEC. Similar restrictions limit our ability to transact business with our officers or directors or their affiliates.</w:t>
      </w:r>
    </w:p>
    <w:p>
      <w:pPr>
        <w:spacing w:after="0" w:line="19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decision by Sixth Street, our Adviser or their affiliates to allocate an opportunity to another entity could cause us to forgo an investment opportunity that we otherwise would have made. Absent an exemptive order from the SEC, we also generally will be unable to invest in any issuer in which Sixth Street and its other affiliates or a fund managed by Sixth Street or its other affiliates has previously invested or in which they are making an investment. Similar restrictions limit our ability to transact business with our officers or directors or their affiliates. These restrictions may limit the scope of investment opportunities that would otherwise be available to us.</w:t>
      </w:r>
    </w:p>
    <w:p>
      <w:pPr>
        <w:spacing w:after="0" w:line="183" w:lineRule="exact"/>
        <w:rPr>
          <w:sz w:val="20"/>
          <w:szCs w:val="20"/>
          <w:color w:val="auto"/>
        </w:rPr>
      </w:pPr>
    </w:p>
    <w:p>
      <w:pPr>
        <w:ind w:left="120" w:right="680" w:firstLine="440"/>
        <w:spacing w:after="0" w:line="261" w:lineRule="auto"/>
        <w:rPr>
          <w:sz w:val="20"/>
          <w:szCs w:val="20"/>
          <w:color w:val="auto"/>
        </w:rPr>
      </w:pPr>
      <w:r>
        <w:rPr>
          <w:rFonts w:ascii="Times New Roman" w:cs="Times New Roman" w:eastAsia="Times New Roman" w:hAnsi="Times New Roman"/>
          <w:sz w:val="18"/>
          <w:szCs w:val="18"/>
          <w:color w:val="auto"/>
        </w:rPr>
        <w:t>Although, as a general matter, Section 17 of the 1940 Act restricts the ability of registered investment companies and BDCs to engage in transactions with “affiliated persons,” investment companies and BDCs may rely on historical interpretations of the 1940 Act or regulations promulgated under Section 17 to engage in such transactions in certain limited circumstances, or alternatively may apply to the SEC for an individualized</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080"/>
          </w:cols>
          <w:pgMar w:left="320" w:top="455" w:right="4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exemptive order that permits a broader range of affiliated transactions (commonly known as a “co-investment order”), subject to a variety of conditions and requirements to be found in each such co-investment order. The existing BDC managed by Sixth Street, Sixth Street Specialty Lending, Inc. (“SLX”), is currently subject to such an order. In addition, Sixth Street has applied to the SEC to obtain an amended co-investment order (the “Amended Order”) that would replace the existing order and that would also apply to the Fund, as well as SLX and any future BDC or other investment company sponsored by Sixth Street. If such Amended Order is obtained, pursuant to and subject to the requirements of the order, the Fund will be permitted to co-invest alongside Sixth Street Clients in a broader range of affiliated transactions.</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Pursuant to the Amended Order, any potential co-investment transaction that meets the Fund’s investment objectives and strategies, or criteria established by the Board (“Board-Established Criteria”), must be made available to the Fund, though, as discussed below, the Fund will not have priority over other Sixth Street Clients when investing in opportunities made available to it. The Board-Established Criteria are required to be consistent with the Fund’s objectives and strategies. If no Board-Established Criteria are in effect, then the all potential co-investment transactions that fall within the Fund’s then-current investment objectives and strategies will be made so available to the Fund. Any Board-Established Criteria established by the Board will be objective and testable, meaning that they will be based on observable information, such as industry/sector of the issuer, minimum EBITDA of the issuer, or asset class of the investment opportunity or required commitment size – and not on characteristics that involve a discretionary assessment. The Board has yet to approve any Board-Established Criteria. The Adviser may from time to time recommend criteria for the Board’s consideration, but Board-Established Criteria will only become effective if approved by a majority of the Fund’s Independent Trustees. The Independent Trustees may at any time rescind, suspend or qualify its approval of any Board-Established Criteria, though it is anticipated that, under normal circumstances, the Board would not modify these criteria more often than quarterly.</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Any acquisitions or strategic investments that we pursue are subject to risks and uncertainties.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have pursued and may continue to pursue growth through acquisitions or strategic investments in new businesses. Completion and timing of any such acquisitions or strategic investments may be subject to a number of contingencies, including the uncertainty in reaching a commercial agreement with our counterparty, our ability to obtain required board, shareholder and regulatory approvals, as well as any required financing (or the risk that these are obtained subject to terms and conditions that are not anticipated). The announcement or consummation of any transaction also may adversely impact our business relationships or engender competitive responses.</w:t>
      </w:r>
    </w:p>
    <w:p>
      <w:pPr>
        <w:spacing w:after="0" w:line="183"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Acquisitions could involve numerous additional risks, such as unanticipated litigation, unexpected costs, liabilities, charges or expenses resulting from a transaction, the inability to generate sufficient revenue to offset acquisition costs and any changes in general economic or industry specific conditions. There can be no assurance that the integration of an acquired business will be successful or that an acquired business will prove to be profitable or sustainable. The failure to integrate successfully or to manage the challenges presented by an integration process may adversely impact our financial results. In addition, the proposal and negotiation of acquisitions or strategic investments, whether or not completed, as well as the integration of those businesses into our existing portfolio, could result in substantial expenses and the diversion of our Adviser’s time, attention and resources from our day-to-day operations.</w:t>
      </w:r>
    </w:p>
    <w:p>
      <w:pPr>
        <w:spacing w:after="0" w:line="189"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Our ability to manage our growth through acquisitions or strategic investments will depend, in part, on our success in addressing these risks. Any failure to effectively implement our acquisition or strategic investment strategies could have a material adverse effect on our business, financial condition or results of operations.</w:t>
      </w:r>
    </w:p>
    <w:p>
      <w:pPr>
        <w:spacing w:after="0" w:line="280"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guarantee that we will be able to obtain various required licenses in U.S. states or in any other jurisdiction where they may be required in the future.</w:t>
      </w:r>
    </w:p>
    <w:p>
      <w:pPr>
        <w:spacing w:after="0" w:line="51"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We may be required to obtain various state licenses to, among other things, originate commercial loans, and may be required to obtain similar licenses from other authorities, including outside of the United States, in the future in connection with one or more investments. Applying for and obtaining required licenses can be costly and take several months. We cannot assure investors that we will maintain or obtain all of the licenses that we need on a timely basis. We also are and will be subject to various information and other requirements to maintain and obtain these licenses, and we cannot assure investors that we will satisfy those requirements. Our failure to maintain or obtain licenses that we require, now or in the future, might restrict investment options and have other adverse consequences.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140"/>
          </w:cols>
          <w:pgMar w:left="320" w:top="455" w:right="4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investments in foreign companies may involve significant risks in addition to the risks inherent in U.S. investments.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investment strategy may include potential investments in foreign companies. Investing in foreign companies may expose us to additional risks not typically associated with investing in U.S. companies. These risks include changes in exchange control regulations, U.S. trade policy, political and social instability, expropriation, imposition of foreign taxes (potentially at confiscatory levels), less liquid markets,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 Uncertainty in the wake of Brexit could also have negative impacts on both the U.K. economy and the economies of other countries in Europe. In addition, interest income derived from loans to foreign companies is not eligible to be distributed to our non-U.S. shareholders free from withholding taxes.</w:t>
      </w:r>
    </w:p>
    <w:p>
      <w:pPr>
        <w:spacing w:after="0" w:line="19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Although most of our investments will be U.S. dollar-denominated, our investments that are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gains and political developments. We may employ hedging techniques to minimize these risks, but we cannot assure investors that such strategies will be effective or without risk to us.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expose ourselves to risks when we engage in hedging transactions.</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We may enter into hedging transactions, which may expose us to risks associated with such transactions. We may seek to utilize instruments such as forward contracts, currency options and interest rate swaps, caps, collars and floors to seek to hedge against fluctuations in the relative values of our portfolio positions from changes in currency exchange rates and market interest rates and the relative value of certain debt securities from changes in market interest rates. Use of these hedging instruments may include counterparty credit risk. To the extent we have non-U.S. investments, particularly investments denominated in non-U.S. currencies, our hedging costs will increase.</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Hedging against a decline in the values of our portfolio positions would not eliminate the possibility of fluctuations in the values of such positions or prevent losses if the values of such positions were to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were to increase. It also may not be possible to hedge against an exchange rate or interest rate fluctuation that is so generally anticipated that we are not able to enter into a hedging transaction at an acceptable price.</w:t>
      </w:r>
    </w:p>
    <w:p>
      <w:pPr>
        <w:spacing w:after="0" w:line="183"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The success of our hedging strategy will depend on our ability to correctly identify appropriate exposures for hedging, such as currency exchange rate risk and interest rate risk related to specific portfolio companies. We may enter into fixed-to-floating interest rate swaps to continue to align the interest rates of our liabilities with our investment portfolio, which we expect to consist of predominately floating rate loans. However, unanticipated changes in currency exchange rates or other exposures that we might hedge may result in poorer overall investment performance than if we had not engaged in any such hedging transactions. In addition, the degree of correlation between price movements of the instruments used in a hedging strategy and price movements in the portfolio positions being hedged may vary, as may the time period in which the hedge is effective relative to the time period of the related exposure.</w:t>
      </w:r>
    </w:p>
    <w:p>
      <w:pPr>
        <w:spacing w:after="0" w:line="18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For a variety of reasons, we may not seek to (or be able to) establish a perfect correlation between such hedging instruments and the positions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120"/>
          </w:cols>
          <w:pgMar w:left="320" w:top="455" w:right="4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securities is likely to fluctuate as a result of factors not related to currency fluctuations. Income derived from hedging transactions also is not eligible to be distributed to non-U.S. shareholders free from withholding taxes. Changes to the regulations applicable to the financial instruments we use to accomplish our hedging strategy could affect the effectiveness of that strategy.</w:t>
      </w:r>
    </w:p>
    <w:p>
      <w:pPr>
        <w:spacing w:after="0" w:line="176"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Finally, the SEC has recently adopted Rule 18f-4, which constrains our ability to use swaps and other derivatives. Among other requirements, the rule would force us to reduce our use of derivatives, unless we were to qualify as a limited derivatives user under the rule, if the value-at-risk of our investment portfolio including our swap or derivative positions, exceeds 200 percent of a “designated reference portfolio,” which is a designated index that is unleveraged and reflects the market or asset classes in which we invest or our securities portfolio. If we could not identify a suitable reference portfolio, our value-at-risk would not be permitted to exceed 20% of our net assets. In addition, we are required under the final rule to establish a risk management program for our use of swaps or other derivative positions. Based on our anticipated use of derivatives primarily for interest rate hedging purposes, we expect to qualify as a limited derivatives user under the rule. However, we cannot assure investors that we will be treated as a limited derivatives user or that our approach to our use of derivatives will not change.</w:t>
      </w:r>
    </w:p>
    <w:p>
      <w:pPr>
        <w:spacing w:after="0" w:line="296"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structure applicable to derivatives imposed by the Dodd-Frank Act may affect our ability to use over-the-counter (“OTC”) derivatives for hedging purposes.</w:t>
      </w:r>
    </w:p>
    <w:p>
      <w:pPr>
        <w:spacing w:after="0" w:line="51" w:lineRule="exact"/>
        <w:rPr>
          <w:sz w:val="20"/>
          <w:szCs w:val="20"/>
          <w:color w:val="auto"/>
        </w:rPr>
      </w:pPr>
    </w:p>
    <w:p>
      <w:pPr>
        <w:ind w:left="120" w:right="120" w:firstLine="440"/>
        <w:spacing w:after="0" w:line="289" w:lineRule="auto"/>
        <w:rPr>
          <w:sz w:val="20"/>
          <w:szCs w:val="20"/>
          <w:color w:val="auto"/>
        </w:rPr>
      </w:pPr>
      <w:r>
        <w:rPr>
          <w:rFonts w:ascii="Times New Roman" w:cs="Times New Roman" w:eastAsia="Times New Roman" w:hAnsi="Times New Roman"/>
          <w:sz w:val="17"/>
          <w:szCs w:val="17"/>
          <w:color w:val="auto"/>
        </w:rPr>
        <w:t>The Dodd-Frank Act enacted, and the Commodity Futures Trading Commission, or CFTC, and SEC have issued or proposed rules to implement, both broad new regulatory requirements and broad new structural requirements applicable to OTC derivatives markets and, to a lesser extent, listed commodity futures (and futures options) markets. Similar changes are in the process of being implemented in other major financial markets.</w:t>
      </w:r>
    </w:p>
    <w:p>
      <w:pPr>
        <w:spacing w:after="0" w:line="15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Recent and anticipated regulatory changes require that certain types of OTC derivatives, including those that we may use for hedging activities such as interest rate and credit default swaps, be cleared and traded on regulated platforms, and these regulatory changes are expected to apply to foreign exchange transactions in the future. Our cleared OTC derivatives are subject to margin requirements established by regulated clearinghouses, including daily exchanges of cash variation (or mark-to-market) margin and an upfront posting of cash or securities initial margin to cover the clearinghouse’s potential future exposure to the default of a party to a particular OTC derivatives transaction. U.S. regulators have also adopted rules imposing margin requirements for OTC derivatives executed with registered swap dealers or security-based swap dealers that are not cleared. The margin requirements for cleared and uncleared OTC derivatives may require that our Adviser, in order to maintain its exclusion from commodity pool operator (“CPO”) registration under CFTC Rule 4.5, limit our ability to enter into hedging transactions or to obtain synthetic investment exposures, in either case adversely affecting our ability to mitigate risk. Furthermore, any failure by us to fulfill any collateral requirement (e.g., a so-called “margin call”) may result in a default and could have a material adverse impact on our business, financial condition and results of operations.</w:t>
      </w:r>
    </w:p>
    <w:p>
      <w:pPr>
        <w:spacing w:after="0" w:line="194" w:lineRule="exact"/>
        <w:rPr>
          <w:sz w:val="20"/>
          <w:szCs w:val="20"/>
          <w:color w:val="auto"/>
        </w:rPr>
      </w:pPr>
    </w:p>
    <w:p>
      <w:pPr>
        <w:ind w:left="120" w:right="260" w:firstLine="440"/>
        <w:spacing w:after="0" w:line="255" w:lineRule="auto"/>
        <w:rPr>
          <w:sz w:val="20"/>
          <w:szCs w:val="20"/>
          <w:color w:val="auto"/>
        </w:rPr>
      </w:pPr>
      <w:r>
        <w:rPr>
          <w:rFonts w:ascii="Times New Roman" w:cs="Times New Roman" w:eastAsia="Times New Roman" w:hAnsi="Times New Roman"/>
          <w:sz w:val="18"/>
          <w:szCs w:val="18"/>
          <w:color w:val="auto"/>
        </w:rPr>
        <w:t>The Dodd-Frank Act and the rules adopted by the CFTC and SEC thereunder also imposed requirements relating to real-time public and regulatory reporting of OTC derivative transactions, enhanced documentation requirements, position limits on an expanded array of derivatives, and recordkeeping requirements. Taken as a whole, these changes could significantly increase the cost of using uncleared OTC derivatives to hedge risks, including interest rate and foreign exchange risk; reduce the level of exposure we are able to obtain for risk management purposes through OTC derivatives (including as the result of the CFTC imposing position limits on additional products); reduce the amounts available to us to make non-derivatives investments; impair liquidity in certain OTC derivatives; and adversely affect the quality of execution pricing obtained by us, all of which could adversely impact our investment returns.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we cease to be eligible for an exemption from regulation as a commodity pool operator, our compliance expenses could increase substantially.</w:t>
      </w:r>
    </w:p>
    <w:p>
      <w:pPr>
        <w:spacing w:after="0" w:line="121" w:lineRule="exact"/>
        <w:rPr>
          <w:sz w:val="20"/>
          <w:szCs w:val="20"/>
          <w:color w:val="auto"/>
        </w:rPr>
      </w:pPr>
    </w:p>
    <w:p>
      <w:pPr>
        <w:jc w:val="both"/>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Our Adviser intends to file with the National Futures Association a notice of exclusion from registration with the CFTC as a commodity pool operator (“CPO”) pursuant to CFTC Rule 4.5. CFTC Rule 4.5 relieves our Adviser from registering with the CFTC as the CPO of us, so long as we:</w:t>
      </w:r>
    </w:p>
    <w:p>
      <w:pPr>
        <w:spacing w:after="0" w:line="67" w:lineRule="exact"/>
        <w:rPr>
          <w:sz w:val="20"/>
          <w:szCs w:val="20"/>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be regulated by the SEC as a BDC;</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120"/>
          </w:cols>
          <w:pgMar w:left="320" w:top="455" w:right="4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confine our trading in CFTC-regulated derivatives within specified thresholds;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marketed to the public as a commodity pool or as a vehicle for trading in CFTC-regulated derivatives.</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If we were unable to satisfy the conditions of CFTC Rule 4.5 in the future, our Adviser may be subject to registration with the CFTC as a CPO, unless it can rely on a different exclusion, exemption or no-action relief. Registered CPOs must comply with numerous substantive regulations related to disclosure, reporting and recordkeeping, and are required to become members of the NFA, and be subject to the NFA’s rules and bylaws. Compliance with these additional registration and regulatory requirements could increase our expenses and impact performance.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portfolio investments may present special tax issues.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Investments in below-investment grade debt instruments and certain equity securities may present special tax issues for us. U.S. federal income tax rules are not entirely clear about certain issues, including when we may cease to accrue interest, original issue discount or market discount, when and to what extent certain deductions may be taken for bad debts or worthless equity securities, how payments received on obligations in default should be allocated between principal and interest income, as well as whether exchanges of debt instruments in a bankruptcy or workout context are taxable. These matters could cause us to recognize taxable income for U.S. federal income tax purposes, even in the absence of cash or economic gain, and require us to make taxable distributions to our shareholders to maintain our RIC status or preclude the imposition of either U.S. federal corporate income or excise taxation. Additionally, because such taxable income may not be matched by corresponding cash received by us, we may be required to borrow money or dispose of other investments to be able to make distributions to our shareholders. These and other issues will be considered by us, to the extent determined necessary, so that we aim to minimize the level of any U.S. federal income or excise tax that we would otherwise incur.</w:t>
      </w:r>
    </w:p>
    <w:p>
      <w:pPr>
        <w:spacing w:after="0" w:line="292" w:lineRule="exact"/>
        <w:rPr>
          <w:sz w:val="20"/>
          <w:szCs w:val="20"/>
          <w:color w:val="auto"/>
        </w:rPr>
      </w:pPr>
    </w:p>
    <w:p>
      <w:pPr>
        <w:ind w:left="120"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not treated as a publicly offered regulated investment company, certain U.S. shareholders will be treated as having received a dividend from us in the amount of such U.S. shareholders’ allocable share of the Management and Incentive Fees paid to our investment adviser and certain of our other expenses, and these fees and expenses will be treated as miscellaneous itemized deductions of such U.S. shareholders.</w:t>
      </w:r>
    </w:p>
    <w:p>
      <w:pPr>
        <w:spacing w:after="0" w:line="67" w:lineRule="exact"/>
        <w:rPr>
          <w:sz w:val="20"/>
          <w:szCs w:val="20"/>
          <w:color w:val="auto"/>
        </w:rPr>
      </w:pPr>
    </w:p>
    <w:p>
      <w:pPr>
        <w:ind w:left="120" w:right="20" w:firstLine="440"/>
        <w:spacing w:after="0" w:line="272" w:lineRule="auto"/>
        <w:rPr>
          <w:sz w:val="20"/>
          <w:szCs w:val="20"/>
          <w:color w:val="auto"/>
        </w:rPr>
      </w:pPr>
      <w:r>
        <w:rPr>
          <w:rFonts w:ascii="Times New Roman" w:cs="Times New Roman" w:eastAsia="Times New Roman" w:hAnsi="Times New Roman"/>
          <w:sz w:val="17"/>
          <w:szCs w:val="17"/>
          <w:color w:val="auto"/>
        </w:rPr>
        <w:t>We expect to be treated as a “publicly offered regulated investment company” as a result of our Common Shares being treated as regularly traded on an established securities market. However, we cannot assure investors that we will be treated as a publicly offered regulated investment company for all years. For example, if our shares are not treated as regularly traded and we are not held by more than 500 persons at all times during the taxable year, we might not be treated as a publicly offered regulated investment company. If we are not treated as a publicly offered regulated investment company for any calendar year, each U.S. shareholder that is an individual, trust or estate will be treated as having received a dividend from us in the amount of such U.S. shareholder’s allocable share of the Management Fees and Incentive Fees paid to our Adviser and certain of our other expenses for the calendar year, and these fees and expenses will be treated as miscellaneous itemized deductions of such U.S. shareholder. Miscellaneous itemized deductions generally are not deductible by individuals, trusts or estates for taxable years beginning after December 31, 2017 and before January 1, 2026.</w:t>
      </w:r>
    </w:p>
    <w:p>
      <w:pPr>
        <w:spacing w:after="0" w:line="2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There are certain risks associated with holding debt obligations that have original issue discount or payment-in-kind interest.</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Original issue discount, or OID, may arise if we hold securities issued at a discount, receive warrants in connection with the making of a loan, or in certain other circumstances. OID creates the risk that Incentive Fees will be paid to the Adviser based on non-cash accruals that ultimately may not be realized, while the Adviser will be under no obligation to reimburse us for these fees.</w:t>
      </w:r>
    </w:p>
    <w:p>
      <w:pPr>
        <w:spacing w:after="0" w:line="176"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The higher interest rates of OID instruments reflect the payment deferral and increased credit risk associated with these instruments, and OID instruments generally represent a significantly higher credit risk than coupon loans. Even if the accounting conditions for income accrual are met, the borrower could still default when our actual collection is supposed to occur at the maturity of the obligation.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120"/>
          </w:cols>
          <w:pgMar w:left="320" w:top="455" w:right="4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OID instruments may have unreliable valuations because their continuing accruals require continuing judgments about the collectability of the deferred payments and the value of any associated collateral. OID income may also create uncertainty about the source of our cash dividends.</w:t>
      </w:r>
    </w:p>
    <w:p>
      <w:pPr>
        <w:spacing w:after="0" w:line="16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For accounting purposes, any cash dividends to shareholders representing OID income are not treated as coming from paid-in capital, even if the cash to pay them comes from the proceeds of issuances of our Common Shares. As a result, despite the fact that a dividend representing OID income could be paid out of amounts invested by our shareholders, the 1940 Act does not require that shareholders be given notice of this fact by reporting it as a return of capital.</w:t>
      </w:r>
    </w:p>
    <w:p>
      <w:pPr>
        <w:spacing w:after="0" w:line="180"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Payment-in-kind, or PIK, interest has the effect of generating investment income at a compounding rate, thereby further increasing the Incentive Fees payable to the Adviser. Similarly, all things being equal, the deferral associated with PIK interest also increases the loan-to-value ratio at a compounding rate.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Securities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 investment in our Common Shares will have limited liquidity.</w:t>
      </w:r>
    </w:p>
    <w:p>
      <w:pPr>
        <w:spacing w:after="0" w:line="12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Our Common Shares constitute illiquid investments for which there is not a secondary market and, unless we consummate an Exchange Listing, none is expected to develop. Investment in the Fund is suitable only for sophisticated investors and requires the financial ability and willingness to accept the high risks and lack of liquidity inherent in an investment in the Fund. A shareholder generally may not sell, assign or transfer its Common Shares without prior written consent of the Adviser, which the Adviser may grant or withhold in its sole discretion. Except in limited circumstances for legal or regulatory purposes, shareholders are not entitled to redeem their shares. Shareholders must be prepared to bear the economic risk of an investment in our Common Shares for an extended period of time.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There is a risk that investors in our Common Shares may not receive dividends or that our dividends may not grow over time.</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intend pay dividends on a quarterly basis to our shareholders out of assets legally available for distribution. We cannot assure investors that we will achieve investment results or maintain a tax status that will allow or require any specified level of cash dividends or year-to-year increases in cash dividends. Our ability to pay dividends might be adversely affected by the impact of one or more of the risk factors described herein. Due to the asset coverage test applicable to us under the 1940 Act as a BDC or restrictions under our credit facilities, we may be limited in our ability to pay dividends. Although a portion of our expected earnings and dividend distributions will be attributable to net interest income, we do not expect to generate capital gains from the sale of our portfolio investments on a level or uniform basis from quarter to quarter. This may result in substantial fluctuations in our quarterly dividend payments.</w:t>
      </w:r>
    </w:p>
    <w:p>
      <w:pPr>
        <w:spacing w:after="0" w:line="189"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In some cases where we receive certain upfront fees in connection with loans we originate, we treat the loan as having OID under applicable accounting and tax regulations, even though we have received the corresponding cash. In other cases, however, we may recognize income before or without receiving the corresponding cash, including in connection with the accretion of OID. For other risks associated with debt obligations treated as having OID, see “ </w:t>
      </w:r>
      <w:r>
        <w:rPr>
          <w:rFonts w:ascii="Times New Roman" w:cs="Times New Roman" w:eastAsia="Times New Roman" w:hAnsi="Times New Roman"/>
          <w:sz w:val="18"/>
          <w:szCs w:val="18"/>
          <w:i w:val="1"/>
          <w:iCs w:val="1"/>
          <w:color w:val="auto"/>
        </w:rPr>
        <w:t>—Risks Related to Our Portfolio Company Investments—There are certain risks associated with holding debt obligations that have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original issue discount or payment-in-kind interest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Therefore, we may be required to make a distribution to our shareholders in order to satisfy the annual distribution requirement necessary to qualify for and maintain RIC tax treatment under Subchapter M of the Code, even though we may not have received the corresponding cash amount. Accordingly, we may have to sell investments at times we would not otherwise consider advantageous, raise additional debt or equity capital or reduce new investment originations to meet these distribution requirements for this purpose. If we are not able to obtain cash from other sources, we may fail to qualify as a RIC and thereby be subject to corporate-level income tax.</w:t>
      </w:r>
    </w:p>
    <w:p>
      <w:pPr>
        <w:spacing w:after="0" w:line="183"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To the extent that the amounts distributed by us exceed our current and accumulated earnings and profits, these excess distributions will be treated first as a return of capital to the extent of a shareholder’s tax basis in his or her shares and then as capital gain. Reducing a shareholder’s tax basis will have the effect of increasing his or her gain (or reducing loss) on a subsequent sale of shares.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120"/>
          </w:cols>
          <w:pgMar w:left="320" w:top="455" w:right="4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part of the Incentive Fee payable by us that relates to our net investment income is computed and paid on income that may include interest that has been accrued but not yet received in cash. If a portfolio company defaults on a loan, it is possible that accrued interest previously used in the calculation of the Incentive Fee will become uncollectible. Consequently, while we may make Incentive Fee payments on income accruals that we may not collect in the future and with respect to which we do not have a clawback right against our Adviser, the amount of accrued income written off in any period will reduce the income in the period in which the write-off is taken and thereby reduce that period’s Incentive Fee payment, if any.</w:t>
      </w:r>
    </w:p>
    <w:p>
      <w:pPr>
        <w:spacing w:after="0" w:line="183"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In addition, the upper middle-market companies in which we intend to invest may be more susceptible to economic downturns than larger operating companies, and therefore may be more likely to default on their payment obligations to us during recessionary periods. Any such defaults could substantially reduce our net investment income available for distribution in the form of dividends to our shareholders.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Certain investors will be subject to Exchange Act filing requirements.</w:t>
      </w:r>
    </w:p>
    <w:p>
      <w:pPr>
        <w:spacing w:after="0" w:line="121" w:lineRule="exact"/>
        <w:rPr>
          <w:sz w:val="20"/>
          <w:szCs w:val="20"/>
          <w:color w:val="auto"/>
        </w:rPr>
      </w:pPr>
    </w:p>
    <w:p>
      <w:pPr>
        <w:ind w:left="120" w:right="120" w:firstLine="440"/>
        <w:spacing w:after="0" w:line="273" w:lineRule="auto"/>
        <w:rPr>
          <w:sz w:val="20"/>
          <w:szCs w:val="20"/>
          <w:color w:val="auto"/>
        </w:rPr>
      </w:pPr>
      <w:r>
        <w:rPr>
          <w:rFonts w:ascii="Times New Roman" w:cs="Times New Roman" w:eastAsia="Times New Roman" w:hAnsi="Times New Roman"/>
          <w:sz w:val="17"/>
          <w:szCs w:val="17"/>
          <w:color w:val="auto"/>
        </w:rPr>
        <w:t>Because our Common Shares will be registered under the Exchange Act, ownership information for any person who beneficially owns 5% or more of our Common Shares will have to be disclosed in a Schedule 13G or other filings with the SEC. Beneficial ownership for these purposes is determined in accordance with the rules of the SEC, and includes having voting or investment power over the securities. In some circumstances, our shareholders who choose to reinvest their dividends may see their percentage stake in the Fund increased to more than 5%, thus triggering this filing requirement. Each shareholder is responsible for determining their filing obligations and preparing the filings. In addition, our shareholders who hold more than 10% of a class of our Common Shares may be subject to Section 16(b) of the Exchange Act, which recaptures for the benefit of the Fund profits from the purchase and sale of registered stock (and securities convertible or exchangeable into such registered stock) within a six-month period.</w:t>
      </w:r>
    </w:p>
    <w:p>
      <w:pPr>
        <w:spacing w:after="0" w:line="171" w:lineRule="exact"/>
        <w:rPr>
          <w:sz w:val="20"/>
          <w:szCs w:val="20"/>
          <w:color w:val="auto"/>
        </w:rPr>
      </w:pPr>
    </w:p>
    <w:p>
      <w:pPr>
        <w:ind w:left="120" w:right="280" w:firstLine="440"/>
        <w:spacing w:after="0" w:line="312" w:lineRule="auto"/>
        <w:rPr>
          <w:sz w:val="20"/>
          <w:szCs w:val="20"/>
          <w:color w:val="auto"/>
        </w:rPr>
      </w:pPr>
      <w:r>
        <w:rPr>
          <w:rFonts w:ascii="Times New Roman" w:cs="Times New Roman" w:eastAsia="Times New Roman" w:hAnsi="Times New Roman"/>
          <w:sz w:val="17"/>
          <w:szCs w:val="17"/>
          <w:color w:val="auto"/>
        </w:rPr>
        <w:t>Shareholders will bear the responsibility for making all Exchange Act filings to which they may be subject, and are responsible for monitoring their ownership in the Fund. Shareholders who fail to make required Exchange Act filings may face enforcement actions and fines from the SEC.</w:t>
      </w:r>
    </w:p>
    <w:p>
      <w:pPr>
        <w:spacing w:after="0" w:line="244"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distributions to shareholders may be funded from expense reimbursements or waivers of investment advisory fees, some of which are subject to repayment pursuant to our Expense Support and Conditional Reimbursement Agreement.</w:t>
      </w:r>
    </w:p>
    <w:p>
      <w:pPr>
        <w:spacing w:after="0" w:line="51" w:lineRule="exact"/>
        <w:rPr>
          <w:sz w:val="20"/>
          <w:szCs w:val="20"/>
          <w:color w:val="auto"/>
        </w:rPr>
      </w:pPr>
    </w:p>
    <w:p>
      <w:pPr>
        <w:ind w:left="120" w:right="60" w:firstLine="440"/>
        <w:spacing w:after="0" w:line="273" w:lineRule="auto"/>
        <w:rPr>
          <w:sz w:val="20"/>
          <w:szCs w:val="20"/>
          <w:color w:val="auto"/>
        </w:rPr>
      </w:pPr>
      <w:r>
        <w:rPr>
          <w:rFonts w:ascii="Times New Roman" w:cs="Times New Roman" w:eastAsia="Times New Roman" w:hAnsi="Times New Roman"/>
          <w:sz w:val="17"/>
          <w:szCs w:val="17"/>
          <w:color w:val="auto"/>
        </w:rPr>
        <w:t>Substantial portions of our distributions may be funded through the reimbursement of certain expenses by our Adviser and its affiliates, including through the waiver of certain investment advisory fees by our Adviser. Any such distributions funded through expense reimbursements or waivers of advisory fees will not be based on our investment performance, and can only be sustained if we achieve positive investment performance in future periods and/or our Adviser and its affiliates continue to make such reimbursements or waivers of such fees. Our future repayments of amounts reimbursed or waived by our Adviser or its affiliates will reduce the distributions that shareholders would otherwise receive in the future. There can be no assurance that we will achieve the performance necessary to be able to pay distributions at a specific rate or at all. Our Adviser and its affiliates have no obligation to waive advisory fees or otherwise reimburse expenses in future periods, except as otherwise disclosed under the terms of this offering.</w:t>
      </w:r>
    </w:p>
    <w:p>
      <w:pPr>
        <w:spacing w:after="0" w:line="275" w:lineRule="exact"/>
        <w:rPr>
          <w:sz w:val="20"/>
          <w:szCs w:val="20"/>
          <w:color w:val="auto"/>
        </w:rPr>
      </w:pPr>
    </w:p>
    <w:p>
      <w:pPr>
        <w:ind w:left="12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unrealized losses we experience on our portfolio may be an indication of future realized losses, which could reduce our income available for distribution.</w:t>
      </w:r>
    </w:p>
    <w:p>
      <w:pPr>
        <w:spacing w:after="0" w:line="5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As a BDC, we are required to carry our investments at the fair value as determined in good faith pursuant to procedures adopted by, and under the oversight of, our Board of Trustees. Decreases in the fair value of our investments relative to amortized cost will be recorded as unrealized depreciation. Any unrealized losses in our portfolio could be an indication of a portfolio company’s inability to meet its repayment obligations to us with respect to the affected loans. This could result in realized losses in the future and ultimately in reductions of our income available for distribution in future periods. In addition, decreases in the fair value of our investments will reduce our NAV.</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100"/>
          </w:cols>
          <w:pgMar w:left="320" w:top="455" w:right="47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Investing in our securities may involve a high degree of risk.</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investments we make in accordance with our investment objective may result in a higher amount of risk than alternative investment options and volatility or loss of principal. Our investments in portfolio companies may be highly speculative and aggressive and, therefore, an investment in our securities may not be suitable for someone with lower risk tolerance.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There are severe economic consequences for defaulting shareholders.</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If shareholders fail to fund their commitment obligations or to make required capital contributions when due, the Fund’s ability to complete its investment program or otherwise continue operations may be substantially impaired. A shareholder’s failure to fund such amounts when due causes that shareholder to become a defaulting shareholder. A defaulting shareholder will have ten business days to cure its deficiency following the required funding date, after which the defaulting shareholder will forfeit its right to participate in future investments and 50% of its Common Shares will be transferred to the non-defaulting shareholders on a pro rata basis. If a substantial number of shareholders become defaulting shareholders, this may severely limit opportunities for investment diversification and would likely reduce returns to the Fund and restrict the Fund’s ability to meet loan obligations. Any single defaulting shareholder could cause substantial costs to be incurred by the Fund if such default causes the Fund to fail to meet its contractual obligations or if the Fund must pursue remedial action against such shareholder.</w:t>
      </w:r>
    </w:p>
    <w:p>
      <w:pPr>
        <w:spacing w:after="0" w:line="19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the Fund fails to meet its contractual obligations related to a portfolio investment due to a defaulting shareholder, the relevant portfolio company may have a cause of action against the Fund, which may include a claim against assets of the Fund other than the Fund’s interest in such portfolio company. A creditor of the Fund (including a portfolio company with respect to which the Fund has failed to meet its contractual obligations) will not be bound to satisfy its claims from the assets attributable to a particular portfolio investment and such creditor generally may seek to satisfy its claims from the assets of the Fund as a whole. As a result, if a creditor’s claims relating to a particular portfolio investment exceed the net assets attributable to that portfolio investment, the remaining assets of the Fund will likely be subject to such claim.</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shareholders will experience dilution in their ownership percentage if they opt out of our dividend reinvestment plan.</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We have adopted a dividend reinvestment plan, pursuant to which we will reinvest all cash dividends and distributions declared by the Board on behalf of investors who do not elect to receive their dividends in cash. As a result, if the Board authorizes, and we declare, a cash dividend or other distribution, then our shareholders who have not opted out of our dividend reinvestment plan will have their cash distributions automatically reinvested in additional Common Shares, rather than receiving the cash dividend or other distribution. See </w:t>
      </w:r>
      <w:r>
        <w:rPr>
          <w:rFonts w:ascii="Times New Roman" w:cs="Times New Roman" w:eastAsia="Times New Roman" w:hAnsi="Times New Roman"/>
          <w:sz w:val="18"/>
          <w:szCs w:val="18"/>
          <w:i w:val="1"/>
          <w:iCs w:val="1"/>
          <w:color w:val="auto"/>
        </w:rPr>
        <w:t>“ITEM 1. BUSINESS—Dividend Policy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ITEM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BUSINESS—Dividend Reinvestment Plan” for a description of our dividend policy and obligations.</w:t>
      </w:r>
    </w:p>
    <w:p>
      <w:pPr>
        <w:spacing w:after="0" w:line="183" w:lineRule="exact"/>
        <w:rPr>
          <w:sz w:val="20"/>
          <w:szCs w:val="20"/>
          <w:color w:val="auto"/>
        </w:rPr>
      </w:pPr>
    </w:p>
    <w:p>
      <w:pPr>
        <w:ind w:left="120" w:right="180" w:firstLine="440"/>
        <w:spacing w:after="0" w:line="255" w:lineRule="auto"/>
        <w:rPr>
          <w:sz w:val="20"/>
          <w:szCs w:val="20"/>
          <w:color w:val="auto"/>
        </w:rPr>
      </w:pPr>
      <w:r>
        <w:rPr>
          <w:rFonts w:ascii="Times New Roman" w:cs="Times New Roman" w:eastAsia="Times New Roman" w:hAnsi="Times New Roman"/>
          <w:sz w:val="18"/>
          <w:szCs w:val="18"/>
          <w:color w:val="auto"/>
        </w:rPr>
        <w:t>In addition, the number of shares issued pursuant to the dividend reinvestment plan after an Exchange Listing will be determined based on the market price of our Common Shares, except in circumstances where the market price exceeds our most recently computed net asset value per share, in which case we will issue shares at the greater of (i) the most recently computed net asset value per share and (ii) 95% of the current market price per share or such lesser discount to the current market price per share that still exceeds the most recently computed net asset value per share. Accordingly, participants in the dividend reinvestment plan may receive a greater number of our Common Shares than the number of shares associated with the market price of our Common Shares, resulting in dilution for other shareholders. Shareholders that opt out of our dividend reinvestment plan will experience dilution in their ownership percentage of our Common Shares over time.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120"/>
          </w:cols>
          <w:pgMar w:left="320" w:top="455" w:right="4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Special considerations for certain benefit plan investors.</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We intend to conduct our affairs so that our assets should not be deemed to constitute “plan assets” under ERISA and the Plan Asset Regulations. In this regard, until such time, if any, as our Common Shares are considered “publicly-offered securities” within the meaning of the Plan Asset Regulations, we intend to limit investment in our Common Shares by “benefit plan investors” (“Benefit Plan Investors”) to less than 25% of the total value of our Common Shares (within the meaning of the Plan Asset Regulations).</w:t>
      </w:r>
    </w:p>
    <w:p>
      <w:pPr>
        <w:spacing w:after="0" w:line="180"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If, notwithstanding our intent, the assets of the Fund were deemed to constitute “plan assets” of any shareholder that is a Benefit Plan Investor under ERISA or the Plan Asset Regulations, this would result, among other things, in (i) the application of the prudence and other fiduciary responsibility standards of ERISA to investments made by the Fund, and (ii) the possibility that certain transactions in which the Fund might seek to engage could constitute “prohibited transactions” under ERISA and the Code. If a prohibited transaction occurs for which no exemption is available, the Adviser and/or any other fiduciary that has engaged in the prohibited transaction could be required to (i) restore to the Benefit Plan Investor any profit realized on the transaction and (ii) reimburse the Benefit Plan Investor for any losses suffered by the Benefit Plan Investor as a result of the investment. In addition, each disqualified person (within the meaning of Section 4975 of the Code) involved could be subject to an excise tax equal to 15% of the amount involved in the prohibited transaction for each year the transaction continues and, unless the transaction is corrected within statutorily required periods, to an additional tax of 100%. The fiduciary of a benefit plan investor who decides to invest in the Fund could, under certain circumstances, be liable for prohibited transactions or other violations as a result of their investment in the Fund or as co-fiduciaries for actions taken by or on behalf of the Fund or the Adviser. With respect to a benefit plan investor that is an individual retirement account (an “IRA”) that invests in the Fund, the occurrence of a prohibited transaction involving the individual who established the IRA, or his or her beneficiaries, would cause the IRA to lose its tax-exempt status. In addition, to the extent that the Fund represents and/or covenants to any contractual counterparty that (1) the assets of the Fund are not assets of the Benefit Plan Investors that invest in the Fund and/or (2) the transactions entered into between the Fund and the Benefit Plan Investor that invest in the Fund do not constitute “prohibited transactions” under ERISA and the Code, and the applicable representation is untrue and/or the applicable covenant is not met, additional liabilities may be incurred, including as a result of the unwinding of the applicable contract.</w:t>
      </w:r>
    </w:p>
    <w:p>
      <w:pPr>
        <w:spacing w:after="0" w:line="195" w:lineRule="exact"/>
        <w:rPr>
          <w:sz w:val="20"/>
          <w:szCs w:val="20"/>
          <w:color w:val="auto"/>
        </w:rPr>
      </w:pPr>
    </w:p>
    <w:p>
      <w:pPr>
        <w:ind w:left="120" w:right="740" w:firstLine="440"/>
        <w:spacing w:after="0" w:line="276" w:lineRule="auto"/>
        <w:rPr>
          <w:sz w:val="20"/>
          <w:szCs w:val="20"/>
          <w:color w:val="auto"/>
        </w:rPr>
      </w:pPr>
      <w:r>
        <w:rPr>
          <w:rFonts w:ascii="Times New Roman" w:cs="Times New Roman" w:eastAsia="Times New Roman" w:hAnsi="Times New Roman"/>
          <w:sz w:val="17"/>
          <w:szCs w:val="17"/>
          <w:color w:val="auto"/>
        </w:rPr>
        <w:t>Accordingly, until such time, if any, as our Common Shares constitute “publicly traded securities” within the meaning of the Plan Asset Regulations, we have the power, among other things, to (a) reject, in whole or in part, the subscription of any prospective investor to the Fund;</w:t>
      </w:r>
    </w:p>
    <w:p>
      <w:pPr>
        <w:spacing w:after="0" w:line="1" w:lineRule="exact"/>
        <w:rPr>
          <w:sz w:val="20"/>
          <w:szCs w:val="20"/>
          <w:color w:val="auto"/>
        </w:rPr>
      </w:pPr>
    </w:p>
    <w:p>
      <w:pPr>
        <w:ind w:left="120" w:right="40" w:hanging="4"/>
        <w:spacing w:after="0" w:line="253" w:lineRule="auto"/>
        <w:tabs>
          <w:tab w:leader="none" w:pos="37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 consent to the transfer of Common Shares, including in circumstances where the Adviser determines necessary or desirable in order to facilitate compliance with ERISA or the Plan Asset Regulations; (c) restrict participation in the dividend reinvestment program such that Benefit Plan Investors are not permitted to participate, and (c) call Drawdown Purchases on a non-pro rata basis, and all Common Shares of the Fund shall be subject to such terms and conditions.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warehousing transactions</w:t>
      </w:r>
    </w:p>
    <w:p>
      <w:pPr>
        <w:spacing w:after="0" w:line="121" w:lineRule="exact"/>
        <w:rPr>
          <w:sz w:val="20"/>
          <w:szCs w:val="20"/>
          <w:color w:val="auto"/>
        </w:rPr>
      </w:pPr>
    </w:p>
    <w:p>
      <w:pPr>
        <w:ind w:left="120" w:right="300" w:firstLine="440"/>
        <w:spacing w:after="0" w:line="256" w:lineRule="auto"/>
        <w:rPr>
          <w:sz w:val="20"/>
          <w:szCs w:val="20"/>
          <w:color w:val="auto"/>
        </w:rPr>
      </w:pPr>
      <w:r>
        <w:rPr>
          <w:rFonts w:ascii="Times New Roman" w:cs="Times New Roman" w:eastAsia="Times New Roman" w:hAnsi="Times New Roman"/>
          <w:sz w:val="18"/>
          <w:szCs w:val="18"/>
          <w:color w:val="auto"/>
        </w:rPr>
        <w:t>We may enter into one or more warehousing transactions. We may not be able to consummate or realize the anticipated benefits from any such warehousing transaction. Under a warehousing transaction, we may agree to purchase assets from a warehouse provider at prices based on cost plus adjustments designed to give such warehousing provider the economic benefits of accrued but unpaid interest and structuring fees and original issue discount, while such warehouse provider holds the assets. As a result, we generally will not receive any benefit of holding the investments in a warehouse until we have acquired such assets from such warehouse provider, and certain benefits of the acquisition of the assets (such as discounted purchase prices resulting from structuring fees or original issue discount), may have deteriorated by the time we acquire the assets.</w:t>
      </w:r>
    </w:p>
    <w:p>
      <w:pPr>
        <w:spacing w:after="0" w:line="187"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Purchases of assets from a warehouse provider will be at prices determined under the warehousing transaction regardless of the assets’ market prices at the time of such purchase. As a result, we may pay more or less than the current market value of such assets when we acquire them. We may be required to purchase such assets even if they are in default.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120"/>
          </w:cols>
          <w:pgMar w:left="320" w:top="455" w:right="4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may not be able to raise sufficient funds to purchase all of the assets in a warehouse. In that case, we will be obligated to, or to cause an affiliate to, assume management of such assets on behalf of the warehouse provider (including by transferring such assets to a different fund vehicle) and to cause the terms governing such fund vehicle to be substantially similar to fund vehicles of the same type that warehouse provider has invested in with the Fund or such affiliate, with economics more favorable to or substantially similar to the economics that the warehouse provider would have paid to the Fund as an investor in the Fund on an aggregate basis. Additionally, even if we have sufficient funds to purchase the assets in a warehouse, we may not have sufficient funds to make other investments. We may also borrow to obtain funds necessary to purchase assets from a warehouse.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information systems and systems failures could significantly disrupt our business, which may, in turn, negatively affect the market price of our Common Shares and our ability to pay dividends.</w:t>
      </w:r>
    </w:p>
    <w:p>
      <w:pPr>
        <w:spacing w:after="0" w:line="5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Our business is highly dependent on the communications and information systems of the Adviser, its affiliates and third parties, including certain limited TPG-provided services (such as certain information technology services utilized by the Adviser on our behalf). Further, in the ordinary course of our business we or the Adviser engage certain third party service providers to provide us with services necessary for our business. Any failure or interruption of those systems or services, including as a result of the termination or suspension of an agreement with any third-party service providers, could cause delays or other problems in our activities. Our financial, accounting, data processing, backup or other operating systems and facilities may fail to operate properly or become disabled or damaged as a result of a number of factors including events that are wholly or partially beyond our control and adversely affect our business. There could be:</w:t>
      </w:r>
    </w:p>
    <w:p>
      <w:pPr>
        <w:spacing w:after="0" w:line="94" w:lineRule="exact"/>
        <w:rPr>
          <w:sz w:val="20"/>
          <w:szCs w:val="20"/>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sudden electrical or telecommunications outages;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such as earthquakes, tornadoes and hurricanes;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disease pandemics;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events arising from local or larger scale political or social matters, including terrorist acts;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outages due to idiosyncratic issues at specific providers;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cyber-attacks.</w:t>
      </w:r>
    </w:p>
    <w:p>
      <w:pPr>
        <w:spacing w:after="0" w:line="225"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These events, in turn, could have a material adverse effect on our operating results and negatively affect our ability to pay dividends to our shareholders.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Changes in laws or regulations governing our operations may adversely affect our business.</w:t>
      </w:r>
    </w:p>
    <w:p>
      <w:pPr>
        <w:spacing w:after="0" w:line="121"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We and our portfolio companies are subject to regulation by laws and regulations at the local, state, federal and, in some cases, foreign levels. These laws and regulations, as well as their interpretation, may be changed from time to time, and new laws and regulations may be enacted. Accordingly, any change in these laws or regulations, changes in their interpretation, or newly enacted laws or regulations and any failure by us or our portfolio companies to comply with these laws or regulations, could require changes to certain business practices of us or our portfolio companies, negatively impact the operations, cash flows or financial condition of us or our portfolio companies, impose additional costs on us or our portfolio companies or otherwise adversely affect our business or the business of our portfolio companies. In particular, changes to the laws and regulations governing BDCs or the interpretation of these laws and regulations by the staff of the SEC could disrupt our business model. For example, tax reform legislation could have an adverse impact on us, the credit markets and our portfolio companies, to the extent the reduction in corporate tax rates or limitations on interest expense deductibility impact the credit markets and our portfolio companies. Any changes to the laws and regulations governing our operations or the U.S. federal income tax treatment of our assets may cause us to alter our investment strategy to avail ourselves of new or different opportunities. For more information on tax regulatory risks, see “</w:t>
      </w:r>
      <w:r>
        <w:rPr>
          <w:rFonts w:ascii="Times New Roman" w:cs="Times New Roman" w:eastAsia="Times New Roman" w:hAnsi="Times New Roman"/>
          <w:sz w:val="18"/>
          <w:szCs w:val="18"/>
          <w:i w:val="1"/>
          <w:iCs w:val="1"/>
          <w:color w:val="auto"/>
        </w:rPr>
        <w:t>Risks Related to our Portfolio Company Investments.”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140"/>
          </w:cols>
          <w:pgMar w:left="320" w:top="455" w:right="4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Over the last several years, there has been an increase in regulatory attention to the extension of credit outside of the traditional banking sector, raising the possibility that some portion of the non-bank financial sector will be subject to new regulation. While it cannot be known at this time whether these regulations will be implemented or what form they will take, increased regulation of non-bank credit extension could negatively impact our operations, cash flows or financial condition, impose additional costs on us, intensify the regulatory supervision of us or otherwise adversely affect our business.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Russian invasion of Ukraine may have a material adverse impact on us and our portfolio companies.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Commencing in 2021, Russian President Vladimir Putin ordered the Russian military to begin massing thousands of military personnel and equipment near its border with Ukraine and in Crimea, representing the largest mobilization since the illegal annexation of Crimea in 2014. President Putin has initiated troop movements into the eastern portion of Ukraine and continues to threaten an all-out invasion of Ukraine. On February 22, 2022, the United States and several European nations announced sanctions against Russia in response to Russia’s actions. On February 24, 2022, President Putin commenced a full-scale invasion of Russia’s pre-positioned forces into Ukraine, which could have a negative impact on the economy and business activity globally (including in the countries in which the Fund invests), and therefore could adversely affect the performance of the Fund’s investments. Furthermore, the conflict between the two nations and the varying involvement of the United States and other NATO countries could preclude prediction as to their ultimate adverse impact on global economic and market conditions, and, as a result, presents material uncertainty and risk with respect to the Fund and the performance of its investments or operations, and the ability of the Fund to achieve its investment objectives. Additionally, to the extent that third parties, investors, or related customer bases have material operations or assets in Russia or Ukraine, they may have adverse consequences related to the ongoing conflict.</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effect of global climate change may adversely affect our business and impact the operations of our portfolio companies.</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and our portfolio companies face risks associated with climate change including risks related to the impact of climate-and ESG-related legislation and regulation (both domestically and internationally), risks related to climate-related business trends, and risks stemming from the physical impacts of climate change.</w:t>
      </w:r>
    </w:p>
    <w:p>
      <w:pPr>
        <w:spacing w:after="0" w:line="176"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New climate change-related regulations or interpretations of existing laws may result in enhanced disclosure obligations, which could negatively affect us or our portfolio companies and materially increase our regulatory burden. Increased regulations generally increase our costs, and we could continue to experience higher costs if new laws require us to spend more time or buy new technology to comply effectively. At the portfolio company level, while we have increasingly and substantially sought to invest in sectors that are inherently lower carbon intensity (e.g., business services) which decreases transition risk, there are still individual portfolio companies in these and other sectors that could face transition risk if carbon-related regulations or taxes are implemented. Further, advances in climate science may change society’s understanding of sources and magnitudes of negative effects on climate, which could negatively impact portfolio company financial performance and regulatory jeopardy. For our portfolio companies, business trends related to climate change may require capital expenditures, product or service redesigns, and changes to operations and supply chains to meet changing customer expectations. While this can create opportunities, not addressing these changed expectations could create business risks for portfolio companies.</w:t>
      </w:r>
    </w:p>
    <w:p>
      <w:pPr>
        <w:spacing w:after="0" w:line="194" w:lineRule="exact"/>
        <w:rPr>
          <w:sz w:val="20"/>
          <w:szCs w:val="20"/>
          <w:color w:val="auto"/>
        </w:rPr>
      </w:pPr>
    </w:p>
    <w:p>
      <w:pPr>
        <w:ind w:left="120" w:right="100" w:firstLine="440"/>
        <w:spacing w:after="0" w:line="271" w:lineRule="auto"/>
        <w:rPr>
          <w:sz w:val="20"/>
          <w:szCs w:val="20"/>
          <w:color w:val="auto"/>
        </w:rPr>
      </w:pPr>
      <w:r>
        <w:rPr>
          <w:rFonts w:ascii="Times New Roman" w:cs="Times New Roman" w:eastAsia="Times New Roman" w:hAnsi="Times New Roman"/>
          <w:sz w:val="17"/>
          <w:szCs w:val="17"/>
          <w:color w:val="auto"/>
        </w:rPr>
        <w:t>Further, significant physical effects of climate change including extreme weather events such as hurricanes or floods, can also have an adverse impact on certain of our portfolio companies and investments, especially our portfolio companies that rely locations in the affected areas. As the effects of climate change increase, we expect the frequency and impact of weather and climate related events and conditions to increase as well. For example, unseasonal or violent weather events can have a material impact to businesses that focus on tourism or recreational travel. Additionally, the needs of customers of energy companies vary with weather conditions, primarily temperature and humidity. To the extent weather conditions are affected by climate change, energy use could increase or decrease depending on the duration and magnitude of any changes. Increases in the cost of energy could adversely affect the cost of operations of our portfolio companies if the use of energy products or services is material to their business. A decrease in energy use due to weather changes may affect some of our portfolio companies’ financial condition, through decreased revenues. Extreme weather conditions in general require more system backup, adding to costs, and can contribute to increased system stresses, including service interruptions.</w:t>
      </w:r>
    </w:p>
    <w:p>
      <w:pPr>
        <w:spacing w:after="0" w:line="10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120"/>
          </w:cols>
          <w:pgMar w:left="320" w:top="455" w:right="4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Federal Income Tax Risks</w:t>
      </w:r>
    </w:p>
    <w:p>
      <w:pPr>
        <w:spacing w:after="0" w:line="117"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be subject to corporate-level income tax if we are unable to qualify as a RIC under Subchapter M of the Code or to satisfy RIC distribution requirements.</w:t>
      </w:r>
    </w:p>
    <w:p>
      <w:pPr>
        <w:spacing w:after="0" w:line="51" w:lineRule="exact"/>
        <w:rPr>
          <w:sz w:val="20"/>
          <w:szCs w:val="20"/>
          <w:color w:val="auto"/>
        </w:rPr>
      </w:pPr>
    </w:p>
    <w:p>
      <w:pPr>
        <w:jc w:val="both"/>
        <w:ind w:left="120" w:right="20" w:firstLine="440"/>
        <w:spacing w:after="0" w:line="289" w:lineRule="auto"/>
        <w:rPr>
          <w:sz w:val="20"/>
          <w:szCs w:val="20"/>
          <w:color w:val="auto"/>
        </w:rPr>
      </w:pPr>
      <w:r>
        <w:rPr>
          <w:rFonts w:ascii="Times New Roman" w:cs="Times New Roman" w:eastAsia="Times New Roman" w:hAnsi="Times New Roman"/>
          <w:sz w:val="17"/>
          <w:szCs w:val="17"/>
          <w:color w:val="auto"/>
        </w:rPr>
        <w:t>To obtain and maintain RIC tax treatment under Subchapter M of the Code, we must, among other things, meet annual distribution, income source and asset diversification requirements. If we do not qualify for or maintain RIC tax treatment for any reason and are subject to corporate income tax, the resulting corporate taxes could substantially reduce our net assets, the amount of income available for distribution and the amount of our distributions.</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have difficulty paying our required distributions if we recognize income before or without receiving cash representing such income.</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For federal income tax purposes, we may be required to recognize taxable income in circumstances in which we do not receive a corresponding payment in cash. For example, if we hold debt obligations that are treated under applicable tax rules as having original issue discount (such as zero coupon securities, debt instruments with PIK interest or, in certain cases, increasing interest rates or debt instruments that were issued with warrants), we must include in income each year a portion of the original issue discount that accrues over the life of the obligation, regardless of whether cash representing such income is received by us in the same taxable year. We may also have to include in income other amounts that we have not yet received in cash, such as deferred loan origination fees that are paid after origination of the loan or are paid in non-cash compensation such as warrants or stock, or we may engage in transactions, including debt modifications or exchanges, that require us to recognize income without the corresponding receipt of cash. We anticipate that a portion of our income may constitute original issue discount or other income required to be included in taxable income prior to receipt of cash. Further, we may elect to amortize market discount and include such amounts in our taxable income in the current year, instead of upon disposition, as an election not to do so would limit our ability to deduct interest expenses for tax purposes.</w:t>
      </w:r>
    </w:p>
    <w:p>
      <w:pPr>
        <w:spacing w:after="0" w:line="194"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Because any original issue discount or other amounts accrued will be included in our investment company taxable income for the year of the accrual, we may be required to make a distribution to our shareholders in order to satisfy the annual distribution requirement, even though we will not have received any corresponding cash amount. As a result, we may have difficulty meeting the annual distribution requirement necessary to qualify for and maintain RIC tax treatment under Subchapter M of the Code. We may have to sell some of our investments at times and/or at prices we would not consider advantageous, raise additional debt or equity capital or forgo new investment opportunities for this purpose. If we are not able to obtain cash from other sources, we may not qualify for or maintain RIC tax treatment and thus become subject to corporate-level income tax.</w:t>
      </w:r>
    </w:p>
    <w:p>
      <w:pPr>
        <w:spacing w:after="0" w:line="291" w:lineRule="exact"/>
        <w:rPr>
          <w:sz w:val="20"/>
          <w:szCs w:val="20"/>
          <w:color w:val="auto"/>
        </w:rPr>
      </w:pPr>
    </w:p>
    <w:p>
      <w:pPr>
        <w:ind w:left="12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qualify as a “publicly offered regulated investment company,” as defined in the Code, a non-corporate shareholder will be taxed as though it received a distribution of some of our expenses.</w:t>
      </w:r>
    </w:p>
    <w:p>
      <w:pPr>
        <w:spacing w:after="0" w:line="51"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A “publicly offered regulated investment company” or “publicly offered RIC” is a RIC whose shares are either (i) continuously offered pursuant to a public offering within the meaning of Section 4 of the 1933 Act, (ii) regularly traded on an established securities market or (iii) held by at least 500 persons at all times during the taxable year. While we generally expect to qualify as a RIC, we anticipate that we will not qualify as a publicly offered RIC immediately after the commencement of the Private Offering, although we may qualify as a publicly offered RIC upon the completion of the Private Offering. If we are a RIC that is not a publicly offered RIC for any period, a non-corporate shareholder’s allocable portion of our affected expenses, including our Management Fees, will be treated as an additional distribution to the shareholder and will be treated as miscellaneous itemized deductions that are deductible only to the extent permitted by applicable law. Under current law, such expenses will not be deductible by any such shareholder for tax years that begin prior to January 1, 2026 and are deductible subject to limitation thereafter.</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120"/>
          </w:cols>
          <w:pgMar w:left="320" w:top="455" w:right="4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Some of our investments may be subject to corporate-level income tax.</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may invest in certain debt and equity investments through taxable subsidiaries and the taxable income of these taxable subsidiaries will be subject to federal and state corporate income taxes. We may invest in certain foreign debt and equity investments which could be subject to foreign taxes (such as income tax, withholding and value added taxes).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portfolio investments may present special tax issues.</w:t>
      </w:r>
    </w:p>
    <w:p>
      <w:pPr>
        <w:spacing w:after="0" w:line="121" w:lineRule="exact"/>
        <w:rPr>
          <w:sz w:val="20"/>
          <w:szCs w:val="20"/>
          <w:color w:val="auto"/>
        </w:rPr>
      </w:pPr>
    </w:p>
    <w:p>
      <w:pPr>
        <w:ind w:left="120" w:right="60" w:firstLine="440"/>
        <w:spacing w:after="0" w:line="274" w:lineRule="auto"/>
        <w:rPr>
          <w:sz w:val="20"/>
          <w:szCs w:val="20"/>
          <w:color w:val="auto"/>
        </w:rPr>
      </w:pPr>
      <w:r>
        <w:rPr>
          <w:rFonts w:ascii="Times New Roman" w:cs="Times New Roman" w:eastAsia="Times New Roman" w:hAnsi="Times New Roman"/>
          <w:sz w:val="17"/>
          <w:szCs w:val="17"/>
          <w:color w:val="auto"/>
        </w:rPr>
        <w:t>The Fund expects to invest in debt securities that are rated below investment grade by rating agencies or that would be rated below investment grade if they were rated. Investments in these types of instruments may present special tax issues for the Fund. U.S. federal income tax rules are not entirely clear about issues such as when the Fund may cease to accrue interest, original issue discount or market discount, when and to what extent deductions may be taken for bad debts or worthless instruments, how payments received on obligations in default should be allocated between principal and income and whether exchanges of debt obligations in a bankruptcy or workout context are taxable. These and other issues will be addressed by the Fund, to the extent necessary, to preserve its status as a RIC and to distribute sufficient income to not become subject to U.S. federal income tax.</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Legislative or regulatory tax changes could adversely affect investors.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At any time, the federal income tax laws governing RICs or the administrative interpretations of those laws or regulations may be amended. Any of those new laws, regulations or interpretations may take effect retroactively and could adversely affect the taxation of us or our shareholders. Therefore, changes in tax laws, regulations or administrative interpretations or any amendments thereto could diminish the value of an investment in our Common Shares or the value or the resale potential of our investments.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Certain shareholders may be subject to U.S. dividend withholding tax on our distributions.</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A shareholder will be subject to U.S. federal dividend withholding tax on our distributions unless a withholding tax exemption applies. A shareholder may also be subject to U.S. federal withholding tax if it does not comply with applicable U.S. tax requirements to certify its status for U.S. tax purposes. Amounts that are withheld, to the extent in excess of the shareholder’s U.S. federal income tax liability, can generally be recovered by filing a U.S. federal income tax return; however, the administrative burden and cost of filing such a U.S. federal income tax return may outweigh the benefit of recovering such amounts.</w:t>
      </w:r>
    </w:p>
    <w:p>
      <w:pPr>
        <w:spacing w:after="0" w:line="328"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color w:val="auto"/>
        </w:rPr>
        <w:t>ITEM 2.</w:t>
      </w:r>
      <w:r>
        <w:rPr>
          <w:sz w:val="20"/>
          <w:szCs w:val="20"/>
          <w:color w:val="auto"/>
        </w:rPr>
        <w:tab/>
      </w:r>
      <w:r>
        <w:rPr>
          <w:rFonts w:ascii="Times New Roman" w:cs="Times New Roman" w:eastAsia="Times New Roman" w:hAnsi="Times New Roman"/>
          <w:sz w:val="17"/>
          <w:szCs w:val="17"/>
          <w:b w:val="1"/>
          <w:bCs w:val="1"/>
          <w:color w:val="auto"/>
        </w:rPr>
        <w:t>FINANCIAL INFORMATION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Discussion of Management’s Expected Operating Plans</w:t>
      </w:r>
    </w:p>
    <w:p>
      <w:pPr>
        <w:spacing w:after="0" w:line="119" w:lineRule="exact"/>
        <w:rPr>
          <w:sz w:val="20"/>
          <w:szCs w:val="20"/>
          <w:color w:val="auto"/>
        </w:rPr>
      </w:pPr>
    </w:p>
    <w:p>
      <w:pPr>
        <w:ind w:left="120" w:right="48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The information in this section contains forward-looking statements that involve risks and uncertainties. See “Item 1A. Risk Factors” and “Forward-Looking Statements” for a discussion of the uncertainties, risks and assumptions associated with these statements. You should read the following discussion in conjunction with the financial statements and related notes and other financial information appearing elsewhere in this Registration Statement.</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We were organized under the laws of the State of Delaware on April 5, 2022. We intend to elect to be treated as a BDC under the 1940 Act, and expect to elect to be treated as a RIC for federal income tax purposes as soon as reasonably practical. As such, we are required to comply with various regulatory requirements, such as the requirement to invest at least 70% of our assets in Qualifying Assets, source of income limitations, asset diversification requirements, and the requirement to distribute annually at least 90% of our investment company taxable income and tax-exempt interest.</w:t>
      </w:r>
    </w:p>
    <w:p>
      <w:pPr>
        <w:spacing w:after="0" w:line="164"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Fund bears, among other expenses and costs, the cost of our organization and offering. All costs incurred by the Fund in connection with its initial private offering and organization have been advanced by the Adviser subject to recoupment. The Fund’s initial private offering and organizational costs will be amortized over the 36 months beginning on the commencement of operations.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100"/>
          </w:cols>
          <w:pgMar w:left="320" w:top="455" w:right="47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If actual organization and offering costs incurred exceed 0.10% of the Fund’s total Capital Commitments, the Adviser or its affiliates will bear the excess costs. To the extent that the Fund’s Capital Commitments later increase, the Adviser or its affiliates may be reimbursed for past payments of excess organization and offering costs made on the Fund’s behalf, provided that the total organization and offering costs borne by the Fund do not exceed 0.10% of total Capital Commitments and provided further that the Adviser or its affiliates may not be reimbursed for payment of excess organization and offering expenses that were incurred more than three years prior to the proposed reimbursement. Any sales load, platform fees, servicing fees or similar fees or expenses charged directly to an investor in an offering by a placement agent or similar party will not be considered organization or offering expenses of the Fund for purposes of the Fund’s cap on organization and offering expenses.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plan to generate revenue primarily in the form of interest income from the debt investments we hold. In addition, we may generate income from dividends on direct equity investments, capital gains on the sale of investments and various loan origination and other fees. We expect most of our debt investments will be floating rate in nature. Interest on debt investments is generally payable quarterly or semiannually. Some of our investments may provide for deferred interest payments or PIK interest. The principal amount of the debt investments and any accrued but unpaid PIK interest generally will become due at the maturity date. In addition, we may generate revenue in the form of prepayment and other fees in connection with transactions. Loan origination fees, original issue discount and market discount or premium will be capitalized, and we will accrete or amortize such amounts as interest income. We will record prepayment premiums on debt investments as interest income when earned. Dividend income on equity investments will be recorded on the record date for private portfolio companies or on the ex-dividend date for publicly traded portfolio companies. In addition, we may generate revenue in the form of commitment, amendment, structuring, syndication or due diligence fees, fees for providing managerial assistance to our portfolio companies, and consulting fees.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costs associated with our Investment Team and staff of the Adviser, when and to the extent engaged in providing us investment advisory and management services, are paid for by the Adviser, other than to the extent described below and more specifically provided for in the Advisory Agreement.</w:t>
      </w:r>
    </w:p>
    <w:p>
      <w:pPr>
        <w:spacing w:after="0" w:line="176"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Fund bears all other fees, costs and expenses of our activities, operations, administration and transactions, including but not limited to those relating to:</w:t>
      </w:r>
    </w:p>
    <w:p>
      <w:pPr>
        <w:spacing w:after="0" w:line="67" w:lineRule="exact"/>
        <w:rPr>
          <w:sz w:val="20"/>
          <w:szCs w:val="20"/>
          <w:color w:val="auto"/>
        </w:rPr>
      </w:pPr>
    </w:p>
    <w:p>
      <w:pPr>
        <w:jc w:val="both"/>
        <w:ind w:left="1080" w:right="80" w:hanging="424"/>
        <w:spacing w:after="0" w:line="266"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organizational and offering expenses related to the Fund’s initial private offering of Common Shares (up to an aggregate of 0.10% of total capital commitments to the Fund, it being understood and agreed that the Adviser shall bear all such organizational and offering expenses related to the Fund’s initial private offering of Common Shares in excess of such amount);</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calculating individual asset values and our net asset value (including the cost and expenses of any independent valuation firms);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58"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including travel expenses, incurred by the Adviser, or members of our Investment Team, or payable to third parties, in respect of due diligence on prospective portfolio companies and, if necessary, in respect of enforcing the Fund’s rights with respect to investments in existing portfolio companies, including, among others, professional fees (including, without limitation, the fees and expenses of consultants and experts) and fees and expenses relating to, or associated with, evaluating, monitoring, researching and performing due diligence on investments and prospective investments</w:t>
      </w:r>
    </w:p>
    <w:p>
      <w:pPr>
        <w:spacing w:after="0" w:line="88"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diligence and research expenses (including an allocable portion of any research or other service that may deemed to be bundled for the benefit of the Fund), as well as the information technology systems used to obtain such research and other information;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100"/>
          </w:cols>
          <w:pgMar w:left="320" w:top="455" w:right="47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any public offerings of our Common Shares and other securities, including registration and listing fees;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Management Fee and any Incentive Fee;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costs and expenses relating to distributions paid on our Common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administration fees payable under our Administration Agreement with the Adviser;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service and other costs of borrowings or other financing arrangements;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Adviser’s allocable share of costs incurred in providing significant managerial assistance to those portfolio companies that request it;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payable to third parties relating to, or associated with, making or holding investments;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agent and custodial fees;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derivatives and hedging;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commissions and other compensation payable to brokers or dealers;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and governmental fees;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Trustee fees and expenses;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61"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financial officer and chief compliance officer and their respective staffs;</w:t>
      </w:r>
    </w:p>
    <w:p>
      <w:pPr>
        <w:spacing w:after="0" w:line="85" w:lineRule="exact"/>
        <w:rPr>
          <w:rFonts w:ascii="Times New Roman" w:cs="Times New Roman" w:eastAsia="Times New Roman" w:hAnsi="Times New Roman"/>
          <w:sz w:val="18"/>
          <w:szCs w:val="18"/>
          <w:color w:val="auto"/>
        </w:rPr>
      </w:pPr>
    </w:p>
    <w:p>
      <w:pPr>
        <w:ind w:left="1080" w:right="260" w:hanging="424"/>
        <w:spacing w:after="0" w:line="266"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any reports, proxy statements or other notices to our shareholders (including printing and mailing costs), the costs of any shareholders’ meetings and the compensation of investor relations personnel responsible for the preparation of the foregoing and related matters;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fidelity bond;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trustee and officers/errors and omissions liability insurance, and any other insurance premiums;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payments;</w:t>
      </w:r>
    </w:p>
    <w:p>
      <w:pPr>
        <w:spacing w:after="0" w:line="130"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technology and related costs, including costs related to software, hardware and other technological systems (including specialty and custom software);</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incurred in connection with any claim, litigation, arbitration, mediation, government investigation or dispute in connection with the business of the Fund and the amount of any judgment or settlement paid in connection therewith;</w:t>
      </w:r>
    </w:p>
    <w:p>
      <w:pPr>
        <w:spacing w:after="0" w:line="67"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fees, costs and expenses, if any, incurred by or on behalf of the Fund in developing, negotiating and structuring prospective or potential investments that are not ultimately made, including, without limitation any reverse termination fees and any liquidated damages, commitment fees that become payable in connection with any proposed investment that is not ultimately made, forfeited deposits or similar payments, including expenses relating to unconsummated investments that may have been attributable to co-investors had such investments been consummated;</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140"/>
          </w:cols>
          <w:pgMar w:left="320" w:top="455" w:right="4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140" w:hanging="424"/>
        <w:spacing w:after="0" w:line="256"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costs, including all fees, costs and expenses incurred in sourcing, evaluating, developing, negotiating, structuring, trading (including trading errors), settling, monitoring and holding prospective or actual investments or investment strategies including, without limitation, any financing, legal, filing, auditing, tax, accounting, compliance, loan administration, travel, meals, accommodations and entertainment, advisory, consulting, engineering, data-related and other professional fees, costs and expenses in connection therewith (to the extent the Adviser is not reimbursed by a prospective or actual issuer of the applicable investment or other third parties or capitalized as part of the acquisition price of the transaction);</w:t>
      </w:r>
    </w:p>
    <w:p>
      <w:pPr>
        <w:spacing w:after="0" w:line="9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costs and expenses of administration, including audit, accounting, consulting and legal costs;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expenses reasonably incurred by us in connection with making investments and administering our business.</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Fund bears its allocable portion of the costs of the compensation, benefits, and related administrative expenses (including travel expenses) of its officers who provide operational and administrative services under the Administration Agreement, their respective staffs and other professionals who provide services to the Fund (including, in each case, employees of the Administrator or an affiliate) who assist with the preparation, coordination, and administration of the foregoing or provide other “back office” or “middle office” financial or operational services to the Fund. The Fund reimburses the Adviser (or its affiliates) for an allocable portion of the compensation paid by the Adviser (or its affiliates) to such individuals (based on a percentage of time such individuals devote, on an estimated basis, to the business and affairs of the Fund and in acting on behalf of the Fund).</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addition, from time to time, the Adviser pays amounts owed by us to third-party providers of goods or services. We subsequently reimburse the Adviser for those amounts paid on our behalf. We also reimburse the Adviser for the allocable portion of the compensation paid by the Adviser or its affiliates to our Chief Compliance Officer, Chief Financial Officer, and other professionals who spend time on those related activities (based on the percentage of time those individuals devote, on an estimated basis, to our business and affairs). All of the expenses described above are ultimately borne by our shareholders.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Expense Support and Conditional Reimbursement Agreement</w:t>
      </w:r>
    </w:p>
    <w:p>
      <w:pPr>
        <w:spacing w:after="0" w:line="11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have entered into an Expense Support and Conditional Reimbursement Agreement (the “Expense Support Agreement”) with the Adviser. The Adviser may elect to pay certain of our expenses on our behalf (each, an “Expense Payment”), provided that no portion of the payment will be used to pay any interest expense or shareholder servicing and/or distribution fees of the Fund. Any Expense Payment that the Adviser has committed to pay must be paid by the Adviser to us in any combination of cash or other immediately available funds no later than forty-five days after such commitment was made in writing, and/or offset against amounts due from us to the Adviser or its affiliates.</w:t>
      </w:r>
    </w:p>
    <w:p>
      <w:pPr>
        <w:spacing w:after="0" w:line="183" w:lineRule="exact"/>
        <w:rPr>
          <w:sz w:val="20"/>
          <w:szCs w:val="20"/>
          <w:color w:val="auto"/>
        </w:rPr>
      </w:pPr>
    </w:p>
    <w:p>
      <w:pPr>
        <w:ind w:left="120" w:right="40" w:firstLine="440"/>
        <w:spacing w:after="0" w:line="269" w:lineRule="auto"/>
        <w:rPr>
          <w:sz w:val="20"/>
          <w:szCs w:val="20"/>
          <w:color w:val="auto"/>
        </w:rPr>
      </w:pPr>
      <w:r>
        <w:rPr>
          <w:rFonts w:ascii="Times New Roman" w:cs="Times New Roman" w:eastAsia="Times New Roman" w:hAnsi="Times New Roman"/>
          <w:sz w:val="17"/>
          <w:szCs w:val="17"/>
          <w:color w:val="auto"/>
        </w:rPr>
        <w:t>Following any calendar month in which Available Operating Funds (as defined below) exceed the cumulative distributions accrued to the Fund’s shareholders based on distributions declared with respect to record dates occurring in such calendar month (the amount of such excess being hereinafter referred to as “Excess Operating Funds”), we shall pay such Excess Operating Funds, or a portion thereof, to the Adviser until such time as all Expense Payments made by the Adviser to the Fund within three years prior to the last business day of such calendar month have been reimbursed. Any payments required to be made by the Fund shall be referred to herein as a “Reimbursement Payment.” Available Operating Funds means the sum of</w:t>
      </w:r>
    </w:p>
    <w:p>
      <w:pPr>
        <w:spacing w:after="0" w:line="3" w:lineRule="exact"/>
        <w:rPr>
          <w:sz w:val="20"/>
          <w:szCs w:val="20"/>
          <w:color w:val="auto"/>
        </w:rPr>
      </w:pPr>
    </w:p>
    <w:p>
      <w:pPr>
        <w:jc w:val="both"/>
        <w:ind w:left="120" w:hanging="4"/>
        <w:spacing w:after="0" w:line="255" w:lineRule="auto"/>
        <w:tabs>
          <w:tab w:leader="none" w:pos="33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net investment company taxable income (including net short-term capital gains reduced by net long-term capital losses), (ii) our net capital gains (including the excess of net long-term capital gains over net short-term capital losses) and (iii) dividends and other distributions paid to us on account of investments in portfolio companies (to the extent such amounts listed in clause (iii) are not included under clauses (i) and (ii) above).</w:t>
      </w:r>
    </w:p>
    <w:p>
      <w:pPr>
        <w:spacing w:after="0" w:line="1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080"/>
          </w:cols>
          <w:pgMar w:left="320" w:top="455" w:right="49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No Reimbursement Payment for any month will be made if: (1) the “Effective Rate of Distributions Per Share” (as defined below) declared by us at the time of such Reimbursement Payment is less than the Effective Rate of Distributions Per Share at the time the Expense Payment was made to which such Reimbursement Payment relates, or (2) our “Operating Expense Ratio” (as defined below) at the time of such Reimbursement Payment is greater than the Operating Expense Ratio at the time the Expense Payment was made to which such Reimbursement Payment relates. Pursuant to the Expense Support Agreement, “Effective Rate of Distributions Per Share” means the annualized rate (based on a 365 day year) of regular cash distributions per share exclusive of returns of capital, distribution rate reductions due to distribution and shareholder fees, and declared special dividends or special distributions, if any. The “Operating Expense Ratio” is calculated by dividing Operating Expenses, less organizational and offering expenses, base management and incentive fees owed to Adviser, and interest expense, by our net assets.</w:t>
      </w:r>
    </w:p>
    <w:p>
      <w:pPr>
        <w:spacing w:after="0" w:line="192"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The Fund’s obligation to make a Reimbursement Payment shall automatically become a liability of the Fund on the last business day of the applicable calendar month, except to the extent the Adviser has waived its right to receive such payment for the applicable month.</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Hedging</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Fund may, but is not required to, enter into interest rate, foreign exchange or other derivative agreements to hedge interest rate, currency, credit or other risks, but the Fund does not generally intend to enter into any such derivative agreements for speculative purposes. Any derivative agreements entered into for speculative purposes are not expected to be material to the Fund’s business or results of operations. These hedging activities, which will be in compliance with applicable legal and regulatory requirements, may include the use of futures, options and forward contracts. The Fund will bear the costs incurred in connection with entering into, administering and settling any such derivative contracts. There can be no assurance any hedging strategy the Fund employs will be successful.</w:t>
      </w:r>
    </w:p>
    <w:p>
      <w:pPr>
        <w:spacing w:after="0" w:line="187"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Fund intends to qualify as a “limited derivatives user” under new SEC Rule 18f-4 under the 1940 Act, which will require the Fund to limit its derivatives exposure to 10% of its net assets at any time, excluding certain currency and interest rate hedging transactions.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Financial Condition, Liquidity and Capital Resources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intend to generate cash primarily from the net proceeds of any offering of our Common Shares and from cash flows from interest and fees earned from our investments and principal repayments and proceeds from sales of our investments and borrowings from banks or other lenders. We will seek to enter into any bank debt, credit facility or other financing arrangements on at least customary and market terms; however, we cannot assure you we will be able to do so. Our primary use of cash will be investments in portfolio companies, payments of our expenses and payment of cash distributions to our shareholders.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preparation of our consolidated financial statements requires us to make estimates and assumptions that affect the reported amounts of assets, liabilities, revenues, and expenses. Changes in the economic environment, financial markets, and any other parameters used in determining such estimates could cause actual results to differ. Our critical accounting policies, including those relating to the valuation of our investment portfolio, are described below. The critical accounting policies should be read in connection with our risk factors as disclosed in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100"/>
          </w:cols>
          <w:pgMar w:left="320" w:top="455" w:right="47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Investments at Fair Value</w:t>
      </w:r>
    </w:p>
    <w:p>
      <w:pPr>
        <w:spacing w:after="0" w:line="121" w:lineRule="exact"/>
        <w:rPr>
          <w:sz w:val="20"/>
          <w:szCs w:val="20"/>
          <w:color w:val="auto"/>
        </w:rPr>
      </w:pPr>
    </w:p>
    <w:p>
      <w:pPr>
        <w:ind w:left="120" w:right="60" w:firstLine="440"/>
        <w:spacing w:after="0" w:line="277" w:lineRule="auto"/>
        <w:rPr>
          <w:sz w:val="20"/>
          <w:szCs w:val="20"/>
          <w:color w:val="auto"/>
        </w:rPr>
      </w:pPr>
      <w:r>
        <w:rPr>
          <w:rFonts w:ascii="Times New Roman" w:cs="Times New Roman" w:eastAsia="Times New Roman" w:hAnsi="Times New Roman"/>
          <w:sz w:val="17"/>
          <w:szCs w:val="17"/>
          <w:color w:val="auto"/>
        </w:rPr>
        <w:t>Loan originations are recorded on the date of the binding commitment, which is generally the funding date. Investment transactions purchased on a secondary basis are recorded on the trade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w:t>
      </w:r>
    </w:p>
    <w:p>
      <w:pPr>
        <w:spacing w:after="0" w:line="168"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Investments for which market quotations are readily available are typically valued at those market quotations. To validate market quotations, we utilize a number of factors to determine if the quotations are representative of fair value, including the source and number of the quotations. Debt and equity securities that are not publicly traded or whose market prices are not readily available, as is expected to be the case for substantially all of our investments, are valued at fair value as determined in good faith by our Board, based on, among other things, the input of the Adviser, our Audit Committee and independent third-party valuation firms engaged at the direction of the Board.</w:t>
      </w:r>
    </w:p>
    <w:p>
      <w:pPr>
        <w:spacing w:after="0" w:line="183"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As part of the valuation process, the Board takes into account relevant factors in determining the fair value of our investments, including and in combination of:</w:t>
      </w:r>
    </w:p>
    <w:p>
      <w:pPr>
        <w:spacing w:after="0" w:line="67" w:lineRule="exact"/>
        <w:rPr>
          <w:sz w:val="20"/>
          <w:szCs w:val="20"/>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enterprise value of a portfolio company (that is, the total fair value of the portfolio company’s net debt and equity);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and realizable value of any collateral;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portfolio company’s ability to make payments based on its earnings and cash flow;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in which the portfolio company does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comparison of the portfolio company’s securities to any similar publicly traded securities; and</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changes in the interest rate environment and the credit markets that may affect the price at which similar investments may be made in the future.</w:t>
      </w:r>
    </w:p>
    <w:p>
      <w:pPr>
        <w:spacing w:after="0" w:line="162"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When an external event, such as a purchase transaction, public offering or subsequent equity sale occurs, the Board considers whether the pricing indicated by the external event corroborates our valuation.</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Board undertakes a multi-step valuation process, which includes, among other procedures, the following:</w:t>
      </w:r>
    </w:p>
    <w:p>
      <w:pPr>
        <w:spacing w:after="0" w:line="131" w:lineRule="exact"/>
        <w:rPr>
          <w:sz w:val="20"/>
          <w:szCs w:val="20"/>
          <w:color w:val="auto"/>
        </w:rPr>
      </w:pPr>
    </w:p>
    <w:p>
      <w:pPr>
        <w:ind w:left="1080" w:right="380" w:hanging="424"/>
        <w:spacing w:after="0" w:line="282"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valuation process begins with each investment being initially valued by the investment professionals responsible for the portfolio investment in conjunction with the portfolio management team.</w:t>
      </w:r>
    </w:p>
    <w:p>
      <w:pPr>
        <w:spacing w:after="0" w:line="67" w:lineRule="exact"/>
        <w:rPr>
          <w:rFonts w:ascii="Times New Roman" w:cs="Times New Roman" w:eastAsia="Times New Roman" w:hAnsi="Times New Roman"/>
          <w:sz w:val="18"/>
          <w:szCs w:val="18"/>
          <w:color w:val="auto"/>
        </w:rPr>
      </w:pPr>
    </w:p>
    <w:p>
      <w:pPr>
        <w:ind w:left="1080" w:right="1260" w:hanging="424"/>
        <w:spacing w:after="0" w:line="282"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Adviser’s management reviews the preliminary valuations with the investment professionals. Agreed-upon valuation recommendations are presented to the Audit Committee.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reviews the valuations presented and recommends values for each investment to the Board.</w:t>
      </w:r>
    </w:p>
    <w:p>
      <w:pPr>
        <w:spacing w:after="0" w:line="130"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conduct this valuation process on a quarterly basis.</w:t>
      </w:r>
    </w:p>
    <w:p>
      <w:pPr>
        <w:spacing w:after="0" w:line="225" w:lineRule="exact"/>
        <w:rPr>
          <w:sz w:val="20"/>
          <w:szCs w:val="20"/>
          <w:color w:val="auto"/>
        </w:rPr>
      </w:pPr>
    </w:p>
    <w:p>
      <w:pPr>
        <w:jc w:val="both"/>
        <w:ind w:left="120" w:right="1020" w:firstLine="440"/>
        <w:spacing w:after="0" w:line="312" w:lineRule="auto"/>
        <w:rPr>
          <w:sz w:val="20"/>
          <w:szCs w:val="20"/>
          <w:color w:val="auto"/>
        </w:rPr>
      </w:pPr>
      <w:r>
        <w:rPr>
          <w:rFonts w:ascii="Times New Roman" w:cs="Times New Roman" w:eastAsia="Times New Roman" w:hAnsi="Times New Roman"/>
          <w:sz w:val="17"/>
          <w:szCs w:val="17"/>
          <w:color w:val="auto"/>
        </w:rPr>
        <w:t>In connection with debt and equity investments that are valued at fair value in good faith by the Board, the Board intends to engage independent third-party valuation firms to perform certain limited procedures that the Board has identified and requested them to perform.</w:t>
      </w:r>
    </w:p>
    <w:p>
      <w:pPr>
        <w:spacing w:after="0" w:line="138"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We apply Financial Accounting Standards Board Accounting Standards Codification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(“ASC 820”), as amended,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820, we consider our principal</w:t>
      </w:r>
    </w:p>
    <w:p>
      <w:pPr>
        <w:spacing w:after="0" w:line="11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080"/>
          </w:cols>
          <w:pgMar w:left="320" w:top="455" w:right="49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market 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spacing w:after="0" w:line="67" w:lineRule="exact"/>
        <w:rPr>
          <w:sz w:val="20"/>
          <w:szCs w:val="20"/>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1—Valuations based on quoted prices in active markets for identical assets or liabilities that we have the ability to access.</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2—Valuations based on quoted prices in markets that are not active or for which all significant inputs are observable, either directly or indirectly.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3—Valuations based on inputs that are unobservable and significant to the overall fair value measurement.</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Transfers between levels, if any, are recognized at the beginning of the quarter in which the transfers occur. In addition to using the above inputs in investment valuations, we apply the valuation policy approved by our Board that is consistent with ASC Topic 820. Consistent with the valuation policy, we evaluate the source of inputs, including any markets in which our investments are trading (or any markets in which securities with similar attributes are trading), in determining fair value. When a security is valued based on prices provided by reputable dealers or pricing services (that is, broker quotes), we subject those prices to various additional criteria in making the determination as to whether a particular investment would qualify for treatment as a Level 2 or Level 3 investment. For example, we review pricing and methodologies provided by dealers or pricing services in order to determine if observable market information is being used, versus unobservable inputs. Some additional factors considered include the number of prices obtained, as well as an assessment as to their quality, such as the depth of the relevant market relative to the size of the Fund’s position.</w:t>
      </w:r>
    </w:p>
    <w:p>
      <w:pPr>
        <w:spacing w:after="0" w:line="192"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Our accounting policy on the fair value of our investments is critical because the determination of fair value involves subjective judgments and estimates. Accordingly, the notes to our consolidated financial statements express the uncertainty with respect to the possible effect of these valuations, and any change in these valuations, on the consolidated financial statements.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Interest and Dividend Income Recognition</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Interest income is recorded on an accrual basis and includes the amortization of discounts and premiums. Discounts and premiums to par value on securities purchased or originated are amortized into interest income over the contractual life of the respective security using the effective interest method. The amortized cost of investments represents the original cost adjusted for the amortization of discounts and premiums, if any.</w:t>
      </w:r>
    </w:p>
    <w:p>
      <w:pPr>
        <w:spacing w:after="0" w:line="176"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Unless providing services in connection with an investment, such as syndication, structuring or diligence, all or a portion of any loan fees received by us will be deferred and amortized over the investment’s life using the effective interest method.</w:t>
      </w:r>
    </w:p>
    <w:p>
      <w:pPr>
        <w:spacing w:after="0" w:line="16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w:t>
      </w:r>
    </w:p>
    <w:p>
      <w:pPr>
        <w:spacing w:after="0" w:line="187"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 traded portfolio companies.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140"/>
          </w:cols>
          <w:pgMar w:left="320" w:top="455" w:right="4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20" w:firstLine="440"/>
        <w:spacing w:after="0" w:line="282" w:lineRule="auto"/>
        <w:rPr>
          <w:sz w:val="20"/>
          <w:szCs w:val="20"/>
          <w:color w:val="auto"/>
        </w:rPr>
      </w:pPr>
      <w:r>
        <w:rPr>
          <w:rFonts w:ascii="Times New Roman" w:cs="Times New Roman" w:eastAsia="Times New Roman" w:hAnsi="Times New Roman"/>
          <w:sz w:val="18"/>
          <w:szCs w:val="18"/>
          <w:color w:val="auto"/>
        </w:rPr>
        <w:t>Our accounting policy on interest and dividend income recognition is critical because it involves the primary source of our revenue and accordingly is significant to the financial results as disclosed in our consolidated financial statements.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are subject to financial market risks, including valuation risk, interest rate risk and currency risk.</w:t>
      </w:r>
    </w:p>
    <w:p>
      <w:pPr>
        <w:spacing w:after="0" w:line="3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Valuation Risk</w:t>
      </w:r>
    </w:p>
    <w:p>
      <w:pPr>
        <w:spacing w:after="0" w:line="11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plan to invest, primarily in illiquid debt and equity securities of private companies. Most of our investments will not have a readily available market price, and we value these investments at fair value as determined in good faith by our Board in accordance with our valuation policy. There is no single standard for determining fair value. As a result, determining fair value requires that judgment be applied to the specific facts and circumstances of each portfolio investment while employing a consistently applied valuation process for the types of investments we make. If we were required to liquidate a portfolio investment in a forced or liquidation sale, we may realize amounts that are different from the amounts presented and such differences could be material.</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Interest rate sensitivity refers to the change in earnings that may result from changes in the level of interest rates. We also fund portions of our investments with borrowings. Our net investment income is affected by the difference between the rate at which we invest and the rate at which we borrow. Accordingly, we cannot assure you that a significant change in market interest rates will not have a material adverse effect on our net investment income.</w:t>
      </w:r>
    </w:p>
    <w:p>
      <w:pPr>
        <w:spacing w:after="0" w:line="180"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We will regularly measure our exposure to interest rate risk. We will assess interest rate risk and manage our interest rate exposure on an ongoing basis by comparing our interest rate-sensitive assets to our interest rate-sensitive liabilities. Based on that review, we will determine whether or not any hedging transactions are necessary to mitigate exposure to changes in interest rates.</w:t>
      </w:r>
    </w:p>
    <w:p>
      <w:pPr>
        <w:spacing w:after="0" w:line="176"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We may in the future hedge against interest rate fluctuations by using hedging instruments such as additional interest rate swaps, futures, options and forward contracts. While hedging activities may mitigate our exposure to adverse fluctuations in interest rates, certain hedging transactions that we may enter into in the future, such as interest rate swap agreements, may also limit our ability to participate in the benefits of changes in interest rates with respect to our portfolio investments.</w:t>
      </w:r>
    </w:p>
    <w:p>
      <w:pPr>
        <w:spacing w:after="0" w:line="2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Currency Risk</w:t>
      </w:r>
    </w:p>
    <w:p>
      <w:pPr>
        <w:spacing w:after="0" w:line="11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From time to time, we may make investments that are denominated in a foreign currency. These investments are translated into U.S. dollars at each balance sheet date, exposing us to movements in foreign exchange rates. We may employ hedging techniques to minimize these risks, but we cannot assure you that such strategies will be effective or without risk to us. We may seek to utilize instruments such as, but not limited to, forward contracts to seek to hedge against fluctuations in the relative values of our portfolio positions from changes in currency exchange rates. We also have the ability to borrow in certain foreign currencies under a revolving credit facility. Instead of entering into a foreign exchange forward contract in connection with loans or other investments we have made that are denominated in a foreign currency, we may borrow in that currency to establish a natural hedge against our loan or investment. To the extent the loan or investment is based on a floating rate other than a rate under which we can borrow under a revolving credit facility, we may seek to utilize interest rate derivatives to hedge our exposure to changes in the associated rate.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Related Parties</w:t>
      </w:r>
    </w:p>
    <w:p>
      <w:pPr>
        <w:spacing w:after="0" w:line="119" w:lineRule="exact"/>
        <w:rPr>
          <w:sz w:val="20"/>
          <w:szCs w:val="20"/>
          <w:color w:val="auto"/>
        </w:rPr>
      </w:pPr>
    </w:p>
    <w:p>
      <w:pPr>
        <w:ind w:left="120" w:firstLine="440"/>
        <w:spacing w:after="0" w:line="284"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Item 7. Certain Relationships and Related Transactions, and Trustee Independence</w:t>
      </w:r>
      <w:r>
        <w:rPr>
          <w:rFonts w:ascii="Times New Roman" w:cs="Times New Roman" w:eastAsia="Times New Roman" w:hAnsi="Times New Roman"/>
          <w:sz w:val="18"/>
          <w:szCs w:val="18"/>
          <w:color w:val="auto"/>
        </w:rPr>
        <w:t>” for a description of certain transactions and relationships with Related Parties.</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120"/>
          </w:cols>
          <w:pgMar w:left="320" w:top="455" w:right="4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color w:val="auto"/>
        </w:rPr>
        <w:t>ITEM 3.</w:t>
      </w:r>
      <w:r>
        <w:rPr>
          <w:sz w:val="20"/>
          <w:szCs w:val="20"/>
          <w:color w:val="auto"/>
        </w:rPr>
        <w:tab/>
      </w:r>
      <w:r>
        <w:rPr>
          <w:rFonts w:ascii="Times New Roman" w:cs="Times New Roman" w:eastAsia="Times New Roman" w:hAnsi="Times New Roman"/>
          <w:sz w:val="18"/>
          <w:szCs w:val="18"/>
          <w:b w:val="1"/>
          <w:bCs w:val="1"/>
          <w:color w:val="auto"/>
        </w:rPr>
        <w:t>PROPERTIES.</w:t>
      </w:r>
    </w:p>
    <w:p>
      <w:pPr>
        <w:spacing w:after="0" w:line="22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Our headquarters are located at 2100 McKinney Avenue, Suite 1500, Dallas, TX 75201 and are provided by the Administrator in accordance with the terms of our Administration Agreement. We believe that our office facilities are suitable and adequate for our business as it is contemplated to be conducted.</w:t>
      </w:r>
    </w:p>
    <w:p>
      <w:pPr>
        <w:spacing w:after="0" w:line="32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color w:val="auto"/>
        </w:rPr>
        <w:t>ITEM 4.</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w:t>
      </w:r>
    </w:p>
    <w:p>
      <w:pPr>
        <w:spacing w:after="0" w:line="229"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We have not yet commenced commercial activities and will not do so until the initial closing of the subscription for shares by investors (the “Initial Closing”). To date, we only have nominal capital from affiliates of the Adviser that was contributed as part of our legal formation. We will not raise additional capital prior to the Initial Closing.</w:t>
      </w:r>
    </w:p>
    <w:p>
      <w:pPr>
        <w:spacing w:after="0" w:line="32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color w:val="auto"/>
        </w:rPr>
        <w:t>ITEM 5.</w:t>
      </w:r>
      <w:r>
        <w:rPr>
          <w:sz w:val="20"/>
          <w:szCs w:val="20"/>
          <w:color w:val="auto"/>
        </w:rPr>
        <w:tab/>
      </w:r>
      <w:r>
        <w:rPr>
          <w:rFonts w:ascii="Times New Roman" w:cs="Times New Roman" w:eastAsia="Times New Roman" w:hAnsi="Times New Roman"/>
          <w:sz w:val="18"/>
          <w:szCs w:val="18"/>
          <w:b w:val="1"/>
          <w:bCs w:val="1"/>
          <w:color w:val="auto"/>
        </w:rPr>
        <w:t>TRUSTEES AND EXECUTIVE OFFICERS</w:t>
      </w:r>
    </w:p>
    <w:p>
      <w:pPr>
        <w:spacing w:after="0" w:line="121" w:lineRule="exact"/>
        <w:rPr>
          <w:sz w:val="20"/>
          <w:szCs w:val="20"/>
          <w:color w:val="auto"/>
        </w:rPr>
      </w:pPr>
    </w:p>
    <w:p>
      <w:pPr>
        <w:jc w:val="both"/>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Our business and affairs are managed under the direction of the Board of Trustees. The responsibilities of the Board of Trustees include, among other things, the oversight of our investment activities, the quarterly and non-quarterly valuation of our assets, oversight of our financing arrangements and corporate governance activities. Our Board of Trustees consists of seven members, four of whom are not “interested persons” of the Fund or of the Adviser as defined in Section 2(a)(19) of the 1940 Act and are “independent,” as determined by the Board of Trustees. These individuals are referred to as “Independent Trustees.” Our Board of Trustees elects the Fund’s executive officers, who serve at the discretion of the Board of Trustees.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of Trustees and Executive Officers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Trustees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Information regarding the Board of Trustees is as follows: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140" w:type="dxa"/>
            <w:vAlign w:val="bottom"/>
            <w:vMerge w:val="restart"/>
          </w:tcPr>
          <w:p>
            <w:pPr>
              <w:ind w:left="238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3"/>
                <w:szCs w:val="13"/>
                <w:color w:val="auto"/>
              </w:rPr>
            </w:pPr>
          </w:p>
        </w:tc>
        <w:tc>
          <w:tcPr>
            <w:tcW w:w="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Age</w:t>
            </w:r>
          </w:p>
        </w:tc>
        <w:tc>
          <w:tcPr>
            <w:tcW w:w="100" w:type="dxa"/>
            <w:vAlign w:val="bottom"/>
          </w:tcPr>
          <w:p>
            <w:pPr>
              <w:spacing w:after="0"/>
              <w:rPr>
                <w:sz w:val="13"/>
                <w:szCs w:val="13"/>
                <w:color w:val="auto"/>
              </w:rPr>
            </w:pPr>
          </w:p>
        </w:tc>
        <w:tc>
          <w:tcPr>
            <w:tcW w:w="4840" w:type="dxa"/>
            <w:vAlign w:val="bottom"/>
            <w:vMerge w:val="restart"/>
          </w:tcPr>
          <w:p>
            <w:pPr>
              <w:ind w:left="216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00" w:type="dxa"/>
            <w:vAlign w:val="bottom"/>
          </w:tcPr>
          <w:p>
            <w:pPr>
              <w:spacing w:after="0"/>
              <w:rPr>
                <w:sz w:val="13"/>
                <w:szCs w:val="13"/>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Trustee</w:t>
            </w:r>
          </w:p>
        </w:tc>
        <w:tc>
          <w:tcPr>
            <w:tcW w:w="0" w:type="dxa"/>
            <w:vAlign w:val="bottom"/>
          </w:tcPr>
          <w:p>
            <w:pPr>
              <w:spacing w:after="0"/>
              <w:rPr>
                <w:sz w:val="1"/>
                <w:szCs w:val="1"/>
                <w:color w:val="auto"/>
              </w:rPr>
            </w:pPr>
          </w:p>
        </w:tc>
      </w:tr>
      <w:tr>
        <w:trPr>
          <w:trHeight w:val="173"/>
        </w:trPr>
        <w:tc>
          <w:tcPr>
            <w:tcW w:w="51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48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Since</w:t>
            </w:r>
          </w:p>
        </w:tc>
        <w:tc>
          <w:tcPr>
            <w:tcW w:w="0" w:type="dxa"/>
            <w:vAlign w:val="bottom"/>
          </w:tcPr>
          <w:p>
            <w:pPr>
              <w:spacing w:after="0"/>
              <w:rPr>
                <w:sz w:val="1"/>
                <w:szCs w:val="1"/>
                <w:color w:val="auto"/>
              </w:rPr>
            </w:pPr>
          </w:p>
        </w:tc>
      </w:tr>
      <w:tr>
        <w:trPr>
          <w:trHeight w:val="232"/>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Interested Trustee:</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Joshua Easterly</w:t>
            </w: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46</w:t>
            </w:r>
          </w:p>
        </w:tc>
        <w:tc>
          <w:tcPr>
            <w:tcW w:w="4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Executive Officer, Chair of the Board, Trustee</w:t>
            </w:r>
          </w:p>
        </w:tc>
        <w:tc>
          <w:tcPr>
            <w:tcW w:w="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Jennifer Gordon</w:t>
            </w: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47</w:t>
            </w:r>
          </w:p>
        </w:tc>
        <w:tc>
          <w:tcPr>
            <w:tcW w:w="4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Trustee</w:t>
            </w:r>
          </w:p>
        </w:tc>
        <w:tc>
          <w:tcPr>
            <w:tcW w:w="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12"/>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David Stiepleman</w:t>
            </w: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50</w:t>
            </w:r>
          </w:p>
        </w:tc>
        <w:tc>
          <w:tcPr>
            <w:tcW w:w="4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Trustee</w:t>
            </w:r>
          </w:p>
        </w:tc>
        <w:tc>
          <w:tcPr>
            <w:tcW w:w="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38"/>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Independent Trustees: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Richard Higginbotham</w:t>
            </w: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74</w:t>
            </w:r>
          </w:p>
        </w:tc>
        <w:tc>
          <w:tcPr>
            <w:tcW w:w="4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Trustee</w:t>
            </w:r>
          </w:p>
        </w:tc>
        <w:tc>
          <w:tcPr>
            <w:tcW w:w="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Hurley Doddy</w:t>
            </w: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58</w:t>
            </w:r>
          </w:p>
        </w:tc>
        <w:tc>
          <w:tcPr>
            <w:tcW w:w="4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Trustee</w:t>
            </w:r>
          </w:p>
        </w:tc>
        <w:tc>
          <w:tcPr>
            <w:tcW w:w="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Judy Slotkin</w:t>
            </w: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69</w:t>
            </w:r>
          </w:p>
        </w:tc>
        <w:tc>
          <w:tcPr>
            <w:tcW w:w="4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Trustee</w:t>
            </w:r>
          </w:p>
        </w:tc>
        <w:tc>
          <w:tcPr>
            <w:tcW w:w="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34"/>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Ronald Tanemura</w:t>
            </w: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59</w:t>
            </w:r>
          </w:p>
        </w:tc>
        <w:tc>
          <w:tcPr>
            <w:tcW w:w="4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Trustee</w:t>
            </w:r>
          </w:p>
        </w:tc>
        <w:tc>
          <w:tcPr>
            <w:tcW w:w="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Each trustee will hold office until his or her death, resignation, removal or disqualification. The address for each of our trustees is c/o Sixth Street Lending Partners, 2100 McKinney Avenue, Suite 1500, Dallas, TX 75201.</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Information regarding the executive officers of the Fund that are not Trustees is as follows: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4160" w:type="dxa"/>
            <w:vAlign w:val="bottom"/>
            <w:tcBorders>
              <w:bottom w:val="single" w:sz="8" w:color="auto"/>
            </w:tcBorders>
          </w:tcPr>
          <w:p>
            <w:pPr>
              <w:ind w:left="25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100" w:type="dxa"/>
            <w:vAlign w:val="bottom"/>
          </w:tcPr>
          <w:p>
            <w:pPr>
              <w:spacing w:after="0"/>
              <w:rPr>
                <w:sz w:val="16"/>
                <w:szCs w:val="16"/>
                <w:color w:val="auto"/>
              </w:rPr>
            </w:pPr>
          </w:p>
        </w:tc>
        <w:tc>
          <w:tcPr>
            <w:tcW w:w="5080" w:type="dxa"/>
            <w:vAlign w:val="bottom"/>
            <w:tcBorders>
              <w:bottom w:val="single" w:sz="8" w:color="auto"/>
            </w:tcBorders>
          </w:tcPr>
          <w:p>
            <w:pPr>
              <w:ind w:left="230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191"/>
        </w:trPr>
        <w:tc>
          <w:tcPr>
            <w:tcW w:w="4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Ian Simmonds</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6"/>
                <w:szCs w:val="16"/>
                <w:color w:val="auto"/>
              </w:rPr>
            </w:pPr>
          </w:p>
        </w:tc>
        <w:tc>
          <w:tcPr>
            <w:tcW w:w="50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Michael Graf</w:t>
            </w:r>
          </w:p>
        </w:tc>
        <w:tc>
          <w:tcPr>
            <w:tcW w:w="1680" w:type="dxa"/>
            <w:vAlign w:val="bottom"/>
            <w:gridSpan w:val="3"/>
          </w:tcPr>
          <w:p>
            <w:pPr>
              <w:ind w:left="1440"/>
              <w:spacing w:after="0"/>
              <w:rPr>
                <w:sz w:val="20"/>
                <w:szCs w:val="20"/>
                <w:color w:val="auto"/>
              </w:rPr>
            </w:pPr>
            <w:r>
              <w:rPr>
                <w:rFonts w:ascii="Times New Roman" w:cs="Times New Roman" w:eastAsia="Times New Roman" w:hAnsi="Times New Roman"/>
                <w:sz w:val="18"/>
                <w:szCs w:val="18"/>
                <w:color w:val="auto"/>
              </w:rPr>
              <w:t>40</w:t>
            </w:r>
          </w:p>
        </w:tc>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Deputy Chief Financial Officer, Vice President and Principal</w:t>
            </w:r>
          </w:p>
        </w:tc>
      </w:tr>
      <w:tr>
        <w:trPr>
          <w:trHeight w:val="216"/>
        </w:trPr>
        <w:tc>
          <w:tcPr>
            <w:tcW w:w="4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Accounting Officer</w:t>
            </w:r>
          </w:p>
        </w:tc>
      </w:tr>
      <w:tr>
        <w:trPr>
          <w:trHeight w:val="23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Anton Brett</w:t>
            </w:r>
          </w:p>
        </w:tc>
        <w:tc>
          <w:tcPr>
            <w:tcW w:w="1680" w:type="dxa"/>
            <w:vAlign w:val="bottom"/>
            <w:gridSpan w:val="3"/>
          </w:tcPr>
          <w:p>
            <w:pPr>
              <w:ind w:left="1440"/>
              <w:spacing w:after="0"/>
              <w:rPr>
                <w:sz w:val="20"/>
                <w:szCs w:val="20"/>
                <w:color w:val="auto"/>
              </w:rPr>
            </w:pPr>
            <w:r>
              <w:rPr>
                <w:rFonts w:ascii="Times New Roman" w:cs="Times New Roman" w:eastAsia="Times New Roman" w:hAnsi="Times New Roman"/>
                <w:sz w:val="18"/>
                <w:szCs w:val="18"/>
                <w:color w:val="auto"/>
              </w:rPr>
              <w:t>35</w:t>
            </w:r>
          </w:p>
        </w:tc>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Compliance Officer and Secretary</w:t>
            </w:r>
          </w:p>
        </w:tc>
      </w:tr>
      <w:tr>
        <w:trPr>
          <w:trHeight w:val="364"/>
        </w:trPr>
        <w:tc>
          <w:tcPr>
            <w:tcW w:w="4160" w:type="dxa"/>
            <w:vAlign w:val="bottom"/>
          </w:tcPr>
          <w:p>
            <w:pPr>
              <w:spacing w:after="0"/>
              <w:rPr>
                <w:sz w:val="24"/>
                <w:szCs w:val="24"/>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8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Each officer holds office at the pleasure of the Board until the next election of officers or until his or her successor is duly elected and qualifies.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Biographical Information</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Trustees</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Our trustees have been divided into two groups — interested trustees and Independent Trustees. An interested trustee is an “interested person” as defined in Section 2(a)(19) of the 1940 Act. An Independent Trustee is a trustee who is not an “interested person.”</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Interested Trustees</w:t>
      </w:r>
    </w:p>
    <w:p>
      <w:pPr>
        <w:spacing w:after="0" w:line="11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Joshua Easterly </w:t>
      </w:r>
      <w:r>
        <w:rPr>
          <w:rFonts w:ascii="Times New Roman" w:cs="Times New Roman" w:eastAsia="Times New Roman" w:hAnsi="Times New Roman"/>
          <w:sz w:val="18"/>
          <w:szCs w:val="18"/>
          <w:color w:val="auto"/>
        </w:rPr>
        <w:t>was appointed Chief Executive Officer of the Fund in June 2022 and elected a director and Chairman of the Fund in June 2022.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Mr. Easterly is a Co-Founding Partner and Co-President of Sixth Street and the Co-Chief Investment Officer of the Adviser. Between 2008 and 2010, he was a Managing Director at Goldman, Sachs &amp; Co. in the Americas Special Situations Group, which invested Goldman’s capital in both the public markets and private transactions in distressed and special situations. Between 2006 and 2008, he served as a Director, Management Committee Member and Co-Head of the Goldman Sachs Specialty Lending Group. Prior to joining Goldman, Sachs &amp; Co. in March 2006, Mr. Easterly was Senior Vice President, Northeast Regional Originations Manager at Wells Fargo Capital Finance, or WFCF, formerly known as Wells Fargo Foothill and Foothill Capital Corporation, the commercial finance company of Wells Fargo and Company. Mr. Easterly graduated from California State University, Fresno with a Bachelor of Science in Business Administration, magna cum laude. Mr. Easterly’s depth of experience investing in a variety of distressed and special situations transactions as well as his extensive knowledge of the business and operations of Sixth Street provides the Board with valuable insight and expertise.</w:t>
      </w:r>
    </w:p>
    <w:p>
      <w:pPr>
        <w:spacing w:after="0" w:line="185"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Jennifer Gordon </w:t>
      </w:r>
      <w:r>
        <w:rPr>
          <w:rFonts w:ascii="Times New Roman" w:cs="Times New Roman" w:eastAsia="Times New Roman" w:hAnsi="Times New Roman"/>
          <w:sz w:val="18"/>
          <w:szCs w:val="18"/>
          <w:color w:val="auto"/>
        </w:rPr>
        <w:t>was elected a director of the Fund in June 2022. Ms. Gordon is a Vice President of the Fund and is a Partner, Co-Chief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Operating Officer and Chief Compliance Officer of Sixth Street. Prior to joining Sixth Street, from 2004 to 2014, she held various positions at Goldman, Sachs &amp; Co., including most recently as a Managing Director co-heading Americas Securities Division Compliance. Ms. Gordon was previously an associate at the law firm of White &amp; Case LLP. Ms. Gordon holds a J.D. from Fordham University School of Law and B.A. in International Relations from the University of Michigan. Ms. Gordon’s regulatory and operational knowledge provides the Board with valuable insight in the financial services sector.</w:t>
      </w:r>
    </w:p>
    <w:p>
      <w:pPr>
        <w:spacing w:after="0" w:line="182"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David Stiepleman </w:t>
      </w:r>
      <w:r>
        <w:rPr>
          <w:rFonts w:ascii="Times New Roman" w:cs="Times New Roman" w:eastAsia="Times New Roman" w:hAnsi="Times New Roman"/>
          <w:sz w:val="18"/>
          <w:szCs w:val="18"/>
          <w:color w:val="auto"/>
        </w:rPr>
        <w:t>was elected a director of the Fund in June 2022. Mr. Stiepleman is a Vice President of the Fund. He is a Co-Founding Partner,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Co-President and Co-Chief Operating Officer of Sixth Street. Mr. Stiepleman has been a cross-border corporate lawyer, senior executive and business builder for over 20 years, starting and running businesses, and representing clients, in the U.S., Europe and Asia. Mr. Stiepleman is a strategic advisor to Concrete Rose, an early stage investment platform deploying financial and social capital to underrepresented founders of color. He also serves on the Advisory Council for Mt. Tamalpais College (f/k/a Prison University Project), a college-degree awarding program at San Quentin Prison.</w:t>
      </w:r>
    </w:p>
    <w:p>
      <w:pPr>
        <w:spacing w:after="0" w:line="3" w:lineRule="exact"/>
        <w:rPr>
          <w:sz w:val="20"/>
          <w:szCs w:val="20"/>
          <w:color w:val="auto"/>
        </w:rPr>
      </w:pPr>
    </w:p>
    <w:p>
      <w:pPr>
        <w:ind w:left="120" w:right="300"/>
        <w:spacing w:after="0" w:line="260" w:lineRule="auto"/>
        <w:rPr>
          <w:sz w:val="20"/>
          <w:szCs w:val="20"/>
          <w:color w:val="auto"/>
        </w:rPr>
      </w:pPr>
      <w:r>
        <w:rPr>
          <w:rFonts w:ascii="Times New Roman" w:cs="Times New Roman" w:eastAsia="Times New Roman" w:hAnsi="Times New Roman"/>
          <w:sz w:val="18"/>
          <w:szCs w:val="18"/>
          <w:color w:val="auto"/>
        </w:rPr>
        <w:t>Mr. Stiepleman received a B.A. in French and Political Science from Amherst College and a J.D. from Columbia University. Mr. Stiepleman’s legal, regulatory and operational experience provides the Board with valuable knowledge and guidance.</w:t>
      </w:r>
    </w:p>
    <w:p>
      <w:pPr>
        <w:spacing w:after="0" w:line="2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Independent Trustees</w:t>
      </w:r>
    </w:p>
    <w:p>
      <w:pPr>
        <w:spacing w:after="0" w:line="117" w:lineRule="exact"/>
        <w:rPr>
          <w:sz w:val="20"/>
          <w:szCs w:val="20"/>
          <w:color w:val="auto"/>
        </w:rPr>
      </w:pPr>
    </w:p>
    <w:p>
      <w:pPr>
        <w:ind w:left="120" w:right="4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Richard Higginbotham </w:t>
      </w:r>
      <w:r>
        <w:rPr>
          <w:rFonts w:ascii="Times New Roman" w:cs="Times New Roman" w:eastAsia="Times New Roman" w:hAnsi="Times New Roman"/>
          <w:sz w:val="18"/>
          <w:szCs w:val="18"/>
          <w:color w:val="auto"/>
        </w:rPr>
        <w:t>was elected a director of the Fund in June 2022. From September 2010, he was a director of Healthcare Finance Group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LLC until its sale in 2013. Between July 2008 and March 2010, Mr. Higginbotham was a director and then chairman of Tygris Commercial Finance Group, Inc., where he also served on the risk committee. From 2004 to 2005, Mr. Higginbotham was the President of Asset Based Lending and Leasing at Bank of America. Prior to that, he worked for 35 years, including in various senior executive positions, at Fleet Bank, Fleet Financial Group, Inc. and FleetBoston Financial, Inc. Mr. Higginbotham holds a B.A. in Political Science from Brown University. Mr. Higginbotham’s depth of experience in senior executive positions in the financial sector provides the Board with valuable experience, insight and perspective in the credit sector.</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100"/>
          </w:cols>
          <w:pgMar w:left="320" w:top="455" w:right="47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Hurley Doddy </w:t>
      </w:r>
      <w:r>
        <w:rPr>
          <w:rFonts w:ascii="Times New Roman" w:cs="Times New Roman" w:eastAsia="Times New Roman" w:hAnsi="Times New Roman"/>
          <w:sz w:val="18"/>
          <w:szCs w:val="18"/>
          <w:color w:val="auto"/>
        </w:rPr>
        <w:t>was elected a director of the Fund in June 2022. Mr. Doddy is a Managing Director, Founding Partner and Co-Chief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of Emerging Capital Partners, a private equity fund manager focused on Africa. Mr. Doddy is an experienced chief executive and board director with over 38 years of investing for growth across international borders, overmultiple business cycles and in many industries and has served on boards of companies listed in the US, Europe, and Africa. Prior to founding Emerging Capital Partners in 1999, Mr. Doddy was an Executive Director at Sumitomo Finance International in London. Mr. Doddy’s career in finance began at Salomon Brothers in 1984, lasting over 14 years with assignments in New York, Tokyo, and Sao Paulo where he gained a wealth of experience in bond trading, hedge management, fixed income &amp; equity derivatives, and emerging markets investing. Mr. Doddy holds an A.B. in Economics from Princeton University and a Chartered Financial Analyst (CFA) designation. Mr. Doddy’s breadth of experience across financial markets and products, geographies, along with his focus on risk management, provides the Board with valuable insight and perspective in the credit sector.</w:t>
      </w:r>
    </w:p>
    <w:p>
      <w:pPr>
        <w:spacing w:after="0" w:line="18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Judy Slotkin </w:t>
      </w:r>
      <w:r>
        <w:rPr>
          <w:rFonts w:ascii="Times New Roman" w:cs="Times New Roman" w:eastAsia="Times New Roman" w:hAnsi="Times New Roman"/>
          <w:sz w:val="18"/>
          <w:szCs w:val="18"/>
          <w:color w:val="auto"/>
        </w:rPr>
        <w:t>was elected a director of the Fund in June 2022. Ms. Slotkin retired as a Managing Director from Bank of America in 2015, where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she most recently led business development and relationship management for the New York market as part of the Market Executive team in private wealth management. Prior to joining Bank of America in 2010, Ms. Slotkin served as the Chief Risk Officer at Everspan Financial Guaranty. Prior to joining Everspan, Ms. Slotkin served various leadership roles at Citigroup, including Department Head of the Corporate Finance Division, where she led origination, trading and sales of asset-backed securities, commercial paper on an agency basis, loan note trading and investment grade loan syndications. During her career at Citigroup, Ms. Slotkin also served as the Credit Head of the Corporate Finance Division and Municipal Credit Head of the Public Finance Department. Ms. Slotkin holds a B.S. in Accounting from Fairleigh Dickinson University and an M.B.A. in Finance from Fordham University. She previously served as a director, chair of the nominating and corporate governance committee and a member of the audit committee for Siga Technologies, Inc. and a director and chair of the audit committee for Nephros, Inc. Ms. Slotkin’s numerous management positions and broad experiences within financial institutions provide the Board with valuable knowledge and insight in the financial services sector.</w:t>
      </w:r>
    </w:p>
    <w:p>
      <w:pPr>
        <w:spacing w:after="0" w:line="18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Ronald Tanemura </w:t>
      </w:r>
      <w:r>
        <w:rPr>
          <w:rFonts w:ascii="Times New Roman" w:cs="Times New Roman" w:eastAsia="Times New Roman" w:hAnsi="Times New Roman"/>
          <w:sz w:val="18"/>
          <w:szCs w:val="18"/>
          <w:color w:val="auto"/>
        </w:rPr>
        <w:t>was elected a director of the Fund in June 2022. Since 2012, Mr. Tanemura has served as a director of post-reorganization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Lehman Brothers Holdings Inc. in New York. Also, from 2012 to 2019, he served as a non-executive director of ICE Clear Credit in Chicago and, from 2009 to 2019, he served as a non-executive director of ICE Clear Europe in London, both wholly owned subsidiaries of Intercontinental Exchange, Inc. Prior to that, Mr. Tanemura was an Advisory Director and Partner at Goldman, Sachs &amp; Co. from 2000 to 2006 where he was the Global Co-Head of Credit Derivatives and a member of the Fixed Income, Currency and Commodities Risk Committee and Firmwide Credit Policy Committee. In addition, Mr. Tanemura has led a variety of fixed income businesses, working at Deutsche Bank from 1996 to 2000 and at Salomon Brothers from 1985 to 1996. Mr. Tanemura holds an A.B. in Computer Science from the University of California, Berkeley and currently serves on the Board of Talcott Resolution Life Insurance Company and certain affiliates. Mr. Tanemura’s extensive experience in the financial markets provides the Board with valuable industry-specific knowledge.</w:t>
      </w: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 Who Are Not Trustees</w:t>
      </w:r>
    </w:p>
    <w:p>
      <w:pPr>
        <w:spacing w:after="0" w:line="11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Ian Simmonds </w:t>
      </w:r>
      <w:r>
        <w:rPr>
          <w:rFonts w:ascii="Times New Roman" w:cs="Times New Roman" w:eastAsia="Times New Roman" w:hAnsi="Times New Roman"/>
          <w:sz w:val="18"/>
          <w:szCs w:val="18"/>
          <w:color w:val="auto"/>
        </w:rPr>
        <w:t>is the Chief Financial Officer of the Fund and a Managing Director of Sixth Street. From 2005 to 2015, Mr. Simmonds was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member of the Financial Institutions Group at Bank of America Merrill Lynch’s Global Investment Bank in New York, most recently as a Managing Director. From 2000 to 2003, Mr. Simmonds was Managing Director at Principal Global Investors, the asset management unit of The Principal Financial Group, based in Singapore. Prior to this role, Mr. Simmonds was a Senior Vice President at Bankers Trust Australia from 1995 to 2000 (acquired by Principal in 1999), and worked in public accounting at KPMG from 1989 to 1995. Mr. Simmonds holds a Bachelor of Commerce from the University of New South Wales, a Master of Applied Finance from Macquarie University, and an M.B.A. from the Wharton School of the University of Pennsylvania. He is a Chartered Accountant.</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120"/>
          </w:cols>
          <w:pgMar w:left="320" w:top="455" w:right="4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Michael Graf </w:t>
      </w:r>
      <w:r>
        <w:rPr>
          <w:rFonts w:ascii="Times New Roman" w:cs="Times New Roman" w:eastAsia="Times New Roman" w:hAnsi="Times New Roman"/>
          <w:sz w:val="18"/>
          <w:szCs w:val="18"/>
          <w:color w:val="auto"/>
        </w:rPr>
        <w:t>is Deputy Chief Financial Officer, Vice President and Principal Accounting Officer of the Fund. From 2010 to 2013, Mr. Graf was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Vice President in Alternative Investments at U.S. Bancorp Fund Services, LLC. From 2006 to 2010, Mr. Graf was an Accounting Manager at GSC Group, Inc., a private investment firm. Prior to working at GSC Group Inc., Mr. Graf worked in public accounting at KPMG from 2004 to 2006.</w:t>
      </w:r>
    </w:p>
    <w:p>
      <w:pPr>
        <w:ind w:left="120" w:right="580"/>
        <w:spacing w:after="0" w:line="260" w:lineRule="auto"/>
        <w:rPr>
          <w:sz w:val="20"/>
          <w:szCs w:val="20"/>
          <w:color w:val="auto"/>
        </w:rPr>
      </w:pPr>
      <w:r>
        <w:rPr>
          <w:rFonts w:ascii="Times New Roman" w:cs="Times New Roman" w:eastAsia="Times New Roman" w:hAnsi="Times New Roman"/>
          <w:sz w:val="18"/>
          <w:szCs w:val="18"/>
          <w:color w:val="auto"/>
        </w:rPr>
        <w:t>Mr. Graf holds a B.S. in Finance and Accounting from the Leonard N. Stern School of Business at New York University. He is a Certified Public Accountant.</w:t>
      </w:r>
    </w:p>
    <w:p>
      <w:pPr>
        <w:spacing w:after="0" w:line="17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Anton Brett </w:t>
      </w:r>
      <w:r>
        <w:rPr>
          <w:rFonts w:ascii="Times New Roman" w:cs="Times New Roman" w:eastAsia="Times New Roman" w:hAnsi="Times New Roman"/>
          <w:sz w:val="18"/>
          <w:szCs w:val="18"/>
          <w:color w:val="auto"/>
        </w:rPr>
        <w:t>is the Chief Compliance Officer and Secretary of the Fund and a Vice President of Sixth Street. Prior to joining Sixth Street, from</w:t>
      </w:r>
    </w:p>
    <w:p>
      <w:pPr>
        <w:spacing w:after="0" w:line="31" w:lineRule="exact"/>
        <w:rPr>
          <w:sz w:val="20"/>
          <w:szCs w:val="20"/>
          <w:color w:val="auto"/>
        </w:rPr>
      </w:pPr>
    </w:p>
    <w:p>
      <w:pPr>
        <w:jc w:val="both"/>
        <w:ind w:left="120" w:right="180"/>
        <w:spacing w:after="0" w:line="255" w:lineRule="auto"/>
        <w:rPr>
          <w:sz w:val="20"/>
          <w:szCs w:val="20"/>
          <w:color w:val="auto"/>
        </w:rPr>
      </w:pPr>
      <w:r>
        <w:rPr>
          <w:rFonts w:ascii="Times New Roman" w:cs="Times New Roman" w:eastAsia="Times New Roman" w:hAnsi="Times New Roman"/>
          <w:sz w:val="18"/>
          <w:szCs w:val="18"/>
          <w:color w:val="auto"/>
        </w:rPr>
        <w:t>2017 to 2020, he was a Senior Associate at Scopia Capital Management, LP. From 2014 to 2017, Mr. Brett was an Associate at the law firm of Willkie Farr &amp; Gallagher LLP. From 2009 to 2011, he was an Analyst, and later a Senior Analyst, at the law firm of Kobre &amp; Kim LLP. Mr. Brett holds a J.D. from Duke University School of Law and B.A. in International Relations and Slavic Studies, magna cum laude, from Brown University.</w:t>
      </w:r>
    </w:p>
    <w:p>
      <w:pPr>
        <w:spacing w:after="0" w:line="2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Other Officers Who Are Not Trustees</w:t>
      </w:r>
    </w:p>
    <w:p>
      <w:pPr>
        <w:spacing w:after="0" w:line="117"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Robert (“Bo”) Stanley </w:t>
      </w:r>
      <w:r>
        <w:rPr>
          <w:rFonts w:ascii="Times New Roman" w:cs="Times New Roman" w:eastAsia="Times New Roman" w:hAnsi="Times New Roman"/>
          <w:sz w:val="18"/>
          <w:szCs w:val="18"/>
          <w:color w:val="auto"/>
        </w:rPr>
        <w:t>is a Vice President of the Fund, a Partner of Sixth Street, and co-head of Sixth Street Growth. Mr. Stanley focuses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originating transactions in the software, payment systems, data infrastructure and business services sectors. Mr. Stanley was previously with Wells Fargo Capital Finance, a provider of specialized senior secured financing to companies throughout the U.S. and Canada, from 2000 to 2011. While at Wells Fargo, Mr. Stanley served in multiple roles in an underwriting and origination capacity. From 2006 to 2011, Mr. Stanley was a Director of Loan Originations where he was responsible for lead development and generation of commercial loans. He holds a B.S. in Business Administration with a concentration in Finance from the University of Maine.</w:t>
      </w:r>
    </w:p>
    <w:p>
      <w:pPr>
        <w:spacing w:after="0" w:line="182"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Alan Waxman </w:t>
      </w:r>
      <w:r>
        <w:rPr>
          <w:rFonts w:ascii="Times New Roman" w:cs="Times New Roman" w:eastAsia="Times New Roman" w:hAnsi="Times New Roman"/>
          <w:sz w:val="18"/>
          <w:szCs w:val="18"/>
          <w:color w:val="auto"/>
        </w:rPr>
        <w:t>is a Vice President of the Fund. Mr. Waxman is a Co-Founding Partner and Chief Executive Officer of Sixth Street. Prior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co-founding Sixth Street, Mr. Waxman was a Partner at Goldman, Sachs &amp; Co. and Chief Investment Officer of its largest proprietary investing business, the Americas Special Situations Group. Sixth Street continues an investment philosophy Mr. Waxman and Sixth Street’s founding partner group began developing over 20 years ago while building complementary businesses to invest Goldman’s capital in public and private markets across the capital structure in companies, assets, and idiosyncratic opportunities. Mr. Waxman is a Founding LP and Strategic Advisor to Concrete Rose, an early stage investment platform deploying financial and social capital to underrepresented founders of color. He and other Sixth Street team members began advising Concrete Rose leadership on the firm’s formation in 2018 and Sixth Street is a Founding Strategic Partner. Mr. Waxman holds a B.A. in International Relations from the University of Pennsylvania and currently serves on the Board of Overseers for the University of Pennsylvania College of Arts and Sciences. He is a Board Member Emeritus for Tipping Point Community and serves on the Advisory Council for the Boys and Girls Club of the Peninsula, which are both focused on fighting poverty and inequality of opportunity in the San Francisco Bay Area.</w:t>
      </w:r>
    </w:p>
    <w:p>
      <w:pPr>
        <w:spacing w:after="0" w:line="185" w:lineRule="exact"/>
        <w:rPr>
          <w:sz w:val="20"/>
          <w:szCs w:val="20"/>
          <w:color w:val="auto"/>
        </w:rPr>
      </w:pPr>
    </w:p>
    <w:p>
      <w:pPr>
        <w:ind w:left="120" w:right="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Craig Hamrah </w:t>
      </w:r>
      <w:r>
        <w:rPr>
          <w:rFonts w:ascii="Times New Roman" w:cs="Times New Roman" w:eastAsia="Times New Roman" w:hAnsi="Times New Roman"/>
          <w:sz w:val="18"/>
          <w:szCs w:val="18"/>
          <w:color w:val="auto"/>
        </w:rPr>
        <w:t>is a Vice President of the Fund, Senior Credit Underwriter of the Adviser and Managing Director of Sixth Street. Mr. Hamrah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previously with Silver Point Capital, where he was a senior deal underwriter and oversaw the portfolio in the private finance group. From 2004 to 2005, Mr. Hamrah was a Senior Vice President at the Royal Bank of Scotland. From 1997 to 2004, Mr. Hamrah was an Executive Vice President at Emigrant Business Credit Corp, a subsidiary of Emigrant Savings Bank. Mr. Hamrah started his career at The CIT Group in 1990 working in the commercial finance and equipment finance divisions. He holds a B.A. in Business Economics from Brown University.</w:t>
      </w:r>
    </w:p>
    <w:p>
      <w:pPr>
        <w:spacing w:after="0" w:line="179" w:lineRule="exact"/>
        <w:rPr>
          <w:sz w:val="20"/>
          <w:szCs w:val="20"/>
          <w:color w:val="auto"/>
        </w:rPr>
      </w:pPr>
    </w:p>
    <w:p>
      <w:pPr>
        <w:ind w:left="120" w:right="1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Steven Pluss </w:t>
      </w:r>
      <w:r>
        <w:rPr>
          <w:rFonts w:ascii="Times New Roman" w:cs="Times New Roman" w:eastAsia="Times New Roman" w:hAnsi="Times New Roman"/>
          <w:sz w:val="18"/>
          <w:szCs w:val="18"/>
          <w:color w:val="auto"/>
        </w:rPr>
        <w:t>is a Vice President of the Fund. He is a Co-Founding Partner of Sixth Street and has also been the Chief Risk Officer since 2013,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well as the Chief Financial Officer from 2013 to 2016. Prior to joining Sixth Street, Mr. Pluss was a Managing Director and co-head of the Goldman Sachs Specialty Lending Group at Goldman, Sachs &amp; Co., where he worked from 2004 to 2013. From 1999 to 2004, Mr. Pluss was a Partner, Founder and Managing Member of RTV Ventures, a special situations lending joint venture with Goldman, Sachs &amp; Co. Mr. Pluss holds a B.B.A. from Texas A&amp;M University and an M.B.A. from Southern Methodist University.</w:t>
      </w:r>
    </w:p>
    <w:p>
      <w:pPr>
        <w:spacing w:after="0" w:line="179" w:lineRule="exact"/>
        <w:rPr>
          <w:sz w:val="20"/>
          <w:szCs w:val="20"/>
          <w:color w:val="auto"/>
        </w:rPr>
      </w:pPr>
    </w:p>
    <w:p>
      <w:pPr>
        <w:ind w:left="120" w:right="1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Michael Fishman </w:t>
      </w:r>
      <w:r>
        <w:rPr>
          <w:rFonts w:ascii="Times New Roman" w:cs="Times New Roman" w:eastAsia="Times New Roman" w:hAnsi="Times New Roman"/>
          <w:sz w:val="18"/>
          <w:szCs w:val="18"/>
          <w:color w:val="auto"/>
        </w:rPr>
        <w:t>is a Vice President of the Fund and is a Sixth Street Partner. He has been an executive in corporate lending for more than 30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years with senior management experience in credit, portfolio management and primary loan originations. Prior to joining Sixth Street, Mr. Fishman was the Executive Vice President and National Director of Loan Originations for WFCF, formerly known as Wells Fargo Foothill and Foothill Capital</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140"/>
          </w:cols>
          <w:pgMar w:left="320" w:top="455" w:right="4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Corporation. In this role, Mr. Fishman sat on the senior investment committee and was responsible for primary and secondary lending, loan distribution and syndications, strategic transactions and new lending products. From 2000 to 2007, he built the team that grew WFCF’s assets under management from approximately $2 billion to over $10 billion. Mr. Fishman has also contributed to various industry publications and panel discussions, and has sat on the board of the American Bankruptcy Institute. He holds a Bachelor of Science in Finance from Rochester Institute of Technology. Mr. Fishman’s extensive experience in the credit markets provides the Board with valuable industry-specific knowledge.</w:t>
      </w:r>
    </w:p>
    <w:p>
      <w:pPr>
        <w:spacing w:after="0" w:line="179" w:lineRule="exact"/>
        <w:rPr>
          <w:sz w:val="20"/>
          <w:szCs w:val="20"/>
          <w:color w:val="auto"/>
        </w:rPr>
      </w:pPr>
    </w:p>
    <w:p>
      <w:pPr>
        <w:ind w:left="120" w:firstLine="440"/>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Joshua Peck </w:t>
      </w:r>
      <w:r>
        <w:rPr>
          <w:rFonts w:ascii="Times New Roman" w:cs="Times New Roman" w:eastAsia="Times New Roman" w:hAnsi="Times New Roman"/>
          <w:sz w:val="17"/>
          <w:szCs w:val="17"/>
          <w:color w:val="auto"/>
        </w:rPr>
        <w:t>is a Vice President of the Fund and a Partner and General Counsel of Sixth Street. Prior to joining Sixth Street in 2015, Mr. Peck was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 Associate with Weil, Gotshal &amp; Manges LLP, focused on private equity and mergers and acquisitions. He holds a J.D. from Fordham Law School and a B.A. in Government from Cornell University. Mr. Peck serves on the Board of Directors of Legal Aid at Work, a non-profit legal services organization that has been assisting low-income, working families for one than 100 years. He also serves on the Advisory Council of the Law Firm Antiracism Alliance, which brings together law firms and legal services organizations to identify and dismantle structural and systemic racism in the law.</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Leadership Structure and Oversight Responsibilities</w:t>
      </w:r>
    </w:p>
    <w:p>
      <w:pPr>
        <w:spacing w:after="0" w:line="121" w:lineRule="exact"/>
        <w:rPr>
          <w:sz w:val="20"/>
          <w:szCs w:val="20"/>
          <w:color w:val="auto"/>
        </w:rPr>
      </w:pPr>
    </w:p>
    <w:p>
      <w:pPr>
        <w:jc w:val="both"/>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Our Board monitors and performs an oversight role with respect to our business and affairs, including with respect to investment practices and performance, compliance with regulatory requirements, cybersecurity and the services, expenses and performance of service providers to us. Among other things, our Board approves the appointment of our Adviser and our officers, reviews and monitors the services and activities performed by our investment adviser and our executive officers.</w:t>
      </w:r>
    </w:p>
    <w:p>
      <w:pPr>
        <w:spacing w:after="0" w:line="180"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Our Board designates a chairman to preside over the meetings of the Board and to perform other duties as may be assigned to him by the Board. We do not have a fixed policy as to whether the chairman of the Board should be an Independent Director and believe that we should maintain the flexibility to select the chairman and reorganize the leadership structure, from time to time, based on the criteria that is in our best interests and the best interests of our stockholders at such times.</w:t>
      </w:r>
    </w:p>
    <w:p>
      <w:pPr>
        <w:spacing w:after="0" w:line="180"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Mr. Easterly will serve as the chairman of our Board. We believe that Mr. Easterly’s familiarity with our investment platform and extensive knowledge of the financial services industry qualifies him to serve as the chairman of our Board.</w:t>
      </w:r>
    </w:p>
    <w:p>
      <w:pPr>
        <w:spacing w:after="0" w:line="162" w:lineRule="exact"/>
        <w:rPr>
          <w:sz w:val="20"/>
          <w:szCs w:val="20"/>
          <w:color w:val="auto"/>
        </w:rPr>
      </w:pPr>
    </w:p>
    <w:p>
      <w:pPr>
        <w:ind w:left="120" w:right="140" w:firstLine="440"/>
        <w:spacing w:after="0" w:line="253" w:lineRule="auto"/>
        <w:rPr>
          <w:sz w:val="20"/>
          <w:szCs w:val="20"/>
          <w:color w:val="auto"/>
        </w:rPr>
      </w:pPr>
      <w:r>
        <w:rPr>
          <w:rFonts w:ascii="Times New Roman" w:cs="Times New Roman" w:eastAsia="Times New Roman" w:hAnsi="Times New Roman"/>
          <w:sz w:val="18"/>
          <w:szCs w:val="18"/>
          <w:color w:val="auto"/>
        </w:rPr>
        <w:t>Our Board does not currently have a designated lead Independent Director. We are aware of the potential conflicts that may arise when a non-Independent Director is chairman of the Board, but believe these potential conflicts are offset by our strong corporate governance practices. Our corporate governance practices will include regular meetings of the Independent Directors in executive session without the presence of interested directors and management, as well as the establishment of a Nominating and Corporate Governance Committee and an Audit Committee, each consisting solely of Independent Directors for the purposes of the NYSE corporate governance rules and, in the case of the Audit Committee, Rule 10A-3 under the Securities Exchange Act of 1934, as amended (the “Exchange Act”). During executive sessions, the chairman of the Audit Committee or his designee will act as presiding director. In addition, our corporate governance practices include the appointment of our Chief Compliance Officer, with whom the Independent Directors meet in executive session without the presence of interested directors and other members of management for administering our compliance policies and procedures. While certain non-management members of our Board currently participate on the boards of directors of other companies, we do not view their participation as excessive or as interfering with their duties on our Board.</w:t>
      </w:r>
    </w:p>
    <w:p>
      <w:pPr>
        <w:spacing w:after="0" w:line="194" w:lineRule="exact"/>
        <w:rPr>
          <w:sz w:val="20"/>
          <w:szCs w:val="20"/>
          <w:color w:val="auto"/>
        </w:rPr>
      </w:pPr>
    </w:p>
    <w:p>
      <w:pPr>
        <w:ind w:left="120" w:right="800" w:firstLine="440"/>
        <w:spacing w:after="0" w:line="282" w:lineRule="auto"/>
        <w:rPr>
          <w:sz w:val="20"/>
          <w:szCs w:val="20"/>
          <w:color w:val="auto"/>
        </w:rPr>
      </w:pPr>
      <w:r>
        <w:rPr>
          <w:rFonts w:ascii="Times New Roman" w:cs="Times New Roman" w:eastAsia="Times New Roman" w:hAnsi="Times New Roman"/>
          <w:sz w:val="18"/>
          <w:szCs w:val="18"/>
          <w:color w:val="auto"/>
        </w:rPr>
        <w:t>Our Board will perform its risk oversight function primarily through its committees and monitoring by our Chief Compliance Officer in accordance with its compliance policies and procedures.</w:t>
      </w:r>
    </w:p>
    <w:p>
      <w:pPr>
        <w:spacing w:after="0" w:line="162"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As described below in more detail under “—Board Committees—Audit Committee,” the Audit Committee will assist the Board in fulfilling its risk oversight responsibilities. The Audit Committee’s risk oversight responsibilities will include overseeing our accounting and financial reporting processes, our systems of internal controls regarding finance and accounting, and audits of our financial statements. The Audit Committee will also discuss with management our major financial risk exposures and the steps management has taken to monitor and control such exposures, including our risk assessment and risk management policies.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140"/>
          </w:cols>
          <w:pgMar w:left="320" w:top="455" w:right="4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Our Board will also perform its risk oversight responsibilities with the assistance of the Chief Compliance Officer. Our Chief Compliance Officer will prepare a written report annually discussing the adequacy and effectiveness of our compliance policies and procedures. The Chief Compliance Officer’s report, which will be reviewed by the Board, will address:</w:t>
      </w:r>
    </w:p>
    <w:p>
      <w:pPr>
        <w:spacing w:after="0" w:line="81" w:lineRule="exact"/>
        <w:rPr>
          <w:sz w:val="20"/>
          <w:szCs w:val="20"/>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compliance policies and procedures and certain of our service providers since the last report;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changes to these policies and procedures or recommended changes; and</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compliance matter that has occurred about which the Board would reasonably need to know to oversee our compliance activities and risks.</w:t>
      </w:r>
    </w:p>
    <w:p>
      <w:pPr>
        <w:spacing w:after="0" w:line="162"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In addition, the Chief Compliance Officer will meet separately in executive session with the Independent Directors periodically, typically every quarter, but in no event less than once each year.</w:t>
      </w:r>
    </w:p>
    <w:p>
      <w:pPr>
        <w:spacing w:after="0" w:line="162"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believe that the Board’s role in risk oversight will be effective and appropriate given the extensive regulation to which we are already subject as a business development company (“BDC”). Specifically, as a BDC, we must comply with numerous regulatory requirements that control the levels of risk in its business and operations, including limitations under the 1940 Act on the amount of borrowings, debt securities or preferred stock we may incur or issue. In addition, we generally have to invest at least 70% of our total assets in “qualifying assets” and, subject to certain exceptions, we generally are not permitted to invest in any portfolio company in which our affiliates currently has an investment. In addition, we intend to elect to be treated as a regulated investment company (“RIC”) under Subchapter M of the Internal Revenue Code of 1986, as amended (the “Code”). As a RIC, we must, among other things, meet certain source of income, asset diversification and distribution requirements.</w:t>
      </w:r>
    </w:p>
    <w:p>
      <w:pPr>
        <w:spacing w:after="0" w:line="18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Further, we believe that the Board’s structure and practices will enhance its risk oversight because our Independent Directors separately meet in executive sessions with the Chief Compliance Officer and independent registered public accounting firm without any conflict that could be perceived to discourage critical review.</w:t>
      </w:r>
    </w:p>
    <w:p>
      <w:pPr>
        <w:spacing w:after="0" w:line="176" w:lineRule="exact"/>
        <w:rPr>
          <w:sz w:val="20"/>
          <w:szCs w:val="20"/>
          <w:color w:val="auto"/>
        </w:rPr>
      </w:pPr>
    </w:p>
    <w:p>
      <w:pPr>
        <w:ind w:left="120" w:right="820" w:firstLine="440"/>
        <w:spacing w:after="0" w:line="282" w:lineRule="auto"/>
        <w:rPr>
          <w:sz w:val="20"/>
          <w:szCs w:val="20"/>
          <w:color w:val="auto"/>
        </w:rPr>
      </w:pPr>
      <w:r>
        <w:rPr>
          <w:rFonts w:ascii="Times New Roman" w:cs="Times New Roman" w:eastAsia="Times New Roman" w:hAnsi="Times New Roman"/>
          <w:sz w:val="18"/>
          <w:szCs w:val="18"/>
          <w:color w:val="auto"/>
        </w:rPr>
        <w:t>We believe that the Board’s role in risk oversight must be evaluated on a case-by-case basis and that its existing role in risk oversight is appropriate.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Communications with Directors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Board has established procedures whereby our stockholders and other interested parties may communicate with any member of our Board, the chairman of any of our Board committees or with our non-management directors as a group by mail addressed to the applicable directors or director group, in the care of the Chief Compliance Officer, Anton Brett, Sixth Street Lending Partners, 888 7th Avenue, 35th Floor, New York, NY 10106. Such communications should specify the intended recipient or recipients. All such communications, other than unsolicited commercial solicitations, will be forwarded to the appropriate director, or directors, for review.</w:t>
      </w:r>
    </w:p>
    <w:p>
      <w:pPr>
        <w:spacing w:after="0" w:line="183"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In addition, information on how to report issues related to financial statement disclosures, accounting, internal accounting controls or auditing matters to our Board or the Independent Directors via email is available upon request.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120"/>
          </w:cols>
          <w:pgMar w:left="320" w:top="455" w:right="4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Board Committees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currently have two standing committees: the Audit Committee and the Nominating and Corporate Governance Committee.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The Audit Committee will operate pursuant to the Audit Committee Charter. The Audit Committee Charter sets forth the responsibilities of the Audit Committee. The primary function of the Audit Committee is to serve as an independent and objective party to assist the Board in fulfilling its responsibilities for our accounting and reporting processes and the audits of its financial statements by overseeing and monitoring:</w:t>
      </w:r>
    </w:p>
    <w:p>
      <w:pPr>
        <w:spacing w:after="0" w:line="81" w:lineRule="exact"/>
        <w:rPr>
          <w:sz w:val="20"/>
          <w:szCs w:val="20"/>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and integrity of our financial statements;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system of internal controls;</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reporting process, including the valuation of investments, the review of the independence and performance of, as well as communicate openly with, our independent registered public accounting firm;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legal and regulatory requirements.</w:t>
      </w:r>
    </w:p>
    <w:p>
      <w:pPr>
        <w:spacing w:after="0" w:line="225" w:lineRule="exact"/>
        <w:rPr>
          <w:sz w:val="20"/>
          <w:szCs w:val="20"/>
          <w:color w:val="auto"/>
        </w:rPr>
      </w:pPr>
    </w:p>
    <w:p>
      <w:pPr>
        <w:jc w:val="both"/>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Our Audit Committee will have the sole authority to approve the engagement, and review the performance of, our independent registered public accounting firm.</w:t>
      </w:r>
    </w:p>
    <w:p>
      <w:pPr>
        <w:spacing w:after="0" w:line="162"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Our Board has designated Ms. Slotkin as an “audit committee financial expert” pursuant to the provisions of Item 407(d)(5) of Regulation S-K, and, pursuant to the Audit Committee Charter, our Audit Committee consists solely of members who are independent directors for the purposes of the applicable NYSE corporate governance rules and Rule 10A-3 under the Exchange Act.</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Messrs. Higginbotham, Doddy, and Tanemura and Ms. Slotkin are members of the Audit Committee and Ms. Slotkin serves as Chairman.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Nominating and Corporate Governance Committee will operate pursuant to the Nominating and Corporate Governance Committee Charter. The Nominating and Corporate Governance Committee Charter sets forth the responsibilities of the Nominating and Corporate Governance Committee. The Nominating and Corporate Governance Committee is responsible for:</w:t>
      </w:r>
    </w:p>
    <w:p>
      <w:pPr>
        <w:spacing w:after="0" w:line="81" w:lineRule="exact"/>
        <w:rPr>
          <w:sz w:val="20"/>
          <w:szCs w:val="20"/>
          <w:color w:val="auto"/>
        </w:rPr>
      </w:pPr>
    </w:p>
    <w:p>
      <w:pPr>
        <w:ind w:left="1080" w:hanging="424"/>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researching and nominating directors for election by our stockholders;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nominees to fill vacancies on the Board or a committee of the Board;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the Board a set of corporate governance principles;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evaluation of the Board and our management.</w:t>
      </w:r>
    </w:p>
    <w:p>
      <w:pPr>
        <w:spacing w:after="0" w:line="225"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Nominating and Corporate Governance Committee will consider nominees to the Board recommended by a stockholder, if that stockholder complies with the advance notice provisions of our bylaws.</w:t>
      </w:r>
    </w:p>
    <w:p>
      <w:pPr>
        <w:spacing w:after="0" w:line="162"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members of the Nominating and Corporate Governance Committee are Messrs. Higginbotham, Doddy, and Tanemura and Ms. Slotkin, each of whom is independent for purposes of the NYSE corporate governance rules, and each of whom is not an “interested person” of the Company, of the Adviser, or of any of their respective affiliates as defined in Section 2(a)(19) of the 1940 Act. Mr. Higginbotham serves as Chairman.</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060"/>
          </w:cols>
          <w:pgMar w:left="320" w:top="455" w:right="51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Portfolio Management</w:t>
      </w:r>
    </w:p>
    <w:p>
      <w:pPr>
        <w:spacing w:after="0" w:line="121"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Our Adviser sources and manages our portfolio through our Investment Team, a dedicated team of investment professionals predominately focused on us. Our Investment Team is led by our Chairman and Chief Executive Officer and our Adviser’s Co-Chief Investment Officer, Joshua Easterly and our Adviser’s Co-Chief Investment Officer, Alan Waxman, both of whom have substantial experience in credit origination, underwriting and asset management. Our investment decisions will be made by our Investment Review Committee, which includes senior personnel of our Adviser and Sixth Street. The members of our Investment Review Committee are Joshua Easterly, Alan Waxman, Brian D’Arcy, Michael Fishman, Michael Griffin, Robert (“Bo”) Stanley and David Stiepleman.</w:t>
      </w:r>
    </w:p>
    <w:p>
      <w:pPr>
        <w:spacing w:after="0" w:line="187"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Adviser is responsible for managing our day-to-day business affairs, including implementing investment policies and strategic initiatives set by our Investment Team and managing our portfolio under the general oversight of our Investment Review Committee.</w:t>
      </w:r>
    </w:p>
    <w:p>
      <w:pPr>
        <w:spacing w:after="0" w:line="306"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color w:val="auto"/>
        </w:rPr>
        <w:t>ITEM 6.</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3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 Compensation of Executive Officers</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do not currently have any employees and do not expect to have any employees. Services necessary for our business are provided by individuals who are employees of our Adviser, which is also our Administrator, or its affiliates, pursuant to the terms of the Advisory Agreement and the Administration Agreement, as applicable. Our day-to-day investment operations will be managed by the Adviser. Most of the services necessary for the sourcing and administration of our investment portfolio are provided by investment professionals employed by the Adviser or its affiliates.</w:t>
      </w:r>
    </w:p>
    <w:p>
      <w:pPr>
        <w:spacing w:after="0" w:line="180" w:lineRule="exact"/>
        <w:rPr>
          <w:sz w:val="20"/>
          <w:szCs w:val="20"/>
          <w:color w:val="auto"/>
        </w:rPr>
      </w:pPr>
    </w:p>
    <w:p>
      <w:pPr>
        <w:ind w:left="120" w:right="60" w:firstLine="440"/>
        <w:spacing w:after="0" w:line="273" w:lineRule="auto"/>
        <w:rPr>
          <w:sz w:val="20"/>
          <w:szCs w:val="20"/>
          <w:color w:val="auto"/>
        </w:rPr>
      </w:pPr>
      <w:r>
        <w:rPr>
          <w:rFonts w:ascii="Times New Roman" w:cs="Times New Roman" w:eastAsia="Times New Roman" w:hAnsi="Times New Roman"/>
          <w:sz w:val="17"/>
          <w:szCs w:val="17"/>
          <w:color w:val="auto"/>
        </w:rPr>
        <w:t>For the avoidance of doubt, the Fund will bear its allocable portion of the costs of the compensation, benefits, and related administrative expenses (including travel expenses) of its officers who provide operational and administrative services under the Administration Agreement, their respective staffs and other professionals who provide services to the Fund (including, in each case, employees of the Administrator or an affiliate) who assist with the preparation, coordination, and administration of the foregoing or provide other “back office” or “middle office” financial or operational services to the Fund. The Fund reimburses the Adviser (or its affiliates) for an allocable portion of the compensation paid by the Adviser (or its affiliates) to such individuals (based on a percentage of time such individuals devote, on an estimated basis, to the business and affairs of the Fund and in acting on behalf of the Fund). See “</w:t>
      </w:r>
      <w:r>
        <w:rPr>
          <w:rFonts w:ascii="Times New Roman" w:cs="Times New Roman" w:eastAsia="Times New Roman" w:hAnsi="Times New Roman"/>
          <w:sz w:val="17"/>
          <w:szCs w:val="17"/>
          <w:i w:val="1"/>
          <w:iCs w:val="1"/>
          <w:color w:val="auto"/>
        </w:rPr>
        <w:t>Item 1A. Business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Advisory Agreement</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Item 7. Certain Relationships and Related Transactions, and Trustee Independence</w:t>
      </w:r>
      <w:r>
        <w:rPr>
          <w:rFonts w:ascii="Times New Roman" w:cs="Times New Roman" w:eastAsia="Times New Roman" w:hAnsi="Times New Roman"/>
          <w:sz w:val="17"/>
          <w:szCs w:val="17"/>
          <w:color w:val="auto"/>
        </w:rPr>
        <w:t>.”</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 Compensation of Trustees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pay each Independent Director the following amounts for serving as a director:</w:t>
      </w:r>
    </w:p>
    <w:p>
      <w:pPr>
        <w:spacing w:after="0" w:line="131" w:lineRule="exact"/>
        <w:rPr>
          <w:sz w:val="20"/>
          <w:szCs w:val="20"/>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$110,000 annual retainer;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$2,500 for each meeting of the Board attended;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 for each monthly telephonic update meeting attended;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 for each committee meeting of ours attended; and</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fee of $15,000 per year for the chairman of the Audit Committee and $10,000 per year for the chairman of the Nominating and Corporate Governance Committee.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 compensation is paid to our trustees who are “interested persons,” as such term is defined in Section 2(a)(19) of the 1940 Act. We pay each</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Independent Trustee as follows:</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120"/>
          </w:cols>
          <w:pgMar w:left="320" w:top="455" w:right="4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We are also authorized to pay the reasonable out-of-pocket expenses of each Independent Trustee incurred by such trustee in connection with the fulfillment of his or her duties as an Independent Trustee.</w:t>
      </w:r>
    </w:p>
    <w:p>
      <w:pPr>
        <w:spacing w:after="0" w:line="306"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color w:val="auto"/>
        </w:rPr>
        <w:t>ITEM 7.</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TRUSTEE INDEPENDENCE</w:t>
      </w:r>
    </w:p>
    <w:p>
      <w:pPr>
        <w:spacing w:after="0" w:line="117" w:lineRule="exact"/>
        <w:rPr>
          <w:sz w:val="20"/>
          <w:szCs w:val="20"/>
          <w:color w:val="auto"/>
        </w:rPr>
      </w:pPr>
    </w:p>
    <w:p>
      <w:pPr>
        <w:ind w:left="120" w:right="4940" w:hanging="4"/>
        <w:spacing w:after="0" w:line="412" w:lineRule="auto"/>
        <w:tabs>
          <w:tab w:leader="none" w:pos="375"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Transactions with Related Persons, Promoters and Certain Control Persons Advisory Agreement; Administration Agreement</w:t>
      </w:r>
    </w:p>
    <w:p>
      <w:pPr>
        <w:spacing w:after="0" w:line="4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have entered into the Advisory Agreement with the Adviser pursuant to which we will pay Management Fees and Incentive Fees to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Adviser and the Administration Agreement with the Administrator. In addition, pursuant to the Advisory Agreement and the Administration Agreement,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will reimburse the Adviser and Administrator for certain expenses as they occur. See “</w:t>
      </w:r>
      <w:r>
        <w:rPr>
          <w:rFonts w:ascii="Times New Roman" w:cs="Times New Roman" w:eastAsia="Times New Roman" w:hAnsi="Times New Roman"/>
          <w:sz w:val="18"/>
          <w:szCs w:val="18"/>
          <w:i w:val="1"/>
          <w:iCs w:val="1"/>
          <w:color w:val="auto"/>
        </w:rPr>
        <w:t>Item 1A. Business—Advisory Agreement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Item 1A. Business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i w:val="1"/>
          <w:iCs w:val="1"/>
          <w:color w:val="auto"/>
        </w:rPr>
        <w:t>—Administration Agreement</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Item 1A. Business—Certain Terms of the Advisory Agreement and Administration Agreement</w:t>
      </w:r>
      <w:r>
        <w:rPr>
          <w:rFonts w:ascii="Times New Roman" w:cs="Times New Roman" w:eastAsia="Times New Roman" w:hAnsi="Times New Roman"/>
          <w:sz w:val="17"/>
          <w:szCs w:val="17"/>
          <w:color w:val="auto"/>
        </w:rPr>
        <w:t>.” Each of the Advisory</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Agreement and the Administration Agreement has been approved by the Board of Trustees. Unless earlier terminated, each of the Advisory Agreement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the Administration Agreement will remain in effect for a period of two years from the date it first becomes effective and will remain in effect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from year-to-year thereafter if approved annually by a majority of the Board of Trustees, including a majority of Independent Trustees, or by the holders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a majority of our outstanding voting securities.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License Agreement</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We have entered into a License Agreement with Austin IP, LLC that grants us a non-exclusive, royalty-free license to use the mark “Sixth Street” and any derivative thereof.</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information regarding the independence of our directors, see “Item 5. Directors and Executive Officers.”</w:t>
      </w:r>
    </w:p>
    <w:p>
      <w:pPr>
        <w:spacing w:after="0" w:line="37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color w:val="auto"/>
        </w:rPr>
        <w:t>ITEM 8.</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From time to time, we may be a party to certain legal proceedings in the ordinary course of business, including proceedings relating to the enforcement of our rights under loans to or other contracts with our portfolio companies. We are not currently subject to any material legal proceedings, nor, to our knowledge, is any material legal proceeding threatened against us.</w:t>
      </w:r>
    </w:p>
    <w:p>
      <w:pPr>
        <w:spacing w:after="0" w:line="32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color w:val="auto"/>
        </w:rPr>
        <w:t>ITEM 9.</w:t>
      </w:r>
      <w:r>
        <w:rPr>
          <w:sz w:val="20"/>
          <w:szCs w:val="20"/>
          <w:color w:val="auto"/>
        </w:rPr>
        <w:tab/>
      </w:r>
      <w:r>
        <w:rPr>
          <w:rFonts w:ascii="Times New Roman" w:cs="Times New Roman" w:eastAsia="Times New Roman" w:hAnsi="Times New Roman"/>
          <w:sz w:val="17"/>
          <w:szCs w:val="17"/>
          <w:b w:val="1"/>
          <w:bCs w:val="1"/>
          <w:color w:val="auto"/>
        </w:rPr>
        <w:t>MARKET PRICE OF AND DIVIDENDS ON THE REGISTRANT’S COMMON EQUITY AND RELATED SHAREHOLDER</w:t>
      </w:r>
    </w:p>
    <w:p>
      <w:pPr>
        <w:spacing w:after="0" w:line="3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b w:val="1"/>
          <w:bCs w:val="1"/>
          <w:color w:val="auto"/>
        </w:rPr>
        <w:t>MATTERS</w:t>
      </w:r>
    </w:p>
    <w:p>
      <w:pPr>
        <w:spacing w:after="0" w:line="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Our outstanding Common Shares will be offered and sold in private offerings exempt from registration under the Securities Act under Section 4(a)</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 Regulation D and Regulation S. There is no public market for our Common Shares currently, nor can we give any assurance that one will develop.</w:t>
      </w:r>
    </w:p>
    <w:p>
      <w:pPr>
        <w:spacing w:after="0" w:line="207"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Because our Common Shares are being acquired by investors in one or more transactions “not involving a public offering,” they are “restricted securities” and may be required to be held indefinitely. Our Common Shares may not be sold, transferred, assigned, pledged or otherwise disposed of unless (1) our consent is granted, and (2) the Common Shares are registered under applicable securities laws or specifically exempted from registration (in which case the shareholder may, at our option, be required to provide us with a legal opinion, in form and substance satisfactory to us, that registration is not required). Accordingly, an investor must be willing to bear the economic risk of investment in the Common Shares until we are liquidated. No sale, transfer, assignment, pledge or other disposition, whether voluntary or involuntary, of the Common Shares may be made except by registration of the transfer on our books. Each transferee will be required to execute an instrument agreeing to be bound by these restrictions and the other restrictions imposed on the Common Shares and to execute such other instruments or certifications as are reasonably required by us.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120"/>
          </w:cols>
          <w:pgMar w:left="320" w:top="455" w:right="4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Common Shares will be offered for subscription on a continuous basis. Each investor in the Private Offering will purchase Common Shares pursuant to a Subscription Agreement.</w:t>
      </w:r>
    </w:p>
    <w:p>
      <w:pPr>
        <w:spacing w:after="0" w:line="162"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initial per share purchase price for Common Shares in the primary offering will be $25.00 per share. Thereafter, the purchase price per share for Common Share will equal the NAV per share, as of the effective date of the share purchase date.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21"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Fund’s common shareholders are entitled to one vote for each Common Share held on all matters submitted to a vote of shareholders, and to receive distributions declared by the Board. The rights of common shareholders are subject to the Declaration of Trust and the Bylaws. Please see “</w:t>
      </w:r>
      <w:r>
        <w:rPr>
          <w:rFonts w:ascii="Times New Roman" w:cs="Times New Roman" w:eastAsia="Times New Roman" w:hAnsi="Times New Roman"/>
          <w:sz w:val="18"/>
          <w:szCs w:val="18"/>
          <w:i w:val="1"/>
          <w:iCs w:val="1"/>
          <w:color w:val="auto"/>
        </w:rPr>
        <w:t>Item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4. Security Ownership of Certain Beneficial Owners and Management</w:t>
      </w:r>
      <w:r>
        <w:rPr>
          <w:rFonts w:ascii="Times New Roman" w:cs="Times New Roman" w:eastAsia="Times New Roman" w:hAnsi="Times New Roman"/>
          <w:sz w:val="18"/>
          <w:szCs w:val="18"/>
          <w:color w:val="auto"/>
        </w:rPr>
        <w:t>” for disclosure regarding the holders of our Common Shares.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Valuation of Portfolio Securities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will determine the net asset value per share of our Common Shares quarterly and as necessary for each Drawdown Purchase, which will be subject to the limitations of Section 23(b) under the 1940 Act (which generally prohibits us from issuing Common Shares at a price below the then-current net asset value of the Common Shares as determined within 48 hours, excluding Sundays and holidays, of such issuance (taking into account any investment valuation adjustments from the latest quarterly valuation date in accordance with the Fund’s valuation policy), subject to certain exceptions). The net asset value per share is equal to the value of our total assets minus liabilities and any preferred shares outstanding divided by the total number of Common Shares outstanding.</w:t>
      </w:r>
    </w:p>
    <w:p>
      <w:pPr>
        <w:spacing w:after="0" w:line="187"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Investments are valued at the end of each fiscal quarter. Substantially all of our investments are expected to be in loans that do not have readily ascertainable market prices. Assets that are not publicly traded or whose market prices are not readily available are valued at fair value as determined in good faith by the valuation committee of our Adviser and reviewed by the audit committee of our Board. The Board intends to retain independent providers of financial advisory and investment banking services to assist the Board by performing certain limited third-party valuation services. In connection with that determination, investment professionals from the Adviser will prepare portfolio company valuations using sources and/or proprietary models depending on the availability of information on our assets and the type of asset being valued, all in accordance with our valuation policy. The participation of the Adviser in our valuation process could result in a conflict of interest, since the Management Fee is based in part on our gross assets. However, no such conflict will be present while the Management Fee is being waived.</w:t>
      </w:r>
    </w:p>
    <w:p>
      <w:pPr>
        <w:spacing w:after="0" w:line="192"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Because fair valuations, and particularly fair valuations of private securities and private companies, are inherently uncertain, may fluctuate over short periods of time and are often based to a large extent on estimates, comparisons and qualitative evaluations of private information, our determinations of fair value may differ materially from the values that would have been determined if a ready market for these securities existed. This could make it more difficult for investors to value accurately our portfolio investments and could lead to undervaluation or overvaluation of our Common Shares. In addition, the valuation of these types of securities may result in substantial write-downs and earnings volatility.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To obtain and maintain our RIC tax status, we must distribute (or be treated as distributing) in each taxable year dividends for tax purposes of an amount equal to at least 90% of our investment company taxable income (which includes, among other items, dividends, interest, the excess of any net short-term capital gains over net long-term capital losses, as well as other taxable income, excluding any net capital gains reduced by deductible expenses) and 90% of our net tax-exempt income for that taxable year. As a RIC, we generally will not be subject to corporate-level U.S. federal income tax on our investment company taxable income and net capital gains that we distribute to shareholders. In addition, to avoid the imposition of a nondeductible 4% U.S. federal excise tax, we must distribute (or be treated as distributing) in each calendar year an amount at least equal to the sum of:</w:t>
      </w:r>
    </w:p>
    <w:p>
      <w:pPr>
        <w:spacing w:after="0" w:line="93" w:lineRule="exact"/>
        <w:rPr>
          <w:sz w:val="20"/>
          <w:szCs w:val="20"/>
          <w:color w:val="auto"/>
        </w:rPr>
      </w:pPr>
    </w:p>
    <w:p>
      <w:pPr>
        <w:ind w:left="1080" w:hanging="424"/>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 of our ordinary net income for the calendar year, excluding ordinary gains and losses, recognized during a calendar year;</w:t>
      </w:r>
    </w:p>
    <w:p>
      <w:pPr>
        <w:spacing w:after="0" w:line="157"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99</w:t>
      </w:r>
    </w:p>
    <w:p>
      <w:pPr>
        <w:sectPr>
          <w:pgSz w:w="11900" w:h="16838" w:orient="portrait"/>
          <w:cols w:equalWidth="0" w:num="1">
            <w:col w:w="11120"/>
          </w:cols>
          <w:pgMar w:left="320" w:top="455" w:right="4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300" w:hanging="424"/>
        <w:spacing w:after="0" w:line="282" w:lineRule="auto"/>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98.2% of our capital gain net income, adjusted for certain ordinary gains and losses, recognized for the twelve-month period ending on October 31 of such calendar year;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any income or gains recognized, but not distributed in preceding years.</w:t>
      </w:r>
    </w:p>
    <w:p>
      <w:pPr>
        <w:spacing w:after="0" w:line="225"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While we intend to distribute income and capital gains to minimize exposure to the 4% excise tax, we may not be able to, or may choose not to, distribute amounts sufficient to avoid the imposition of the tax entirely. In that event, we will be liable for the tax only on the amount by which we do not meet the foregoing distribution requirement.</w:t>
      </w:r>
    </w:p>
    <w:p>
      <w:pPr>
        <w:spacing w:after="0" w:line="176"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generally expect to distribute substantially all of our earnings on a quarterly basis, but will reinvest dividends on behalf of those investors that do not elect to receive their dividends in cash. See “Item 1 Business – Dividend Reinvestment Plan” for a description of our dividend policy. One or more of the considerations described below, however, could result in the deferral of dividend distributions until the end of the fiscal year:</w:t>
      </w:r>
    </w:p>
    <w:p>
      <w:pPr>
        <w:spacing w:after="0" w:line="176"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We may make investments that are subject to tax rules that require us to include amounts in our income before we receive cash corresponding to that income or that defer or limit our ability to claim the benefit of deductions or losses. For example, if we hold securities issued with original issue discount, that original issue discount may be accrued in income before we receive any corresponding cash payments. Similarly, the terms of the debt instruments that we hold may be modified under certain circumstances. These modifications may be considered “significant modifications” for U.S. federal income tax purposes that give rise to deemed debt-for-debt exchange upon which we may recognize taxable income or gain without a corresponding receipt of cash.</w:t>
      </w:r>
    </w:p>
    <w:p>
      <w:pPr>
        <w:spacing w:after="0" w:line="187"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In cases where our taxable income exceeds our available cash flow, we will need to fund distributions with the proceeds of sale of securities or with borrowed money, and may raise funds for this purpose opportunistically over the course of the year.</w:t>
      </w:r>
    </w:p>
    <w:p>
      <w:pPr>
        <w:spacing w:after="0" w:line="16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 certain circumstances (e.g., where we are required to recognize income before or without receiving cash representing such income), we may have difficulty making distributions in the amounts necessary to satisfy the requirements for maintaining RIC status and for avoiding U.S. federal income and excise taxes. Accordingly, we may have to sell investments at times we would not otherwise consider advantageous, raise additional debt or equity capital or reduce new investment originations to meet these distribution requirements. If we are not able to obtain cash from other sources, we may fail to qualify as a RIC and thereby be subject to corporate-level U.S. federal income tax.</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If in any particular taxable year, we do not qualify as a RIC, all of our taxable income (including our net capital gains) will be subject to tax at regular corporate rates without any deduction for distributions to shareholders, and distributions will be taxable to our shareholders as ordinary dividends to the extent of our current or accumulated earnings and profits, and distributions would not be required. Distributions in excess of our current and accumulated earnings and profits would be treated first as a return of capital to the extent of the shareholder’s tax basis, and any remaining distributions would be treated as capital gain. If we fail to qualify as a RIC for a period greater than two consecutive taxable years, to qualify as a RIC in a subsequent year we may be subject to regular corporate tax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five years.</w:t>
      </w:r>
    </w:p>
    <w:p>
      <w:pPr>
        <w:spacing w:after="0" w:line="192"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In the event we invest in foreign securities, we may be subject to withholding and other foreign taxes with respect to those securities. We do not expect to satisfy the conditions necessary to pass through to our shareholders their share of the foreign taxes paid by us.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100"/>
          </w:cols>
          <w:pgMar w:left="320" w:top="455" w:right="47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Reports to Shareholders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Fund will furnish to shareholders as soon as commercially practicable after the end of each taxable year and each calendar year such information as is necessary for them to complete U.S. federal and state income tax or information returns, along with any other tax information required by law.</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Annual and quarterly reports, including audited financial statements filed with the SEC, will be made available to investors.</w:t>
      </w:r>
    </w:p>
    <w:p>
      <w:pPr>
        <w:spacing w:after="0" w:line="225"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Depending on legal requirements, the Fund may provide this information to shareholders via U.S. mail or other courier, electronic delivery, or some combination of the foregoing. Information about the Fund will also be available on the SEC’s website at www.sec.gov.</w:t>
      </w:r>
    </w:p>
    <w:p>
      <w:pPr>
        <w:spacing w:after="0" w:line="306"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color w:val="auto"/>
        </w:rPr>
        <w:t>ITEM 10.</w:t>
      </w:r>
      <w:r>
        <w:rPr>
          <w:sz w:val="20"/>
          <w:szCs w:val="20"/>
          <w:color w:val="auto"/>
        </w:rPr>
        <w:tab/>
      </w:r>
      <w:r>
        <w:rPr>
          <w:rFonts w:ascii="Times New Roman" w:cs="Times New Roman" w:eastAsia="Times New Roman" w:hAnsi="Times New Roman"/>
          <w:sz w:val="17"/>
          <w:szCs w:val="17"/>
          <w:b w:val="1"/>
          <w:bCs w:val="1"/>
          <w:color w:val="auto"/>
        </w:rPr>
        <w:t>RECENT SALES OF UNREGISTERED SECURITIES</w:t>
      </w:r>
    </w:p>
    <w:p>
      <w:pPr>
        <w:spacing w:after="0" w:line="229"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have not yet commenced commercial activities. On June 24, 2022, our Adviser purchased $30,000 of Common Shares of the Fund at a price of $25.00 per Common Share as our initial capital. These Common Shares were issued and sold in reliance upon Section 4(a)(2) of the Securities Act, which provides an exemption from the registration requirements of the Securities Act.</w:t>
      </w:r>
    </w:p>
    <w:p>
      <w:pPr>
        <w:spacing w:after="0" w:line="32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color w:val="auto"/>
        </w:rPr>
        <w:t>ITEM 11.</w:t>
      </w:r>
      <w:r>
        <w:rPr>
          <w:sz w:val="20"/>
          <w:szCs w:val="20"/>
          <w:color w:val="auto"/>
        </w:rPr>
        <w:tab/>
      </w:r>
      <w:r>
        <w:rPr>
          <w:rFonts w:ascii="Times New Roman" w:cs="Times New Roman" w:eastAsia="Times New Roman" w:hAnsi="Times New Roman"/>
          <w:sz w:val="18"/>
          <w:szCs w:val="18"/>
          <w:b w:val="1"/>
          <w:bCs w:val="1"/>
          <w:color w:val="auto"/>
        </w:rPr>
        <w:t>DESCRIPTION OF REGISTRANT’S SECURITIES TO BE REGISTERED</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Description of our Common Shares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terms of the Declaration of Trust authorize an unlimited number of Common Shares, none of which is outstanding as of the date of this Registration Statement. There is currently no market for the Common Shares, and there can be no assurance that a market for the Common Shares will develop in the future.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Common Shares</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Under the terms of the Fund’s Declaration of Trust, all Common Shares, when they are issued in accordance with the terms of the Declaration of Trust, will be duly authorized, validly issued, fully paid and nonassessable. Dividends and distributions may be paid to shareholders if, as and when authorized by the Board of Trustees and declared by the Fund out of funds legally available therefore. Except as may be provided by the Board of Trustees in setting the terms of classified or reclassified shares, the Common Shares will have no preemptive, exchange, conversion, appraisal or redemption rights. In the event of liquidation, dissolution or winding up, each of the Common Shares would be entitled to share pro rata in all of the Fund’s assets that are legally available for distribution after the Fund pays all debts and other liabilities and subject to any preferential rights of holders of the Fund’s preferred shares, if any preferred shares are outstanding at such time. Subject to the rights of holders of any other class or series of shares, each whole share of the Common Shares will be entitled to one vote (and each fractional share of the Common Shares will be entitled to a proportionate fractional vote) on all matters submitted to a vote of shareholders, including the election of Trustees. Except as may be provided by the Board of Trustees in setting the terms of classified or reclassified shares, and subject to the express terms of any class or series of preferred shares, the shareholders shall have no power to vote on any matter except matters on which a vote of shareholders is required by the 1940 Act, the Declaration of Trust or resolution of the Trustees or, after an Exchange Listing, by any applicable stock exchange. There will be no cumulative voting in the election or removal of Trustees. Subject to the special rights of the holders of any class or series of preferred shares to elect Trustees, each Trustee will be elected by a plurality of the votes cast with respect to such Trustee’s election. Pursuant to, and in accordance with, the Fund’s Declaration of Trust, the Fund’s Board of Trustees may amend the Declaration of Trust to alter the vote required to elect trustees.</w:t>
      </w:r>
    </w:p>
    <w:p>
      <w:pPr>
        <w:spacing w:after="0" w:line="12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080"/>
          </w:cols>
          <w:pgMar w:left="320" w:top="455" w:right="49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Preferred Shares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Under the terms of the Declaration of Trust, our Board of Trustees is authorized to issue preferred shares in one or more series without shareholder approval. Prior to the issuance of shares of each series, our Board of Trustees is required by the Declaration of Trust to set the terms, preferences, conversion or other rights, voting powers, restrictions, limitations as to distributions, qualifications and terms or conditions of redemption for each series. The 1940 Act limits our flexibility as certain rights and preferences of the preferred shares require, among other things: (i) immediately after issuance and before any distribution is made with respect to shares, we must meet an asset coverage ratio of total assets to total senior securities, which include all of our borrowings and preferred shares, of at least 150%; and (ii) the holders of preferred shares, if any are issued, must be entitled as a class to elect two Trustees at all times and to elect a majority of the Trustees if and for so long as dividends on the preferred shares are unpaid in an amount equal to two full years of dividends on the preferred shares.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Transfer and Resale Restrictions</w:t>
      </w:r>
    </w:p>
    <w:p>
      <w:pPr>
        <w:spacing w:after="0" w:line="121"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To the fullest extent permitted by law, prior to an Exchange Listing (or such other time pursuant to any agreements between the Fund and shareholders), shareholders may not sell, assign, transfer or otherwise dispose of (a “Transfer”) any Common Shares unless (i) the Adviser, in its sole discretion, gives its consent and, if required by our lending arrangements, our lenders give consent and (ii) the Transfer is made in accordance with applicable securities laws. No Transfer will be effectuated except by registration of the Transfer on our books. Each transferee must agree to be bound by these restrictions and all other obligations as a shareholder.</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Redemptions by the Fund</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Each Common Share is subject to redemption (out of the assets of the Fund) by the Fund at the redemption price equal to the then current NAV per Common Share of the Fund determined in accordance with the Declaration of Trust at any time if the Trustees determine in their sole discretion that a shareholder has breached any of its representations or warranties contained in such shareholder’s Subscription Agreement with the Fund, and upon such redemption the holders of the Common Shares so redeemed shall have no further right with respect thereto other than to receive payment of such redemption price.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Delaware Law and Certain Declaration of Trust Provisions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Organization and Duration</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We intend to be formed as a Delaware statutory trust and will remain in existence until dissolved in accordance with our Declaration of Trust or pursuant to Delaware law.</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Purpose</w:t>
      </w:r>
    </w:p>
    <w:p>
      <w:pPr>
        <w:spacing w:after="0" w:line="121" w:lineRule="exact"/>
        <w:rPr>
          <w:sz w:val="20"/>
          <w:szCs w:val="20"/>
          <w:color w:val="auto"/>
        </w:rPr>
      </w:pPr>
    </w:p>
    <w:p>
      <w:pPr>
        <w:ind w:left="120" w:right="100" w:firstLine="440"/>
        <w:spacing w:after="0" w:line="274" w:lineRule="auto"/>
        <w:rPr>
          <w:sz w:val="20"/>
          <w:szCs w:val="20"/>
          <w:color w:val="auto"/>
        </w:rPr>
      </w:pPr>
      <w:r>
        <w:rPr>
          <w:rFonts w:ascii="Times New Roman" w:cs="Times New Roman" w:eastAsia="Times New Roman" w:hAnsi="Times New Roman"/>
          <w:sz w:val="17"/>
          <w:szCs w:val="17"/>
          <w:color w:val="auto"/>
        </w:rPr>
        <w:t>Under the Declaration of Trust, the purpose of the Fund is to conduct, operate and carry on the business of a business development company within the meaning of the 1940 Act. In furtherance of the foregoing, it shall be the purpose of the Fund to do everything necessary, suitable, convenient or proper for the conduct, promotion and attainment of any businesses and purposes which at any time may be incidental or may appear conducive or expedient for the accomplishment of the business of a business development company regulated under the 1940 Act and which may be engaged in or carried on by a statutory trust organized under the Delaware Statutory Trust Statute, and in connection therewith the Fund shall have the power and authority to engage in the foregoing and may exercise all of the powers conferred by the laws of the State of Delaware upon a Delaware statutory trust.</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Agreement to be Bound by the Declaration of Trust; Power of Attorney</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By subscribing for the Common Shares, investors will be deemed to have agreed to be bound by the terms of the Declaration of Trust. Pursuant to the Declaration of Trust, each shareholder and each person who acquires Common Shares from a shareholder grants to the Trustees and the officers of the Fund (and any substitute or successor Trustees or any substitute or successor officer of the Fund) (and, if appointed, any liquidator of the Fund) a</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120"/>
          </w:cols>
          <w:pgMar w:left="320" w:top="455" w:right="45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power of attorney to, among other things, execute and file documents required for our qualification, continuance or dissolution. The power of attorney also grants our Board of Trustees the authority to make certain amendments to, and to make consents and waivers under and in accordance with, the Declaration of Trust.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Action by Shareholders</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shareholders will only have voting rights as required by the 1940 Act or as otherwise provided for in the Declaration of Trust. Under the Declaration of Trust, the Fund is not required to hold annual meetings and does not intend to do so. Special meetings called by the Trustees will be limited to the purposes for any such special meeting set forth in the notice thereof. Special meetings shall be called by any Trustee for any proper purpose upon written request of shareholders of the Fund holding in the aggregate not less than thirty-three and one-third percent (331/3%) of the outstanding Common Shares of the Fund, such request specifying the purpose or purposes for which such meeting is to be called, provided that in the case of a meeting called by any Trustee at the request of shareholders for the purpose of electing Trustees or removing the Adviser, written request of shareholders of the Fund holding in the aggregate not less than fifty-one percent (51%) of the outstanding Common Shares of the Fund or class or series of Common Shares having voting rights on the matter shall be required. These provisions will have the effect of significantly reducing the ability of shareholders being able to have proposals considered at a meeting of shareholders.</w:t>
      </w:r>
    </w:p>
    <w:p>
      <w:pPr>
        <w:spacing w:after="0" w:line="188"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With respect to special meetings of shareholders, only the business specified in our notice of the meeting may be brought before the meeting. Nominations of persons for election to the Board of Trustees at a special meeting may be made only (1) pursuant to our notice of the meeting, (2) by the Board of Trustees or (3) provided that the Board of Trustees has determined that trustees will be elected at the meeting, by a shareholder who is entitled to vote at the meeting.</w:t>
      </w:r>
    </w:p>
    <w:p>
      <w:pPr>
        <w:spacing w:after="0" w:line="180"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A Trustee may be removed for cause only by action taken by a majority of the remaining Trustees (or in the case of the removal of a Trustee that is not an “interested person” as defined in the 1940 Act, a majority of the remaining Trustees that are not “interested persons” as defined in the 1940 Act) and by the holders of at least a majority of the Common Shares then entitled to vote in an election of such Trustee.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Amendment of the Declaration of Trust; No Approval by Shareholders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Trustees may, without shareholder vote, amend or otherwise supplement the Declaration of Trust. Shareholders shall only have the right to</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vote: (i) on any amendment to the amendment provision of the Declaration of Trust, (ii) on any amendment that would adversely affect the powers,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preferences or special rights of the Common Shares as determined by the Trustees in good faith and (iii) on any amendment submitted to them by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Trustees. In addition, notwithstanding anything to the contrary in the Declaration of Trust, in connection with an Exchange Listing, the Trustees may,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without the approval or vote of the shareholders, amend or supplement the Declaration of Trust in any manner, including, without limitation to classify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Board of Trustees, to permit annual meetings of shareholders, to impose advance notice provisions for the bringing of shareholder nominations 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proposals, to impose super-majority approval for certain types of transactions, to impose “control share” type provisions and to otherwise add provisions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that may be deemed adverse to shareholders. A proposed amendment to the Declaration of Trust requires the affirmative vote of a majority of the Board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Trustees present (a quorum being present) at a meeting for adoption or, without a meeting, written consent to the amendment by the number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Trustees required for approval at a meeting of the Trustees at which all of the Trustees are present and voted.</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Merger, Conversion, Sale or Other Disposition of Assets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Board of Trustees may, without the approval of holders of our outstanding Common Shares, cause us to, among other things, sell, exchange or otherwise dispose of all or substantially all of our assets in a single transaction or a series of related transactions, or approve on our behalf the sale, exchange or other disposition of all or substantially all of our assets. The Board of Trustees also may, without the approval of holders of our outstanding Common Shares, cause and approve a merger, conversion or other reorganization of the Fund. For example, upon consummation of the Exchange Listing, the Board is able to cause the Fund to reorganize as a Maryland corporation. The Board of Trustees may also cause the sale of all or substantially all of our assets under a foreclosure or other realization without shareholder approval. Shareholders are not entitled to dissenters’ rights of</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120"/>
          </w:cols>
          <w:pgMar w:left="320" w:top="455" w:right="4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appraisal under the Declaration of Trust or applicable Delaware law in the event of a merger, conversion or consolidation, a sale of all or substantially all of our assets or any other similar transaction or event. Notwithstanding the foregoing, shareholders will be given an opportunity to vote on such a transaction if required by the 1940 Act or if such a transaction is otherwise reasonably anticipated to result in a material dilution of the NAV per Share of the Fund.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Derivative Actions</w:t>
      </w:r>
    </w:p>
    <w:p>
      <w:pPr>
        <w:spacing w:after="0" w:line="121"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No person, other than a Trustee, who is not a shareholder shall be entitled to bring any derivative action, suit or other proceeding on behalf of the Fund. No shareholder may maintain a derivative action on behalf of the Fund unless holders of a certain percentage of the outstanding Common Shares, as disclosed in our Declaration of Trust, join in the bringing of such action.</w:t>
      </w:r>
    </w:p>
    <w:p>
      <w:pPr>
        <w:spacing w:after="0" w:line="176"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In addition to the requirements set forth in Section 3816 of the Delaware Statutory Trust Statute, a shareholder may bring a derivative action on behalf of the Fund only if the following conditions are met: (i) the shareholder or shareholders must make a pre-suit demand upon the Board of Trustees to bring the subject action unless an effort to cause the Board of Trustees to bring such an action is not likely to succeed; and a demand on the Board of Trustees shall only be deemed not likely to succeed and therefore excused if a majority of the Board of Trustees, or a majority of any committee established to consider the merits of such action, is composed of Trustees who are not “independent trustees” (as that term is defined in the Delaware Statutory Trust Statute); and (ii) unless a demand is not required under clause (i) above, the Board of Trustees must be afforded a reasonable amount of time to consider such shareholder request and to investigate the basis of such claim; and the Board of Trustees shall be entitled to retain counsel and other advisors in considering the merits of the request and may require an undertaking by the shareholders making such request to reimburse the Fund for the expense of any such counsel and advisors in the event that the Board of Trustees determines not to bring such action. The conditions on a shareholder’s ability to bring a derivative action do not apply to claims arising under the federal securities laws. For purposes of this paragraph, the Board of Trustees may designate a committee of one or more Trustees to consider a shareholder demand.</w:t>
      </w:r>
    </w:p>
    <w:p>
      <w:pPr>
        <w:spacing w:after="0" w:line="19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In addition to all suits, claims or other actions (collectively, “claims”) that under applicable law must be brought as derivative claims, each shareholder agrees that any claim that affects all shareholders of the Fund or any series or class equally, that is, proportionately based on their number of Common Shares in the Fund or in such series of class, must be brought as a derivative claim subject to the derivative actions section of the Declaration of Trust irrespective of whether such claim involves a violation of the shareholder’s rights under the Declaration of Trust or any other alleged violation of contractual or individual rights that might otherwise give rise to a direct claim.</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Exclusive Delaware Jurisdiction</w:t>
      </w:r>
    </w:p>
    <w:p>
      <w:pPr>
        <w:spacing w:after="0" w:line="121"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Each Trustee, each officer and, except as otherwise agreed in writing by the Fund, the Adviser and/or affiliates of the Adviser, each person legally or beneficially owning a Common Share or an interest in a Common Share of the Fund (whether through a broker, dealer, bank, trust company or clearing corporation or an agent of any of the foregoing or otherwise), to the fullest extent permitted by law, including Section 3804(e) of the Delaware Statutory Trust Statute, (i) irrevocably agrees that any claims, suits, actions or proceedings asserting a claim governed by the internal affairs (or similar) doctrine or arising out of or relating in any way to the Fund, the Delaware Statutory Trust Statute, the Declaration of Trust or the bylaws of the Fund (including, without limitation, any claims, suits, actions or proceedings to interpret, apply or enforce (A) the provisions of the Declaration of Trust or the bylaws of the Fund, or (B) the duties (including fiduciary duties), obligations or liabilities of the Fund to the shareholders or the Board of Trustees, or of officers or the Board of Trustees to the Fund, to the shareholders or each other, or (C) the rights or powers of, or restrictions on, the Fund, the officers, the Board of Trustees or the shareholders, or (D) any provision of the Delaware Statutory Trust Statute or other laws of the State of Delaware pertaining to trusts made applicable to the Fund pursuant to Section 3809 of the Delaware Statutory Trust Statute, or (E) any other instrument, document, agreement or certificate contemplated by any provision of the Delaware Statutory Trust Statute, the Declaration of Trust or the bylaws of the Fund relating in any way to the Fund (regardless, in each case, of whether such claims, suits, actions or proceedings (x) sound in contract, tort, fraud or otherwise, (y) are based on common law, statutory, equitable, legal or other grounds, or (z) are derivative or direct claims)), shall be exclusively brought in the Court of Chancery of the State of Delaware or, if such court does not have subject matter jurisdiction thereof, any other court in the State of Delaware with subject matter jurisdiction; provided, however, that the Federal District Courts of the United States of America shall, to the fullest</w:t>
      </w:r>
    </w:p>
    <w:p>
      <w:pPr>
        <w:spacing w:after="0" w:line="12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140"/>
          </w:cols>
          <w:pgMar w:left="320" w:top="455" w:right="4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extent permitted by law, be the sole and exclusive forum for the resolution of any complaint asserting a cause of action arising under the 1940 Act, the Securities Act of 1933, as amended, and the Securities Exchange Act of 1934, as amended, (ii) irrevocably submits to the exclusive jurisdiction of such courts in connection with any such claim, suit, action or proceeding, (iii) irrevocably agrees not to, and waives any right to, assert in any such claim, suit, action or proceeding that (A) it is not personally subject to the jurisdiction of such courts or any other court to which proceedings in such courts may be appealed, (B) such claim, suit, action or proceeding is brought in an inconvenient forum, or (C) the venue of such claim, suit, action or proceeding is improper, (iv) consents to process being served in any such claim, suit, action or proceeding by mailing, certified mail, return receipt requested, a copy thereof to such party at the address in effect for notices under the Declaration of Trust, and agrees that such service shall constitute good and sufficient service of process and notice thereof; provided, nothing in clause (iv) hereof shall affect or limit any right to serve process in any other manner permitted by law, and (v) irrevocably waives any and all right to trial by jury in any such claim, suit, action or proceeding.</w:t>
      </w:r>
    </w:p>
    <w:p>
      <w:pPr>
        <w:spacing w:after="0" w:line="12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020"/>
          </w:cols>
          <w:pgMar w:left="320" w:top="455" w:right="5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Term of the Fund</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If the Fund has not consummated an Exchange Listing within the 10-year anniversary of the Effective Date, subject to up to two one-year extensions if requested by the Adviser and approved by a majority of our Board, including a majority of our Independent Trustees, then our Board (subject to any necessary shareholder approvals and applicable requirements of the 1940 Act) will, within a reasonable period of time, wind down and/or liquidate and dissolve the Fund.</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Books and Reports</w:t>
      </w:r>
    </w:p>
    <w:p>
      <w:pPr>
        <w:spacing w:after="0" w:line="121"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We are required to keep appropriate books of our business at our principal offices. The books will be maintained for both tax and financial reporting purposes on an accrual basis in accordance with GAAP.</w:t>
      </w:r>
    </w:p>
    <w:p>
      <w:pPr>
        <w:spacing w:after="0" w:line="306"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color w:val="auto"/>
        </w:rPr>
        <w:t>ITEM 12.</w:t>
      </w:r>
      <w:r>
        <w:rPr>
          <w:sz w:val="20"/>
          <w:szCs w:val="20"/>
          <w:color w:val="auto"/>
        </w:rPr>
        <w:tab/>
      </w:r>
      <w:r>
        <w:rPr>
          <w:rFonts w:ascii="Times New Roman" w:cs="Times New Roman" w:eastAsia="Times New Roman" w:hAnsi="Times New Roman"/>
          <w:sz w:val="17"/>
          <w:szCs w:val="17"/>
          <w:b w:val="1"/>
          <w:bCs w:val="1"/>
          <w:color w:val="auto"/>
        </w:rPr>
        <w:t>INDEMNIFICATION OF TRUSTEES AND OFFICERS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Declaration of Trust provides that, to the fullest extent permitted by applicable law, none of the Fund’s officers, trustees or employees (each, an “Indemnified Person”) will be liable to the Fund or to any shareholder for any act or omission performed or omitted by any such Indemnified Person (including any acts or omissions of or by another Indemnified Person), in the absence of willful misfeasance, gross negligence, bad faith, reckless disregard of the duties involved in the conduct of such Indemnified Person’s respective position or criminal wrongdoing on its part (“Indemnified Person Disabling Conduct”).</w:t>
      </w:r>
    </w:p>
    <w:p>
      <w:pPr>
        <w:spacing w:after="0" w:line="183" w:lineRule="exact"/>
        <w:rPr>
          <w:sz w:val="20"/>
          <w:szCs w:val="20"/>
          <w:color w:val="auto"/>
        </w:rPr>
      </w:pPr>
    </w:p>
    <w:p>
      <w:pPr>
        <w:ind w:left="120" w:right="500" w:firstLine="440"/>
        <w:spacing w:after="0" w:line="266" w:lineRule="auto"/>
        <w:rPr>
          <w:sz w:val="20"/>
          <w:szCs w:val="20"/>
          <w:color w:val="auto"/>
        </w:rPr>
      </w:pPr>
      <w:r>
        <w:rPr>
          <w:rFonts w:ascii="Times New Roman" w:cs="Times New Roman" w:eastAsia="Times New Roman" w:hAnsi="Times New Roman"/>
          <w:sz w:val="18"/>
          <w:szCs w:val="18"/>
          <w:color w:val="auto"/>
        </w:rPr>
        <w:t>The Fund will indemnify each Indemnified Person for any loss or damage incurred by it in connection with any matter arising out of, or in connection with, the Fund, including the operations of the Fund and the offering of Common Shares, except for losses incurred by an Indemnified Person arising solely from the Indemnified Person’s own Indemnified Person Disabling Conduct.</w:t>
      </w:r>
    </w:p>
    <w:p>
      <w:pPr>
        <w:spacing w:after="0" w:line="176"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Under the indemnification provision of the Declaration of Trust, expenses (including attorneys’ fees) incurred by each Indemnified Person in defending any action, suit or proceeding for which they may be entitled to indemnification shall be paid in advance of the final disposition of the action, suit or proceeding. However, any such indemnification or payment or reimbursement of expenses will be subject to the applicable requirements of the 1940 Act.</w:t>
      </w:r>
    </w:p>
    <w:p>
      <w:pPr>
        <w:spacing w:after="0" w:line="180"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So long as the Fund is regulated under the 1940 Act, the above indemnification and limitation of liability is limited by the 1940 Act or by any valid rule, regulation or order of the SEC thereunder. The 1940 Act provides, among other things, that a company may not indemnify any trustee or officer against liability to it or its security holders to which he or she might otherwise be subject by reason of his or her willful misfeasance, bad faith or gross negligence. In addition, the Fund has obtained liability insurance for its officers and trustees.</w:t>
      </w:r>
    </w:p>
    <w:p>
      <w:pPr>
        <w:spacing w:after="0" w:line="324"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color w:val="auto"/>
        </w:rPr>
        <w:t>ITEM 13.</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Set forth below is an index to our financial statements attached to this Registration Statement.</w:t>
      </w:r>
    </w:p>
    <w:p>
      <w:pPr>
        <w:spacing w:after="0" w:line="117"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480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Report of Independent Registered Public Accounting Firm</w:t>
            </w:r>
          </w:p>
        </w:tc>
        <w:tc>
          <w:tcPr>
            <w:tcW w:w="6160" w:type="dxa"/>
            <w:vAlign w:val="bottom"/>
          </w:tcPr>
          <w:p>
            <w:pPr>
              <w:ind w:left="5900"/>
              <w:spacing w:after="0"/>
              <w:rPr>
                <w:sz w:val="20"/>
                <w:szCs w:val="20"/>
                <w:color w:val="auto"/>
              </w:rPr>
            </w:pPr>
            <w:r>
              <w:rPr>
                <w:rFonts w:ascii="Times New Roman" w:cs="Times New Roman" w:eastAsia="Times New Roman" w:hAnsi="Times New Roman"/>
                <w:sz w:val="18"/>
                <w:szCs w:val="18"/>
                <w:color w:val="auto"/>
                <w:w w:val="95"/>
              </w:rPr>
              <w:t>F-2</w:t>
            </w:r>
          </w:p>
        </w:tc>
      </w:tr>
      <w:tr>
        <w:trPr>
          <w:trHeight w:val="196"/>
        </w:trPr>
        <w:tc>
          <w:tcPr>
            <w:tcW w:w="314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Statement of Assets and Liabilities as of [</w:t>
            </w:r>
          </w:p>
        </w:tc>
        <w:tc>
          <w:tcPr>
            <w:tcW w:w="100" w:type="dxa"/>
            <w:vAlign w:val="bottom"/>
            <w:tcBorders>
              <w:top w:val="single" w:sz="8" w:color="0000EE"/>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rPr>
              <w:t>]</w:t>
            </w:r>
          </w:p>
        </w:tc>
        <w:tc>
          <w:tcPr>
            <w:tcW w:w="80" w:type="dxa"/>
            <w:vAlign w:val="bottom"/>
            <w:tcBorders>
              <w:top w:val="single" w:sz="8" w:color="0000EE"/>
            </w:tcBorders>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580" w:type="dxa"/>
            <w:vAlign w:val="bottom"/>
          </w:tcPr>
          <w:p>
            <w:pPr>
              <w:spacing w:after="0"/>
              <w:rPr>
                <w:sz w:val="17"/>
                <w:szCs w:val="17"/>
                <w:color w:val="auto"/>
              </w:rPr>
            </w:pPr>
          </w:p>
        </w:tc>
        <w:tc>
          <w:tcPr>
            <w:tcW w:w="6160" w:type="dxa"/>
            <w:vAlign w:val="bottom"/>
          </w:tcPr>
          <w:p>
            <w:pPr>
              <w:ind w:left="5900"/>
              <w:spacing w:after="0" w:line="196" w:lineRule="exact"/>
              <w:rPr>
                <w:sz w:val="20"/>
                <w:szCs w:val="20"/>
                <w:color w:val="auto"/>
              </w:rPr>
            </w:pPr>
            <w:r>
              <w:rPr>
                <w:rFonts w:ascii="Times New Roman" w:cs="Times New Roman" w:eastAsia="Times New Roman" w:hAnsi="Times New Roman"/>
                <w:sz w:val="18"/>
                <w:szCs w:val="18"/>
                <w:color w:val="auto"/>
                <w:w w:val="95"/>
              </w:rPr>
              <w:t>F-3</w:t>
            </w:r>
          </w:p>
        </w:tc>
      </w:tr>
      <w:tr>
        <w:trPr>
          <w:trHeight w:val="196"/>
        </w:trPr>
        <w:tc>
          <w:tcPr>
            <w:tcW w:w="3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Statement of Operations for period ended [</w:t>
            </w:r>
          </w:p>
        </w:tc>
        <w:tc>
          <w:tcPr>
            <w:tcW w:w="1080" w:type="dxa"/>
            <w:vAlign w:val="bottom"/>
            <w:gridSpan w:val="3"/>
          </w:tcPr>
          <w:p>
            <w:pPr>
              <w:jc w:val="right"/>
              <w:ind w:right="900"/>
              <w:spacing w:after="0" w:line="196" w:lineRule="exact"/>
              <w:rPr>
                <w:sz w:val="20"/>
                <w:szCs w:val="20"/>
                <w:color w:val="auto"/>
              </w:rPr>
            </w:pPr>
            <w:r>
              <w:rPr>
                <w:rFonts w:ascii="Times New Roman" w:cs="Times New Roman" w:eastAsia="Times New Roman" w:hAnsi="Times New Roman"/>
                <w:sz w:val="18"/>
                <w:szCs w:val="18"/>
                <w:color w:val="0000EE"/>
              </w:rPr>
              <w:t>]</w:t>
            </w:r>
          </w:p>
        </w:tc>
        <w:tc>
          <w:tcPr>
            <w:tcW w:w="580" w:type="dxa"/>
            <w:vAlign w:val="bottom"/>
          </w:tcPr>
          <w:p>
            <w:pPr>
              <w:spacing w:after="0"/>
              <w:rPr>
                <w:sz w:val="17"/>
                <w:szCs w:val="17"/>
                <w:color w:val="auto"/>
              </w:rPr>
            </w:pPr>
          </w:p>
        </w:tc>
        <w:tc>
          <w:tcPr>
            <w:tcW w:w="6160" w:type="dxa"/>
            <w:vAlign w:val="bottom"/>
          </w:tcPr>
          <w:p>
            <w:pPr>
              <w:ind w:left="5900"/>
              <w:spacing w:after="0" w:line="196" w:lineRule="exact"/>
              <w:rPr>
                <w:sz w:val="20"/>
                <w:szCs w:val="20"/>
                <w:color w:val="auto"/>
              </w:rPr>
            </w:pPr>
            <w:r>
              <w:rPr>
                <w:rFonts w:ascii="Times New Roman" w:cs="Times New Roman" w:eastAsia="Times New Roman" w:hAnsi="Times New Roman"/>
                <w:sz w:val="18"/>
                <w:szCs w:val="18"/>
                <w:color w:val="auto"/>
                <w:w w:val="95"/>
              </w:rPr>
              <w:t>F-4</w:t>
            </w:r>
          </w:p>
        </w:tc>
      </w:tr>
      <w:tr>
        <w:trPr>
          <w:trHeight w:val="196"/>
        </w:trPr>
        <w:tc>
          <w:tcPr>
            <w:tcW w:w="314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Notes to the Financial Statements</w:t>
            </w: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160" w:type="dxa"/>
            <w:vAlign w:val="bottom"/>
          </w:tcPr>
          <w:p>
            <w:pPr>
              <w:ind w:left="5900"/>
              <w:spacing w:after="0" w:line="196" w:lineRule="exact"/>
              <w:rPr>
                <w:sz w:val="20"/>
                <w:szCs w:val="20"/>
                <w:color w:val="auto"/>
              </w:rPr>
            </w:pPr>
            <w:r>
              <w:rPr>
                <w:rFonts w:ascii="Times New Roman" w:cs="Times New Roman" w:eastAsia="Times New Roman" w:hAnsi="Times New Roman"/>
                <w:sz w:val="18"/>
                <w:szCs w:val="18"/>
                <w:color w:val="auto"/>
                <w:w w:val="95"/>
              </w:rPr>
              <w:t>F-5</w:t>
            </w:r>
          </w:p>
        </w:tc>
      </w:tr>
      <w:tr>
        <w:trPr>
          <w:trHeight w:val="385"/>
        </w:trPr>
        <w:tc>
          <w:tcPr>
            <w:tcW w:w="2420" w:type="dxa"/>
            <w:vAlign w:val="bottom"/>
            <w:tcBorders>
              <w:top w:val="single" w:sz="8" w:color="0000EE"/>
            </w:tcBorders>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1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106</w:t>
            </w:r>
          </w:p>
        </w:tc>
      </w:tr>
    </w:tbl>
    <w:p>
      <w:pPr>
        <w:sectPr>
          <w:pgSz w:w="11900" w:h="16838" w:orient="portrait"/>
          <w:cols w:equalWidth="0" w:num="1">
            <w:col w:w="11120"/>
          </w:cols>
          <w:pgMar w:left="320" w:top="455" w:right="4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color w:val="auto"/>
        </w:rPr>
        <w:t>ITEM 14.</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There are not and have not been any disagreements between us and our accountant on any matter of accounting principles, practices, or financial statement disclosure.</w:t>
      </w:r>
    </w:p>
    <w:p>
      <w:pPr>
        <w:spacing w:after="0" w:line="306"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color w:val="auto"/>
        </w:rPr>
        <w:t>ITEM 15.</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35" w:lineRule="exact"/>
        <w:rPr>
          <w:sz w:val="20"/>
          <w:szCs w:val="20"/>
          <w:color w:val="auto"/>
        </w:rPr>
      </w:pPr>
    </w:p>
    <w:p>
      <w:pPr>
        <w:ind w:left="660" w:hanging="544"/>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 separately all financial statements filed</w:t>
      </w:r>
    </w:p>
    <w:p>
      <w:pPr>
        <w:spacing w:after="0" w:line="11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financial statements attached to this Registration Statement are listed under “</w:t>
      </w:r>
      <w:r>
        <w:rPr>
          <w:rFonts w:ascii="Times New Roman" w:cs="Times New Roman" w:eastAsia="Times New Roman" w:hAnsi="Times New Roman"/>
          <w:sz w:val="18"/>
          <w:szCs w:val="18"/>
          <w:i w:val="1"/>
          <w:iCs w:val="1"/>
          <w:color w:val="auto"/>
        </w:rPr>
        <w:t>Item 13. Financial Statements and Supplementary Data</w:t>
      </w:r>
      <w:r>
        <w:rPr>
          <w:rFonts w:ascii="Times New Roman" w:cs="Times New Roman" w:eastAsia="Times New Roman" w:hAnsi="Times New Roman"/>
          <w:sz w:val="18"/>
          <w:szCs w:val="18"/>
          <w:color w:val="auto"/>
        </w:rPr>
        <w:t>.”</w:t>
      </w:r>
    </w:p>
    <w:p>
      <w:pPr>
        <w:spacing w:after="0" w:line="133" w:lineRule="exact"/>
        <w:rPr>
          <w:sz w:val="20"/>
          <w:szCs w:val="20"/>
          <w:color w:val="auto"/>
        </w:rPr>
      </w:pPr>
    </w:p>
    <w:p>
      <w:pPr>
        <w:ind w:left="660" w:hanging="544"/>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135" w:lineRule="exact"/>
        <w:rPr>
          <w:sz w:val="20"/>
          <w:szCs w:val="20"/>
          <w:color w:val="auto"/>
        </w:rPr>
      </w:pPr>
    </w:p>
    <w:p>
      <w:pPr>
        <w:ind w:left="200"/>
        <w:spacing w:after="0"/>
        <w:tabs>
          <w:tab w:leader="none" w:pos="76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u w:val="single" w:color="auto"/>
          <w:color w:val="0000EE"/>
        </w:rPr>
        <w:t>Amended and Restated Declaration of Trust*</w:t>
      </w:r>
    </w:p>
    <w:p>
      <w:pPr>
        <w:spacing w:after="0" w:line="117" w:lineRule="exact"/>
        <w:rPr>
          <w:sz w:val="20"/>
          <w:szCs w:val="20"/>
          <w:color w:val="auto"/>
        </w:rPr>
      </w:pPr>
    </w:p>
    <w:p>
      <w:pPr>
        <w:ind w:left="200"/>
        <w:spacing w:after="0"/>
        <w:tabs>
          <w:tab w:leader="none" w:pos="76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7"/>
          <w:szCs w:val="17"/>
          <w:u w:val="single" w:color="auto"/>
          <w:color w:val="0000EE"/>
        </w:rPr>
        <w:t>Bylaws*</w:t>
      </w:r>
    </w:p>
    <w:p>
      <w:pPr>
        <w:spacing w:after="0" w:line="117" w:lineRule="exact"/>
        <w:rPr>
          <w:sz w:val="20"/>
          <w:szCs w:val="20"/>
          <w:color w:val="auto"/>
        </w:rPr>
      </w:pPr>
    </w:p>
    <w:p>
      <w:pPr>
        <w:ind w:left="200"/>
        <w:spacing w:after="0"/>
        <w:tabs>
          <w:tab w:leader="none" w:pos="76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u w:val="single" w:color="auto"/>
          <w:color w:val="0000EE"/>
        </w:rPr>
        <w:t>Form of Subscription Agreement*</w:t>
      </w:r>
    </w:p>
    <w:p>
      <w:pPr>
        <w:spacing w:after="0" w:line="117" w:lineRule="exact"/>
        <w:rPr>
          <w:sz w:val="20"/>
          <w:szCs w:val="20"/>
          <w:color w:val="auto"/>
        </w:rPr>
      </w:pPr>
    </w:p>
    <w:p>
      <w:pPr>
        <w:ind w:left="120"/>
        <w:spacing w:after="0"/>
        <w:tabs>
          <w:tab w:leader="none" w:pos="76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u w:val="single" w:color="auto"/>
          <w:color w:val="0000EE"/>
        </w:rPr>
        <w:t>Advisory Agreement*</w:t>
      </w:r>
    </w:p>
    <w:p>
      <w:pPr>
        <w:spacing w:after="0" w:line="117" w:lineRule="exact"/>
        <w:rPr>
          <w:sz w:val="20"/>
          <w:szCs w:val="20"/>
          <w:color w:val="auto"/>
        </w:rPr>
      </w:pPr>
    </w:p>
    <w:p>
      <w:pPr>
        <w:ind w:left="120"/>
        <w:spacing w:after="0"/>
        <w:tabs>
          <w:tab w:leader="none" w:pos="76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7"/>
          <w:szCs w:val="17"/>
          <w:u w:val="single" w:color="auto"/>
          <w:color w:val="0000EE"/>
        </w:rPr>
        <w:t>Administration Agreement*</w:t>
      </w:r>
    </w:p>
    <w:p>
      <w:pPr>
        <w:spacing w:after="0" w:line="117" w:lineRule="exact"/>
        <w:rPr>
          <w:sz w:val="20"/>
          <w:szCs w:val="20"/>
          <w:color w:val="auto"/>
        </w:rPr>
      </w:pPr>
    </w:p>
    <w:p>
      <w:pPr>
        <w:ind w:left="120"/>
        <w:spacing w:after="0"/>
        <w:tabs>
          <w:tab w:leader="none" w:pos="76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7"/>
          <w:szCs w:val="17"/>
          <w:u w:val="single" w:color="auto"/>
          <w:color w:val="0000EE"/>
        </w:rPr>
        <w:t>Trademark and License Agreement*</w:t>
      </w:r>
    </w:p>
    <w:p>
      <w:pPr>
        <w:spacing w:after="0" w:line="117" w:lineRule="exact"/>
        <w:rPr>
          <w:sz w:val="20"/>
          <w:szCs w:val="20"/>
          <w:color w:val="auto"/>
        </w:rPr>
      </w:pPr>
    </w:p>
    <w:p>
      <w:pPr>
        <w:ind w:left="120"/>
        <w:spacing w:after="0"/>
        <w:tabs>
          <w:tab w:leader="none" w:pos="7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7"/>
          <w:szCs w:val="17"/>
          <w:u w:val="single" w:color="auto"/>
          <w:color w:val="0000EE"/>
        </w:rPr>
        <w:t>Dividend Reinvestment Plan*</w:t>
      </w:r>
    </w:p>
    <w:p>
      <w:pPr>
        <w:spacing w:after="0" w:line="117" w:lineRule="exact"/>
        <w:rPr>
          <w:sz w:val="20"/>
          <w:szCs w:val="20"/>
          <w:color w:val="auto"/>
        </w:rPr>
      </w:pPr>
    </w:p>
    <w:p>
      <w:pPr>
        <w:ind w:left="120"/>
        <w:spacing w:after="0"/>
        <w:tabs>
          <w:tab w:leader="none" w:pos="760" w:val="left"/>
        </w:tabs>
        <w:rPr>
          <w:sz w:val="20"/>
          <w:szCs w:val="20"/>
          <w:color w:val="auto"/>
        </w:rPr>
      </w:pPr>
      <w:r>
        <w:rPr>
          <w:rFonts w:ascii="Times New Roman" w:cs="Times New Roman" w:eastAsia="Times New Roman" w:hAnsi="Times New Roman"/>
          <w:sz w:val="18"/>
          <w:szCs w:val="18"/>
          <w:color w:val="auto"/>
        </w:rPr>
        <w:t>10.5</w:t>
      </w:r>
      <w:r>
        <w:rPr>
          <w:sz w:val="20"/>
          <w:szCs w:val="20"/>
          <w:color w:val="auto"/>
        </w:rPr>
        <w:tab/>
      </w:r>
      <w:r>
        <w:rPr>
          <w:rFonts w:ascii="Times New Roman" w:cs="Times New Roman" w:eastAsia="Times New Roman" w:hAnsi="Times New Roman"/>
          <w:sz w:val="17"/>
          <w:szCs w:val="17"/>
          <w:u w:val="single" w:color="auto"/>
          <w:color w:val="0000EE"/>
        </w:rPr>
        <w:t>Expense Support and Conditional Reimbursement Agreement*</w:t>
      </w:r>
    </w:p>
    <w:p>
      <w:pPr>
        <w:spacing w:after="0" w:line="117" w:lineRule="exact"/>
        <w:rPr>
          <w:sz w:val="20"/>
          <w:szCs w:val="20"/>
          <w:color w:val="auto"/>
        </w:rPr>
      </w:pPr>
    </w:p>
    <w:p>
      <w:pPr>
        <w:ind w:left="120"/>
        <w:spacing w:after="0"/>
        <w:tabs>
          <w:tab w:leader="none" w:pos="760" w:val="left"/>
        </w:tabs>
        <w:rPr>
          <w:sz w:val="20"/>
          <w:szCs w:val="20"/>
          <w:color w:val="auto"/>
        </w:rPr>
      </w:pPr>
      <w:r>
        <w:rPr>
          <w:rFonts w:ascii="Times New Roman" w:cs="Times New Roman" w:eastAsia="Times New Roman" w:hAnsi="Times New Roman"/>
          <w:sz w:val="18"/>
          <w:szCs w:val="18"/>
          <w:color w:val="auto"/>
        </w:rPr>
        <w:t>14.1</w:t>
      </w:r>
      <w:r>
        <w:rPr>
          <w:sz w:val="20"/>
          <w:szCs w:val="20"/>
          <w:color w:val="auto"/>
        </w:rPr>
        <w:tab/>
      </w:r>
      <w:r>
        <w:rPr>
          <w:rFonts w:ascii="Times New Roman" w:cs="Times New Roman" w:eastAsia="Times New Roman" w:hAnsi="Times New Roman"/>
          <w:sz w:val="18"/>
          <w:szCs w:val="18"/>
          <w:u w:val="single" w:color="auto"/>
          <w:color w:val="0000EE"/>
        </w:rPr>
        <w:t>Fund Code of Ethics*</w:t>
      </w:r>
    </w:p>
    <w:p>
      <w:pPr>
        <w:spacing w:after="0" w:line="117" w:lineRule="exact"/>
        <w:rPr>
          <w:sz w:val="20"/>
          <w:szCs w:val="20"/>
          <w:color w:val="auto"/>
        </w:rPr>
      </w:pPr>
    </w:p>
    <w:p>
      <w:pPr>
        <w:ind w:left="120"/>
        <w:spacing w:after="0"/>
        <w:tabs>
          <w:tab w:leader="none" w:pos="760" w:val="left"/>
        </w:tabs>
        <w:rPr>
          <w:sz w:val="20"/>
          <w:szCs w:val="20"/>
          <w:color w:val="auto"/>
        </w:rPr>
      </w:pPr>
      <w:r>
        <w:rPr>
          <w:rFonts w:ascii="Times New Roman" w:cs="Times New Roman" w:eastAsia="Times New Roman" w:hAnsi="Times New Roman"/>
          <w:sz w:val="18"/>
          <w:szCs w:val="18"/>
          <w:color w:val="auto"/>
        </w:rPr>
        <w:t>14.2</w:t>
      </w:r>
      <w:r>
        <w:rPr>
          <w:sz w:val="20"/>
          <w:szCs w:val="20"/>
          <w:color w:val="auto"/>
        </w:rPr>
        <w:tab/>
      </w:r>
      <w:r>
        <w:rPr>
          <w:rFonts w:ascii="Times New Roman" w:cs="Times New Roman" w:eastAsia="Times New Roman" w:hAnsi="Times New Roman"/>
          <w:sz w:val="18"/>
          <w:szCs w:val="18"/>
          <w:u w:val="single" w:color="auto"/>
          <w:color w:val="0000EE"/>
        </w:rPr>
        <w:t>Adviser Code of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111760</wp:posOffset>
            </wp:positionV>
            <wp:extent cx="7715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(*)Filed herewith.</w:t>
      </w:r>
    </w:p>
    <w:p>
      <w:pPr>
        <w:spacing w:after="0" w:line="15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0960"/>
          </w:cols>
          <w:pgMar w:left="320" w:top="455" w:right="61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12 of the Securities Exchange Act of 1934, the registrant has duly caused this Registration Statement to be signed on its behalf by the undersigned, thereunto duly authorized.</w:t>
      </w:r>
    </w:p>
    <w:p>
      <w:pPr>
        <w:spacing w:after="0" w:line="18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Sixth Street Lending Partners</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Joshua Easterly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Joshua Easterly</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Date: June 28, 2022</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100"/>
          </w:cols>
          <w:pgMar w:left="320" w:top="455" w:right="47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u w:val="single" w:color="auto"/>
          <w:color w:val="auto"/>
        </w:rPr>
        <w:t>SIXTH STREET LENDING PARTNERS</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u w:val="single" w:color="auto"/>
          <w:color w:val="auto"/>
        </w:rPr>
        <w:t>AMENDED AND RESTATED</w:t>
      </w:r>
    </w:p>
    <w:p>
      <w:pPr>
        <w:spacing w:after="0" w:line="22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u w:val="single" w:color="auto"/>
          <w:color w:val="auto"/>
        </w:rPr>
        <w:t>AGREEMENT AND DECLARATION OF TRUST</w:t>
      </w:r>
    </w:p>
    <w:p>
      <w:pPr>
        <w:sectPr>
          <w:pgSz w:w="11900" w:h="16838" w:orient="portrait"/>
          <w:cols w:equalWidth="0" w:num="1">
            <w:col w:w="10020"/>
          </w:cols>
          <w:pgMar w:left="1440" w:top="117" w:right="43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238"/>
        </w:trPr>
        <w:tc>
          <w:tcPr>
            <w:tcW w:w="1740" w:type="dxa"/>
            <w:vAlign w:val="bottom"/>
          </w:tcPr>
          <w:p>
            <w:pPr>
              <w:spacing w:after="0"/>
              <w:rPr>
                <w:sz w:val="20"/>
                <w:szCs w:val="20"/>
                <w:color w:val="auto"/>
              </w:rPr>
            </w:pPr>
          </w:p>
        </w:tc>
        <w:tc>
          <w:tcPr>
            <w:tcW w:w="7080" w:type="dxa"/>
            <w:vAlign w:val="bottom"/>
          </w:tcPr>
          <w:p>
            <w:pPr>
              <w:ind w:left="28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17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97"/>
              </w:rPr>
              <w:t>ARTICLE I The Trust</w:t>
            </w:r>
          </w:p>
        </w:tc>
        <w:tc>
          <w:tcPr>
            <w:tcW w:w="7080" w:type="dxa"/>
            <w:vAlign w:val="bottom"/>
          </w:tcPr>
          <w:p>
            <w:pPr>
              <w:spacing w:after="0"/>
              <w:rPr>
                <w:sz w:val="24"/>
                <w:szCs w:val="24"/>
                <w:color w:val="auto"/>
              </w:rPr>
            </w:pPr>
          </w:p>
        </w:tc>
        <w:tc>
          <w:tcPr>
            <w:tcW w:w="2200" w:type="dxa"/>
            <w:vAlign w:val="bottom"/>
          </w:tcPr>
          <w:p>
            <w:pPr>
              <w:ind w:left="1920"/>
              <w:spacing w:after="0"/>
              <w:rPr>
                <w:sz w:val="20"/>
                <w:szCs w:val="20"/>
                <w:color w:val="auto"/>
              </w:rPr>
            </w:pPr>
            <w:r>
              <w:rPr>
                <w:rFonts w:ascii="Times New Roman" w:cs="Times New Roman" w:eastAsia="Times New Roman" w:hAnsi="Times New Roman"/>
                <w:sz w:val="14"/>
                <w:szCs w:val="14"/>
                <w:color w:val="auto"/>
                <w:w w:val="95"/>
              </w:rPr>
              <w:t>Page</w:t>
            </w:r>
          </w:p>
        </w:tc>
        <w:tc>
          <w:tcPr>
            <w:tcW w:w="0" w:type="dxa"/>
            <w:vAlign w:val="bottom"/>
          </w:tcPr>
          <w:p>
            <w:pPr>
              <w:spacing w:after="0"/>
              <w:rPr>
                <w:sz w:val="1"/>
                <w:szCs w:val="1"/>
                <w:color w:val="auto"/>
              </w:rPr>
            </w:pPr>
          </w:p>
        </w:tc>
      </w:tr>
      <w:tr>
        <w:trPr>
          <w:trHeight w:val="216"/>
        </w:trPr>
        <w:tc>
          <w:tcPr>
            <w:tcW w:w="1740" w:type="dxa"/>
            <w:vAlign w:val="bottom"/>
            <w:vMerge w:val="continue"/>
          </w:tcPr>
          <w:p>
            <w:pPr>
              <w:spacing w:after="0"/>
              <w:rPr>
                <w:sz w:val="18"/>
                <w:szCs w:val="18"/>
                <w:color w:val="auto"/>
              </w:rPr>
            </w:pPr>
          </w:p>
        </w:tc>
        <w:tc>
          <w:tcPr>
            <w:tcW w:w="7080" w:type="dxa"/>
            <w:vAlign w:val="bottom"/>
          </w:tcPr>
          <w:p>
            <w:pPr>
              <w:spacing w:after="0"/>
              <w:rPr>
                <w:sz w:val="18"/>
                <w:szCs w:val="18"/>
                <w:color w:val="auto"/>
              </w:rPr>
            </w:pPr>
          </w:p>
        </w:tc>
        <w:tc>
          <w:tcPr>
            <w:tcW w:w="220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1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w:t>
            </w: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220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1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w:t>
            </w: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Trust Purpose</w:t>
            </w:r>
          </w:p>
        </w:tc>
        <w:tc>
          <w:tcPr>
            <w:tcW w:w="220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2"/>
        </w:trPr>
        <w:tc>
          <w:tcPr>
            <w:tcW w:w="1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w:t>
            </w: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Definitions</w:t>
            </w:r>
          </w:p>
        </w:tc>
        <w:tc>
          <w:tcPr>
            <w:tcW w:w="220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0"/>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II Board of Trustees</w:t>
            </w:r>
          </w:p>
        </w:tc>
        <w:tc>
          <w:tcPr>
            <w:tcW w:w="220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1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w:t>
            </w: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Number and Qualification</w:t>
            </w:r>
          </w:p>
        </w:tc>
        <w:tc>
          <w:tcPr>
            <w:tcW w:w="220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1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2.2</w:t>
            </w: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Term and Election</w:t>
            </w:r>
          </w:p>
        </w:tc>
        <w:tc>
          <w:tcPr>
            <w:tcW w:w="220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1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2.3</w:t>
            </w: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Resignation and Removal</w:t>
            </w:r>
          </w:p>
        </w:tc>
        <w:tc>
          <w:tcPr>
            <w:tcW w:w="220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1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2.4</w:t>
            </w: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Vacancies</w:t>
            </w:r>
          </w:p>
        </w:tc>
        <w:tc>
          <w:tcPr>
            <w:tcW w:w="220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1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2.5</w:t>
            </w: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Meetings</w:t>
            </w:r>
          </w:p>
        </w:tc>
        <w:tc>
          <w:tcPr>
            <w:tcW w:w="220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1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2.6</w:t>
            </w: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Trustee Action by Written Consent</w:t>
            </w:r>
          </w:p>
        </w:tc>
        <w:tc>
          <w:tcPr>
            <w:tcW w:w="220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1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2.7</w:t>
            </w: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Officers</w:t>
            </w:r>
          </w:p>
        </w:tc>
        <w:tc>
          <w:tcPr>
            <w:tcW w:w="220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2"/>
        </w:trPr>
        <w:tc>
          <w:tcPr>
            <w:tcW w:w="1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2.8</w:t>
            </w: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Principal Transactions</w:t>
            </w:r>
          </w:p>
        </w:tc>
        <w:tc>
          <w:tcPr>
            <w:tcW w:w="220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0"/>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III Powers and Duties of Trustees</w:t>
            </w:r>
          </w:p>
        </w:tc>
        <w:tc>
          <w:tcPr>
            <w:tcW w:w="220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1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w:t>
            </w: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General</w:t>
            </w:r>
          </w:p>
        </w:tc>
        <w:tc>
          <w:tcPr>
            <w:tcW w:w="220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1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3.2</w:t>
            </w: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220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1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3.3</w:t>
            </w: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Legal Title</w:t>
            </w:r>
          </w:p>
        </w:tc>
        <w:tc>
          <w:tcPr>
            <w:tcW w:w="220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1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3.4</w:t>
            </w: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Issuance and Repurchase of Shares</w:t>
            </w:r>
          </w:p>
        </w:tc>
        <w:tc>
          <w:tcPr>
            <w:tcW w:w="220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1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3.5</w:t>
            </w: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Borrow Money or Utilize Leverage</w:t>
            </w:r>
          </w:p>
        </w:tc>
        <w:tc>
          <w:tcPr>
            <w:tcW w:w="220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1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3.6</w:t>
            </w: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Delegation by Trustees</w:t>
            </w:r>
          </w:p>
        </w:tc>
        <w:tc>
          <w:tcPr>
            <w:tcW w:w="220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1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3.7</w:t>
            </w: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Collection and Payment</w:t>
            </w:r>
          </w:p>
        </w:tc>
        <w:tc>
          <w:tcPr>
            <w:tcW w:w="220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1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3.8</w:t>
            </w: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By-Laws</w:t>
            </w:r>
          </w:p>
        </w:tc>
        <w:tc>
          <w:tcPr>
            <w:tcW w:w="220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1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3.9</w:t>
            </w: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 Powers</w:t>
            </w:r>
          </w:p>
        </w:tc>
        <w:tc>
          <w:tcPr>
            <w:tcW w:w="220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1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3.10</w:t>
            </w: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Further Powers</w:t>
            </w:r>
          </w:p>
        </w:tc>
        <w:tc>
          <w:tcPr>
            <w:tcW w:w="220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2"/>
        </w:trPr>
        <w:tc>
          <w:tcPr>
            <w:tcW w:w="1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3.11</w:t>
            </w: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Sole Discretion; Good Faith; Corporate Opportunities of Adviser</w:t>
            </w:r>
          </w:p>
        </w:tc>
        <w:tc>
          <w:tcPr>
            <w:tcW w:w="220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0"/>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IV Fees and Expenses; Advisory, Management and Distribution Arrangements</w:t>
            </w:r>
          </w:p>
        </w:tc>
        <w:tc>
          <w:tcPr>
            <w:tcW w:w="220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1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4.1</w:t>
            </w: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Expenses</w:t>
            </w:r>
          </w:p>
        </w:tc>
        <w:tc>
          <w:tcPr>
            <w:tcW w:w="220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1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4.2</w:t>
            </w: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Advisory and Management Arrangements</w:t>
            </w:r>
          </w:p>
        </w:tc>
        <w:tc>
          <w:tcPr>
            <w:tcW w:w="220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1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4.3</w:t>
            </w: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Distribution Arrangements</w:t>
            </w:r>
          </w:p>
        </w:tc>
        <w:tc>
          <w:tcPr>
            <w:tcW w:w="220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2"/>
        </w:trPr>
        <w:tc>
          <w:tcPr>
            <w:tcW w:w="1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4.4</w:t>
            </w: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Parties to Contract</w:t>
            </w:r>
          </w:p>
        </w:tc>
        <w:tc>
          <w:tcPr>
            <w:tcW w:w="220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0"/>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V Limitations of Liability and Indemnification</w:t>
            </w:r>
          </w:p>
        </w:tc>
        <w:tc>
          <w:tcPr>
            <w:tcW w:w="220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1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w:t>
            </w: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No Personal Liability of Shareholders, Trustees, etc.</w:t>
            </w:r>
          </w:p>
        </w:tc>
        <w:tc>
          <w:tcPr>
            <w:tcW w:w="220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1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5.2</w:t>
            </w: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Mandatory Indemnification</w:t>
            </w:r>
          </w:p>
        </w:tc>
        <w:tc>
          <w:tcPr>
            <w:tcW w:w="220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1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5.3</w:t>
            </w: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No Bond Required of Trustees</w:t>
            </w:r>
          </w:p>
        </w:tc>
        <w:tc>
          <w:tcPr>
            <w:tcW w:w="220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99"/>
              </w:rPr>
              <w:t>10</w:t>
            </w:r>
          </w:p>
        </w:tc>
        <w:tc>
          <w:tcPr>
            <w:tcW w:w="0" w:type="dxa"/>
            <w:vAlign w:val="bottom"/>
          </w:tcPr>
          <w:p>
            <w:pPr>
              <w:spacing w:after="0"/>
              <w:rPr>
                <w:sz w:val="1"/>
                <w:szCs w:val="1"/>
                <w:color w:val="auto"/>
              </w:rPr>
            </w:pPr>
          </w:p>
        </w:tc>
      </w:tr>
      <w:tr>
        <w:trPr>
          <w:trHeight w:val="216"/>
        </w:trPr>
        <w:tc>
          <w:tcPr>
            <w:tcW w:w="1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5.4</w:t>
            </w: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No Duty of Investigation; No Notice in Trust Instruments, etc.</w:t>
            </w:r>
          </w:p>
        </w:tc>
        <w:tc>
          <w:tcPr>
            <w:tcW w:w="220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99"/>
              </w:rPr>
              <w:t>10</w:t>
            </w:r>
          </w:p>
        </w:tc>
        <w:tc>
          <w:tcPr>
            <w:tcW w:w="0" w:type="dxa"/>
            <w:vAlign w:val="bottom"/>
          </w:tcPr>
          <w:p>
            <w:pPr>
              <w:spacing w:after="0"/>
              <w:rPr>
                <w:sz w:val="1"/>
                <w:szCs w:val="1"/>
                <w:color w:val="auto"/>
              </w:rPr>
            </w:pPr>
          </w:p>
        </w:tc>
      </w:tr>
      <w:tr>
        <w:trPr>
          <w:trHeight w:val="212"/>
        </w:trPr>
        <w:tc>
          <w:tcPr>
            <w:tcW w:w="1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5.5</w:t>
            </w: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Reliance on Experts, etc.</w:t>
            </w:r>
          </w:p>
        </w:tc>
        <w:tc>
          <w:tcPr>
            <w:tcW w:w="220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99"/>
              </w:rPr>
              <w:t>10</w:t>
            </w:r>
          </w:p>
        </w:tc>
        <w:tc>
          <w:tcPr>
            <w:tcW w:w="0" w:type="dxa"/>
            <w:vAlign w:val="bottom"/>
          </w:tcPr>
          <w:p>
            <w:pPr>
              <w:spacing w:after="0"/>
              <w:rPr>
                <w:sz w:val="1"/>
                <w:szCs w:val="1"/>
                <w:color w:val="auto"/>
              </w:rPr>
            </w:pPr>
          </w:p>
        </w:tc>
      </w:tr>
      <w:tr>
        <w:trPr>
          <w:trHeight w:val="220"/>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VI Shares of Beneficial Interest</w:t>
            </w:r>
          </w:p>
        </w:tc>
        <w:tc>
          <w:tcPr>
            <w:tcW w:w="220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99"/>
              </w:rPr>
              <w:t>11</w:t>
            </w:r>
          </w:p>
        </w:tc>
        <w:tc>
          <w:tcPr>
            <w:tcW w:w="0" w:type="dxa"/>
            <w:vAlign w:val="bottom"/>
          </w:tcPr>
          <w:p>
            <w:pPr>
              <w:spacing w:after="0"/>
              <w:rPr>
                <w:sz w:val="1"/>
                <w:szCs w:val="1"/>
                <w:color w:val="auto"/>
              </w:rPr>
            </w:pPr>
          </w:p>
        </w:tc>
      </w:tr>
      <w:tr>
        <w:trPr>
          <w:trHeight w:val="216"/>
        </w:trPr>
        <w:tc>
          <w:tcPr>
            <w:tcW w:w="1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w:t>
            </w: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Beneficial Interest</w:t>
            </w:r>
          </w:p>
        </w:tc>
        <w:tc>
          <w:tcPr>
            <w:tcW w:w="220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99"/>
              </w:rPr>
              <w:t>11</w:t>
            </w:r>
          </w:p>
        </w:tc>
        <w:tc>
          <w:tcPr>
            <w:tcW w:w="0" w:type="dxa"/>
            <w:vAlign w:val="bottom"/>
          </w:tcPr>
          <w:p>
            <w:pPr>
              <w:spacing w:after="0"/>
              <w:rPr>
                <w:sz w:val="1"/>
                <w:szCs w:val="1"/>
                <w:color w:val="auto"/>
              </w:rPr>
            </w:pPr>
          </w:p>
        </w:tc>
      </w:tr>
      <w:tr>
        <w:trPr>
          <w:trHeight w:val="216"/>
        </w:trPr>
        <w:tc>
          <w:tcPr>
            <w:tcW w:w="1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6.2</w:t>
            </w: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Other Securities</w:t>
            </w:r>
          </w:p>
        </w:tc>
        <w:tc>
          <w:tcPr>
            <w:tcW w:w="220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99"/>
              </w:rPr>
              <w:t>11</w:t>
            </w:r>
          </w:p>
        </w:tc>
        <w:tc>
          <w:tcPr>
            <w:tcW w:w="0" w:type="dxa"/>
            <w:vAlign w:val="bottom"/>
          </w:tcPr>
          <w:p>
            <w:pPr>
              <w:spacing w:after="0"/>
              <w:rPr>
                <w:sz w:val="1"/>
                <w:szCs w:val="1"/>
                <w:color w:val="auto"/>
              </w:rPr>
            </w:pPr>
          </w:p>
        </w:tc>
      </w:tr>
      <w:tr>
        <w:trPr>
          <w:trHeight w:val="216"/>
        </w:trPr>
        <w:tc>
          <w:tcPr>
            <w:tcW w:w="1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6.3</w:t>
            </w: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Rights of Shareholders</w:t>
            </w:r>
          </w:p>
        </w:tc>
        <w:tc>
          <w:tcPr>
            <w:tcW w:w="220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99"/>
              </w:rPr>
              <w:t>11</w:t>
            </w:r>
          </w:p>
        </w:tc>
        <w:tc>
          <w:tcPr>
            <w:tcW w:w="0" w:type="dxa"/>
            <w:vAlign w:val="bottom"/>
          </w:tcPr>
          <w:p>
            <w:pPr>
              <w:spacing w:after="0"/>
              <w:rPr>
                <w:sz w:val="1"/>
                <w:szCs w:val="1"/>
                <w:color w:val="auto"/>
              </w:rPr>
            </w:pPr>
          </w:p>
        </w:tc>
      </w:tr>
      <w:tr>
        <w:trPr>
          <w:trHeight w:val="216"/>
        </w:trPr>
        <w:tc>
          <w:tcPr>
            <w:tcW w:w="1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6.4</w:t>
            </w: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Trust Only</w:t>
            </w:r>
          </w:p>
        </w:tc>
        <w:tc>
          <w:tcPr>
            <w:tcW w:w="220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99"/>
              </w:rPr>
              <w:t>11</w:t>
            </w:r>
          </w:p>
        </w:tc>
        <w:tc>
          <w:tcPr>
            <w:tcW w:w="0" w:type="dxa"/>
            <w:vAlign w:val="bottom"/>
          </w:tcPr>
          <w:p>
            <w:pPr>
              <w:spacing w:after="0"/>
              <w:rPr>
                <w:sz w:val="1"/>
                <w:szCs w:val="1"/>
                <w:color w:val="auto"/>
              </w:rPr>
            </w:pPr>
          </w:p>
        </w:tc>
      </w:tr>
      <w:tr>
        <w:trPr>
          <w:trHeight w:val="216"/>
        </w:trPr>
        <w:tc>
          <w:tcPr>
            <w:tcW w:w="1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6.5</w:t>
            </w: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Shares</w:t>
            </w:r>
          </w:p>
        </w:tc>
        <w:tc>
          <w:tcPr>
            <w:tcW w:w="220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99"/>
              </w:rPr>
              <w:t>11</w:t>
            </w:r>
          </w:p>
        </w:tc>
        <w:tc>
          <w:tcPr>
            <w:tcW w:w="0" w:type="dxa"/>
            <w:vAlign w:val="bottom"/>
          </w:tcPr>
          <w:p>
            <w:pPr>
              <w:spacing w:after="0"/>
              <w:rPr>
                <w:sz w:val="1"/>
                <w:szCs w:val="1"/>
                <w:color w:val="auto"/>
              </w:rPr>
            </w:pPr>
          </w:p>
        </w:tc>
      </w:tr>
      <w:tr>
        <w:trPr>
          <w:trHeight w:val="216"/>
        </w:trPr>
        <w:tc>
          <w:tcPr>
            <w:tcW w:w="1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6.6</w:t>
            </w: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Register of Shares</w:t>
            </w:r>
          </w:p>
        </w:tc>
        <w:tc>
          <w:tcPr>
            <w:tcW w:w="220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99"/>
              </w:rPr>
              <w:t>12</w:t>
            </w:r>
          </w:p>
        </w:tc>
        <w:tc>
          <w:tcPr>
            <w:tcW w:w="0" w:type="dxa"/>
            <w:vAlign w:val="bottom"/>
          </w:tcPr>
          <w:p>
            <w:pPr>
              <w:spacing w:after="0"/>
              <w:rPr>
                <w:sz w:val="1"/>
                <w:szCs w:val="1"/>
                <w:color w:val="auto"/>
              </w:rPr>
            </w:pPr>
          </w:p>
        </w:tc>
      </w:tr>
      <w:tr>
        <w:trPr>
          <w:trHeight w:val="216"/>
        </w:trPr>
        <w:tc>
          <w:tcPr>
            <w:tcW w:w="1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6.7</w:t>
            </w: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Transfer Agent and Registrar</w:t>
            </w:r>
          </w:p>
        </w:tc>
        <w:tc>
          <w:tcPr>
            <w:tcW w:w="220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99"/>
              </w:rPr>
              <w:t>12</w:t>
            </w:r>
          </w:p>
        </w:tc>
        <w:tc>
          <w:tcPr>
            <w:tcW w:w="0" w:type="dxa"/>
            <w:vAlign w:val="bottom"/>
          </w:tcPr>
          <w:p>
            <w:pPr>
              <w:spacing w:after="0"/>
              <w:rPr>
                <w:sz w:val="1"/>
                <w:szCs w:val="1"/>
                <w:color w:val="auto"/>
              </w:rPr>
            </w:pPr>
          </w:p>
        </w:tc>
      </w:tr>
      <w:tr>
        <w:trPr>
          <w:trHeight w:val="216"/>
        </w:trPr>
        <w:tc>
          <w:tcPr>
            <w:tcW w:w="1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6.8</w:t>
            </w: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Transfer of Shares</w:t>
            </w:r>
          </w:p>
        </w:tc>
        <w:tc>
          <w:tcPr>
            <w:tcW w:w="220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99"/>
              </w:rPr>
              <w:t>12</w:t>
            </w:r>
          </w:p>
        </w:tc>
        <w:tc>
          <w:tcPr>
            <w:tcW w:w="0" w:type="dxa"/>
            <w:vAlign w:val="bottom"/>
          </w:tcPr>
          <w:p>
            <w:pPr>
              <w:spacing w:after="0"/>
              <w:rPr>
                <w:sz w:val="1"/>
                <w:szCs w:val="1"/>
                <w:color w:val="auto"/>
              </w:rPr>
            </w:pPr>
          </w:p>
        </w:tc>
      </w:tr>
      <w:tr>
        <w:trPr>
          <w:trHeight w:val="216"/>
        </w:trPr>
        <w:tc>
          <w:tcPr>
            <w:tcW w:w="1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6.9</w:t>
            </w: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Notices</w:t>
            </w:r>
          </w:p>
        </w:tc>
        <w:tc>
          <w:tcPr>
            <w:tcW w:w="220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99"/>
              </w:rPr>
              <w:t>12</w:t>
            </w:r>
          </w:p>
        </w:tc>
        <w:tc>
          <w:tcPr>
            <w:tcW w:w="0" w:type="dxa"/>
            <w:vAlign w:val="bottom"/>
          </w:tcPr>
          <w:p>
            <w:pPr>
              <w:spacing w:after="0"/>
              <w:rPr>
                <w:sz w:val="1"/>
                <w:szCs w:val="1"/>
                <w:color w:val="auto"/>
              </w:rPr>
            </w:pPr>
          </w:p>
        </w:tc>
      </w:tr>
      <w:tr>
        <w:trPr>
          <w:trHeight w:val="212"/>
        </w:trPr>
        <w:tc>
          <w:tcPr>
            <w:tcW w:w="1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6.10</w:t>
            </w: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Derivative Actions</w:t>
            </w:r>
          </w:p>
        </w:tc>
        <w:tc>
          <w:tcPr>
            <w:tcW w:w="220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99"/>
              </w:rPr>
              <w:t>13</w:t>
            </w:r>
          </w:p>
        </w:tc>
        <w:tc>
          <w:tcPr>
            <w:tcW w:w="0" w:type="dxa"/>
            <w:vAlign w:val="bottom"/>
          </w:tcPr>
          <w:p>
            <w:pPr>
              <w:spacing w:after="0"/>
              <w:rPr>
                <w:sz w:val="1"/>
                <w:szCs w:val="1"/>
                <w:color w:val="auto"/>
              </w:rPr>
            </w:pPr>
          </w:p>
        </w:tc>
      </w:tr>
      <w:tr>
        <w:trPr>
          <w:trHeight w:val="220"/>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VII Capital Calls</w:t>
            </w:r>
          </w:p>
        </w:tc>
        <w:tc>
          <w:tcPr>
            <w:tcW w:w="220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99"/>
              </w:rPr>
              <w:t>13</w:t>
            </w:r>
          </w:p>
        </w:tc>
        <w:tc>
          <w:tcPr>
            <w:tcW w:w="0" w:type="dxa"/>
            <w:vAlign w:val="bottom"/>
          </w:tcPr>
          <w:p>
            <w:pPr>
              <w:spacing w:after="0"/>
              <w:rPr>
                <w:sz w:val="1"/>
                <w:szCs w:val="1"/>
                <w:color w:val="auto"/>
              </w:rPr>
            </w:pPr>
          </w:p>
        </w:tc>
      </w:tr>
      <w:tr>
        <w:trPr>
          <w:trHeight w:val="212"/>
        </w:trPr>
        <w:tc>
          <w:tcPr>
            <w:tcW w:w="1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7.1</w:t>
            </w: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Capital Commitment; Drawdowns; Defaulting Shareholders</w:t>
            </w:r>
          </w:p>
        </w:tc>
        <w:tc>
          <w:tcPr>
            <w:tcW w:w="220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99"/>
              </w:rPr>
              <w:t>13</w:t>
            </w:r>
          </w:p>
        </w:tc>
        <w:tc>
          <w:tcPr>
            <w:tcW w:w="0" w:type="dxa"/>
            <w:vAlign w:val="bottom"/>
          </w:tcPr>
          <w:p>
            <w:pPr>
              <w:spacing w:after="0"/>
              <w:rPr>
                <w:sz w:val="1"/>
                <w:szCs w:val="1"/>
                <w:color w:val="auto"/>
              </w:rPr>
            </w:pPr>
          </w:p>
        </w:tc>
      </w:tr>
      <w:tr>
        <w:trPr>
          <w:trHeight w:val="220"/>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VIII Custodians</w:t>
            </w:r>
          </w:p>
        </w:tc>
        <w:tc>
          <w:tcPr>
            <w:tcW w:w="220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99"/>
              </w:rPr>
              <w:t>14</w:t>
            </w:r>
          </w:p>
        </w:tc>
        <w:tc>
          <w:tcPr>
            <w:tcW w:w="0" w:type="dxa"/>
            <w:vAlign w:val="bottom"/>
          </w:tcPr>
          <w:p>
            <w:pPr>
              <w:spacing w:after="0"/>
              <w:rPr>
                <w:sz w:val="1"/>
                <w:szCs w:val="1"/>
                <w:color w:val="auto"/>
              </w:rPr>
            </w:pPr>
          </w:p>
        </w:tc>
      </w:tr>
      <w:tr>
        <w:trPr>
          <w:trHeight w:val="216"/>
        </w:trPr>
        <w:tc>
          <w:tcPr>
            <w:tcW w:w="1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8.1</w:t>
            </w: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Appointment and Duties</w:t>
            </w:r>
          </w:p>
        </w:tc>
        <w:tc>
          <w:tcPr>
            <w:tcW w:w="220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99"/>
              </w:rPr>
              <w:t>14</w:t>
            </w:r>
          </w:p>
        </w:tc>
        <w:tc>
          <w:tcPr>
            <w:tcW w:w="0" w:type="dxa"/>
            <w:vAlign w:val="bottom"/>
          </w:tcPr>
          <w:p>
            <w:pPr>
              <w:spacing w:after="0"/>
              <w:rPr>
                <w:sz w:val="1"/>
                <w:szCs w:val="1"/>
                <w:color w:val="auto"/>
              </w:rPr>
            </w:pPr>
          </w:p>
        </w:tc>
      </w:tr>
      <w:tr>
        <w:trPr>
          <w:trHeight w:val="234"/>
        </w:trPr>
        <w:tc>
          <w:tcPr>
            <w:tcW w:w="1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8.2</w:t>
            </w: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Central Certificate System</w:t>
            </w:r>
          </w:p>
        </w:tc>
        <w:tc>
          <w:tcPr>
            <w:tcW w:w="220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99"/>
              </w:rPr>
              <w:t>15</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112" w:name="page113"/>
    <w:bookmarkEnd w:id="112"/>
    <w:tbl>
      <w:tblPr>
        <w:tblLayout w:type="fixed"/>
        <w:tblInd w:w="0" w:type="dxa"/>
        <w:tblCellMar>
          <w:top w:w="0" w:type="dxa"/>
          <w:left w:w="0" w:type="dxa"/>
          <w:bottom w:w="0" w:type="dxa"/>
          <w:right w:w="0" w:type="dxa"/>
        </w:tblCellMar>
      </w:tblPr>
      <w:tr>
        <w:trPr>
          <w:trHeight w:val="220"/>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IX Redemption</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9.1</w:t>
            </w:r>
          </w:p>
        </w:tc>
        <w:tc>
          <w:tcPr>
            <w:tcW w:w="6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Redemptions</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9.2</w:t>
            </w:r>
          </w:p>
        </w:tc>
        <w:tc>
          <w:tcPr>
            <w:tcW w:w="6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Disclosure of Holding</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2"/>
        </w:trPr>
        <w:tc>
          <w:tcPr>
            <w:tcW w:w="1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9.3</w:t>
            </w:r>
          </w:p>
        </w:tc>
        <w:tc>
          <w:tcPr>
            <w:tcW w:w="6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Redemption by Trust</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0"/>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X Net Asset Value and Distributions</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w:t>
            </w:r>
          </w:p>
        </w:tc>
        <w:tc>
          <w:tcPr>
            <w:tcW w:w="6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Asset Value</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10.2</w:t>
            </w:r>
          </w:p>
        </w:tc>
        <w:tc>
          <w:tcPr>
            <w:tcW w:w="6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Distributions to Shareholders</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2"/>
        </w:trPr>
        <w:tc>
          <w:tcPr>
            <w:tcW w:w="1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10.3</w:t>
            </w:r>
          </w:p>
        </w:tc>
        <w:tc>
          <w:tcPr>
            <w:tcW w:w="6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Power to Modify Foregoing Procedures</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0"/>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XI Shareholders</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11.1</w:t>
            </w:r>
          </w:p>
        </w:tc>
        <w:tc>
          <w:tcPr>
            <w:tcW w:w="6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Meetings of Shareholders</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11.2</w:t>
            </w:r>
          </w:p>
        </w:tc>
        <w:tc>
          <w:tcPr>
            <w:tcW w:w="6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Voting</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11.3</w:t>
            </w:r>
          </w:p>
        </w:tc>
        <w:tc>
          <w:tcPr>
            <w:tcW w:w="6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Record Date; Notice of Meeting</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11.4</w:t>
            </w:r>
          </w:p>
        </w:tc>
        <w:tc>
          <w:tcPr>
            <w:tcW w:w="6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Quorum and Required Vote</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11.5</w:t>
            </w:r>
          </w:p>
        </w:tc>
        <w:tc>
          <w:tcPr>
            <w:tcW w:w="6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Proxies, etc.</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11.6</w:t>
            </w:r>
          </w:p>
        </w:tc>
        <w:tc>
          <w:tcPr>
            <w:tcW w:w="6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Reports</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11.7</w:t>
            </w:r>
          </w:p>
        </w:tc>
        <w:tc>
          <w:tcPr>
            <w:tcW w:w="6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Inspection of Records</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11.8</w:t>
            </w:r>
          </w:p>
        </w:tc>
        <w:tc>
          <w:tcPr>
            <w:tcW w:w="6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Delivery by Electronic Transmission or Otherwise</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11.9</w:t>
            </w:r>
          </w:p>
        </w:tc>
        <w:tc>
          <w:tcPr>
            <w:tcW w:w="6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Shareholder Action by Written Consent</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2"/>
        </w:trPr>
        <w:tc>
          <w:tcPr>
            <w:tcW w:w="1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11.10</w:t>
            </w:r>
          </w:p>
        </w:tc>
        <w:tc>
          <w:tcPr>
            <w:tcW w:w="6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Meetings by Remote Communication</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0"/>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XII Wind Down; Amendment; Mergers, Etc.</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12.1</w:t>
            </w:r>
          </w:p>
        </w:tc>
        <w:tc>
          <w:tcPr>
            <w:tcW w:w="6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Wind Down</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12.2</w:t>
            </w:r>
          </w:p>
        </w:tc>
        <w:tc>
          <w:tcPr>
            <w:tcW w:w="6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Amendment Procedure</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12.3</w:t>
            </w:r>
          </w:p>
        </w:tc>
        <w:tc>
          <w:tcPr>
            <w:tcW w:w="6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[Intentionally omitted]</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12.4</w:t>
            </w:r>
          </w:p>
        </w:tc>
        <w:tc>
          <w:tcPr>
            <w:tcW w:w="6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Subsidiaries</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2"/>
        </w:trPr>
        <w:tc>
          <w:tcPr>
            <w:tcW w:w="1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12.5</w:t>
            </w:r>
          </w:p>
        </w:tc>
        <w:tc>
          <w:tcPr>
            <w:tcW w:w="6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Merger, Consolidation, Incorporation</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0"/>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XIII The Delaware Trustee</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13.1</w:t>
            </w:r>
          </w:p>
        </w:tc>
        <w:tc>
          <w:tcPr>
            <w:tcW w:w="6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Purpose of Appointment</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13.2</w:t>
            </w:r>
          </w:p>
        </w:tc>
        <w:tc>
          <w:tcPr>
            <w:tcW w:w="6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Duties</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13.3</w:t>
            </w:r>
          </w:p>
        </w:tc>
        <w:tc>
          <w:tcPr>
            <w:tcW w:w="6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Removal</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13.4</w:t>
            </w:r>
          </w:p>
        </w:tc>
        <w:tc>
          <w:tcPr>
            <w:tcW w:w="6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Merger</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13.5</w:t>
            </w:r>
          </w:p>
        </w:tc>
        <w:tc>
          <w:tcPr>
            <w:tcW w:w="6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Liability</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13.6</w:t>
            </w:r>
          </w:p>
        </w:tc>
        <w:tc>
          <w:tcPr>
            <w:tcW w:w="6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Successors</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2"/>
        </w:trPr>
        <w:tc>
          <w:tcPr>
            <w:tcW w:w="1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13.7</w:t>
            </w:r>
          </w:p>
        </w:tc>
        <w:tc>
          <w:tcPr>
            <w:tcW w:w="6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Compensation and Reimbursement of Expenses</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0"/>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XIV Miscellaneous</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14.1</w:t>
            </w:r>
          </w:p>
        </w:tc>
        <w:tc>
          <w:tcPr>
            <w:tcW w:w="6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Power of Attorney</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14.2</w:t>
            </w:r>
          </w:p>
        </w:tc>
        <w:tc>
          <w:tcPr>
            <w:tcW w:w="6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Filing</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14.3</w:t>
            </w:r>
          </w:p>
        </w:tc>
        <w:tc>
          <w:tcPr>
            <w:tcW w:w="6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Governing Law</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14.4</w:t>
            </w:r>
          </w:p>
        </w:tc>
        <w:tc>
          <w:tcPr>
            <w:tcW w:w="6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Exclusive Delaware Jurisdiction</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14.5</w:t>
            </w:r>
          </w:p>
        </w:tc>
        <w:tc>
          <w:tcPr>
            <w:tcW w:w="6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Agreements</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14.6</w:t>
            </w:r>
          </w:p>
        </w:tc>
        <w:tc>
          <w:tcPr>
            <w:tcW w:w="6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Counterparts</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14.7</w:t>
            </w:r>
          </w:p>
        </w:tc>
        <w:tc>
          <w:tcPr>
            <w:tcW w:w="6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Reliance by Third Parties</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4"/>
        </w:trPr>
        <w:tc>
          <w:tcPr>
            <w:tcW w:w="1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14.8</w:t>
            </w:r>
          </w:p>
        </w:tc>
        <w:tc>
          <w:tcPr>
            <w:tcW w:w="6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Provisions in Conflict with Law or Regulation</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bl>
    <w:p>
      <w:pPr>
        <w:jc w:val="right"/>
        <w:spacing w:after="0"/>
        <w:rPr>
          <w:sz w:val="20"/>
          <w:szCs w:val="20"/>
          <w:color w:val="auto"/>
        </w:rPr>
        <w:sectPr>
          <w:pgSz w:w="11900" w:h="16838" w:orient="portrait"/>
          <w:cols w:equalWidth="0" w:num="1">
            <w:col w:w="10980"/>
          </w:cols>
          <w:pgMar w:left="440" w:top="266" w:right="47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113" w:name="page114"/>
    <w:bookmarkEnd w:id="113"/>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AMENDED AND RESTATED AGREEMENT AND DECLARATION OF TRUST</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OF</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SIXTH STREET LENDING PARTNERS</w:t>
      </w:r>
    </w:p>
    <w:p>
      <w:pPr>
        <w:spacing w:after="0" w:line="225"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This AMENDED AND RESTATED AGREEMENT AND DECLARATION OF TRUST made as of this 28</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of June 2022, by the Trustees hereunder and SMC-CAS, LLC, as Delaware trustee.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this Trust has been formed to carry on the business as set forth more particularly hereinafter;</w:t>
      </w:r>
    </w:p>
    <w:p>
      <w:pPr>
        <w:spacing w:after="0" w:line="225" w:lineRule="exact"/>
        <w:rPr>
          <w:sz w:val="20"/>
          <w:szCs w:val="20"/>
          <w:color w:val="auto"/>
        </w:rPr>
      </w:pPr>
    </w:p>
    <w:p>
      <w:pPr>
        <w:ind w:right="700" w:firstLine="440"/>
        <w:spacing w:after="0" w:line="282" w:lineRule="auto"/>
        <w:rPr>
          <w:sz w:val="20"/>
          <w:szCs w:val="20"/>
          <w:color w:val="auto"/>
        </w:rPr>
      </w:pPr>
      <w:r>
        <w:rPr>
          <w:rFonts w:ascii="Times New Roman" w:cs="Times New Roman" w:eastAsia="Times New Roman" w:hAnsi="Times New Roman"/>
          <w:sz w:val="18"/>
          <w:szCs w:val="18"/>
          <w:color w:val="auto"/>
        </w:rPr>
        <w:t>WHEREAS, this Trust is authorized to issue an unlimited number of its shares of beneficial interest all in accordance with the provisions hereinafter set forth;</w:t>
      </w:r>
    </w:p>
    <w:p>
      <w:pPr>
        <w:spacing w:after="0" w:line="162" w:lineRule="exact"/>
        <w:rPr>
          <w:sz w:val="20"/>
          <w:szCs w:val="20"/>
          <w:color w:val="auto"/>
        </w:rPr>
      </w:pPr>
    </w:p>
    <w:p>
      <w:pPr>
        <w:ind w:right="940" w:firstLine="440"/>
        <w:spacing w:after="0" w:line="282" w:lineRule="auto"/>
        <w:rPr>
          <w:sz w:val="20"/>
          <w:szCs w:val="20"/>
          <w:color w:val="auto"/>
        </w:rPr>
      </w:pPr>
      <w:r>
        <w:rPr>
          <w:rFonts w:ascii="Times New Roman" w:cs="Times New Roman" w:eastAsia="Times New Roman" w:hAnsi="Times New Roman"/>
          <w:sz w:val="18"/>
          <w:szCs w:val="18"/>
          <w:color w:val="auto"/>
        </w:rPr>
        <w:t>WHEREAS, this Declaration amends and restates in its entirety that certain Declaration of Trust dated as of April 5, 2022 (the “Initial Declaration”);</w:t>
      </w:r>
    </w:p>
    <w:p>
      <w:pPr>
        <w:spacing w:after="0" w:line="162"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WHEREAS, the Trustees have agreed to manage all property coming into their hands as Trustees of a Delaware statutory trust in accordance with the provisions hereinafter set forth; and</w:t>
      </w:r>
    </w:p>
    <w:p>
      <w:pPr>
        <w:spacing w:after="0" w:line="162" w:lineRule="exact"/>
        <w:rPr>
          <w:sz w:val="20"/>
          <w:szCs w:val="20"/>
          <w:color w:val="auto"/>
        </w:rPr>
      </w:pPr>
    </w:p>
    <w:p>
      <w:pPr>
        <w:ind w:right="540" w:firstLine="440"/>
        <w:spacing w:after="0" w:line="282" w:lineRule="auto"/>
        <w:rPr>
          <w:sz w:val="20"/>
          <w:szCs w:val="20"/>
          <w:color w:val="auto"/>
        </w:rPr>
      </w:pPr>
      <w:r>
        <w:rPr>
          <w:rFonts w:ascii="Times New Roman" w:cs="Times New Roman" w:eastAsia="Times New Roman" w:hAnsi="Times New Roman"/>
          <w:sz w:val="18"/>
          <w:szCs w:val="18"/>
          <w:color w:val="auto"/>
        </w:rPr>
        <w:t>WHEREAS, the parties hereto intend that the Trust shall constitute a statutory trust under the Delaware Statutory Trust Statute and that this Declaration and the By-laws shall constitute the governing instrument of such statutory trust.</w:t>
      </w:r>
    </w:p>
    <w:p>
      <w:pPr>
        <w:spacing w:after="0" w:line="162"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NOW, THEREFORE, the Trustees hereby (i) declare that they will hold all cash, securities, and other assets that the Trust now possesses or may hereafter acquire from time to time in any manner and manage and dispose of the same upon the following terms and conditions and (ii) amend and restate the Initial Declaration in its entirety.</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Trust</w:t>
      </w:r>
    </w:p>
    <w:p>
      <w:pPr>
        <w:spacing w:after="0" w:line="229" w:lineRule="exact"/>
        <w:rPr>
          <w:sz w:val="20"/>
          <w:szCs w:val="20"/>
          <w:color w:val="auto"/>
        </w:rPr>
      </w:pPr>
    </w:p>
    <w:p>
      <w:pPr>
        <w:ind w:firstLine="440"/>
        <w:spacing w:after="0" w:line="281" w:lineRule="auto"/>
        <w:rPr>
          <w:sz w:val="20"/>
          <w:szCs w:val="20"/>
          <w:color w:val="auto"/>
        </w:rPr>
      </w:pPr>
      <w:r>
        <w:rPr>
          <w:rFonts w:ascii="Times New Roman" w:cs="Times New Roman" w:eastAsia="Times New Roman" w:hAnsi="Times New Roman"/>
          <w:sz w:val="17"/>
          <w:szCs w:val="17"/>
          <w:color w:val="auto"/>
        </w:rPr>
        <w:t xml:space="preserve">Section 1.1 </w:t>
      </w:r>
      <w:r>
        <w:rPr>
          <w:rFonts w:ascii="Times New Roman" w:cs="Times New Roman" w:eastAsia="Times New Roman" w:hAnsi="Times New Roman"/>
          <w:sz w:val="17"/>
          <w:szCs w:val="17"/>
          <w:u w:val="single" w:color="auto"/>
          <w:color w:val="auto"/>
        </w:rPr>
        <w:t>Name</w:t>
      </w:r>
      <w:r>
        <w:rPr>
          <w:rFonts w:ascii="Times New Roman" w:cs="Times New Roman" w:eastAsia="Times New Roman" w:hAnsi="Times New Roman"/>
          <w:sz w:val="17"/>
          <w:szCs w:val="17"/>
          <w:color w:val="auto"/>
        </w:rPr>
        <w:t>. This Trust shall be known as the “Sixth Street Lending Partners”, and the Trustees shall conduct the business of the Trust under that name or any other name or names as they may from time to time determine. Any name change shall become effective upon approval by the Trustees of such change and the filing and effectiveness of a certificate of amendment pursuant to Section 3810(b) of the Delaware Statutory Trust Statute (as defined below). Any such action shall not require the approval of the Shareholders, but shall have the status of an amendment to this Declaration.</w:t>
      </w:r>
    </w:p>
    <w:p>
      <w:pPr>
        <w:spacing w:after="0" w:line="164" w:lineRule="exact"/>
        <w:rPr>
          <w:sz w:val="20"/>
          <w:szCs w:val="20"/>
          <w:color w:val="auto"/>
        </w:rPr>
      </w:pPr>
    </w:p>
    <w:p>
      <w:pPr>
        <w:ind w:right="60" w:firstLine="440"/>
        <w:spacing w:after="0" w:line="274" w:lineRule="auto"/>
        <w:rPr>
          <w:sz w:val="20"/>
          <w:szCs w:val="20"/>
          <w:color w:val="auto"/>
        </w:rPr>
      </w:pPr>
      <w:r>
        <w:rPr>
          <w:rFonts w:ascii="Times New Roman" w:cs="Times New Roman" w:eastAsia="Times New Roman" w:hAnsi="Times New Roman"/>
          <w:sz w:val="17"/>
          <w:szCs w:val="17"/>
          <w:color w:val="auto"/>
        </w:rPr>
        <w:t xml:space="preserve">Section 1.2 </w:t>
      </w:r>
      <w:r>
        <w:rPr>
          <w:rFonts w:ascii="Times New Roman" w:cs="Times New Roman" w:eastAsia="Times New Roman" w:hAnsi="Times New Roman"/>
          <w:sz w:val="17"/>
          <w:szCs w:val="17"/>
          <w:u w:val="single" w:color="auto"/>
          <w:color w:val="auto"/>
        </w:rPr>
        <w:t>Trust Purpose</w:t>
      </w:r>
      <w:r>
        <w:rPr>
          <w:rFonts w:ascii="Times New Roman" w:cs="Times New Roman" w:eastAsia="Times New Roman" w:hAnsi="Times New Roman"/>
          <w:sz w:val="17"/>
          <w:szCs w:val="17"/>
          <w:color w:val="auto"/>
        </w:rPr>
        <w:t>. The purpose of the Trust is to conduct, operate and carry on the business of a business development company within the meaning of the 1940 Act (as defined below). In furtherance of the foregoing, it shall be the purpose of the Trust to do everything necessary, suitable, convenient or proper for the conduct, promotion and attainment of any businesses and purposes which at any time may be incidental or may appear conducive or expedient for the accomplishment of the business of a business development company regulated under the 1940 Act and which may be engaged in or carried on by a trust organized under the Delaware Statutory Trust Statute, and in connection therewith the Trust shall have the power and authority to engage in the foregoing and may exercise all of the powers conferred by the laws of the State of Delaware upon a Delaware statutory trust.</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in this Declaration, the following terms shall have the following meanings:</w:t>
      </w:r>
    </w:p>
    <w:p>
      <w:pPr>
        <w:spacing w:after="0" w:line="117"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1940 Act</w:t>
      </w:r>
      <w:r>
        <w:rPr>
          <w:rFonts w:ascii="Times New Roman" w:cs="Times New Roman" w:eastAsia="Times New Roman" w:hAnsi="Times New Roman"/>
          <w:sz w:val="18"/>
          <w:szCs w:val="18"/>
          <w:color w:val="auto"/>
        </w:rPr>
        <w:t>” shall mean the Investment Company Act of 1940 and the rules and regulations promulgated thereunder and exemptions granted therefrom, as amended from time to time.</w:t>
      </w:r>
    </w:p>
    <w:p>
      <w:pPr>
        <w:sectPr>
          <w:pgSz w:w="11900" w:h="16838" w:orient="portrait"/>
          <w:cols w:equalWidth="0" w:num="1">
            <w:col w:w="11000"/>
          </w:cols>
          <w:pgMar w:left="440" w:top="270" w:right="459" w:bottom="1440" w:gutter="0" w:footer="0" w:header="0"/>
        </w:sectPr>
      </w:pPr>
    </w:p>
    <w:bookmarkStart w:id="114" w:name="page115"/>
    <w:bookmarkEnd w:id="114"/>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terms “</w:t>
      </w:r>
      <w:r>
        <w:rPr>
          <w:rFonts w:ascii="Times New Roman" w:cs="Times New Roman" w:eastAsia="Times New Roman" w:hAnsi="Times New Roman"/>
          <w:sz w:val="18"/>
          <w:szCs w:val="18"/>
          <w:u w:val="single" w:color="auto"/>
          <w:color w:val="auto"/>
        </w:rPr>
        <w:t>Affiliated Person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Interested Person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Principal Underwriter</w:t>
      </w:r>
      <w:r>
        <w:rPr>
          <w:rFonts w:ascii="Times New Roman" w:cs="Times New Roman" w:eastAsia="Times New Roman" w:hAnsi="Times New Roman"/>
          <w:sz w:val="18"/>
          <w:szCs w:val="18"/>
          <w:color w:val="auto"/>
        </w:rPr>
        <w:t>” shall have the meanings given to them in the 1940 Act.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Administrator</w:t>
      </w:r>
      <w:r>
        <w:rPr>
          <w:rFonts w:ascii="Times New Roman" w:cs="Times New Roman" w:eastAsia="Times New Roman" w:hAnsi="Times New Roman"/>
          <w:sz w:val="18"/>
          <w:szCs w:val="18"/>
          <w:color w:val="auto"/>
        </w:rPr>
        <w:t>” shall mean Sixth Street Lending Partners Advisers, LLC.</w:t>
      </w:r>
    </w:p>
    <w:p>
      <w:pPr>
        <w:spacing w:after="0" w:line="225"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Adviser</w:t>
      </w:r>
      <w:r>
        <w:rPr>
          <w:rFonts w:ascii="Times New Roman" w:cs="Times New Roman" w:eastAsia="Times New Roman" w:hAnsi="Times New Roman"/>
          <w:sz w:val="18"/>
          <w:szCs w:val="18"/>
          <w:color w:val="auto"/>
        </w:rPr>
        <w:t>” shall mean Sixth Street Lending Partners Advisers, LLC or an affiliated successor in interest thereto. If the Adviser no longer serves as the investment adviser to the Trust, the rights of the Adviser in this Declaration will become the rights of the Trustees.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Trustees</w:t>
      </w:r>
      <w:r>
        <w:rPr>
          <w:rFonts w:ascii="Times New Roman" w:cs="Times New Roman" w:eastAsia="Times New Roman" w:hAnsi="Times New Roman"/>
          <w:sz w:val="18"/>
          <w:szCs w:val="18"/>
          <w:color w:val="auto"/>
        </w:rPr>
        <w:t>” shall mean the Trustees collectively.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shall mean the By-Laws of the Trust as amended from time to time by the Trustees.</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Commitment</w:t>
      </w:r>
      <w:r>
        <w:rPr>
          <w:rFonts w:ascii="Times New Roman" w:cs="Times New Roman" w:eastAsia="Times New Roman" w:hAnsi="Times New Roman"/>
          <w:sz w:val="18"/>
          <w:szCs w:val="18"/>
          <w:color w:val="auto"/>
        </w:rPr>
        <w:t>” shall mean each investor’s commitment to contribute capital to the Trust in exchange for Shares pursuant to a subscription agreement with the Trust, and includes Subsequent Capital Commitments.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shall have the meaning set forth in Section 7.1(b).</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shall mean the Internal Revenue Code of 1986, as amended, and the regulations promulgated thereunder.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shall mean the U.S. Securities and Exchange Commission.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Period</w:t>
      </w:r>
      <w:r>
        <w:rPr>
          <w:rFonts w:ascii="Times New Roman" w:cs="Times New Roman" w:eastAsia="Times New Roman" w:hAnsi="Times New Roman"/>
          <w:sz w:val="18"/>
          <w:szCs w:val="18"/>
          <w:color w:val="auto"/>
        </w:rPr>
        <w:t>” shall have the meaning set forth in Section 7.1(d).</w:t>
      </w:r>
    </w:p>
    <w:p>
      <w:pPr>
        <w:spacing w:after="0" w:line="225"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Continuing Trustee</w:t>
      </w:r>
      <w:r>
        <w:rPr>
          <w:rFonts w:ascii="Times New Roman" w:cs="Times New Roman" w:eastAsia="Times New Roman" w:hAnsi="Times New Roman"/>
          <w:sz w:val="18"/>
          <w:szCs w:val="18"/>
          <w:color w:val="auto"/>
        </w:rPr>
        <w:t>” shall mean any member of the Board of Trustees who either (a) has been a member of the Board of Trustees for a period of at least thirty-six months (or since the date hereof, if less than thirty-six months) or (b) was nominated to serve as a member of the Board of Trustees by a majority of the Continuing Trustees then members of the Board of Trustees.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Declaration</w:t>
      </w:r>
      <w:r>
        <w:rPr>
          <w:rFonts w:ascii="Times New Roman" w:cs="Times New Roman" w:eastAsia="Times New Roman" w:hAnsi="Times New Roman"/>
          <w:sz w:val="17"/>
          <w:szCs w:val="17"/>
          <w:color w:val="auto"/>
        </w:rPr>
        <w:t>” shall mean this Amended and Restated Declaration of Trust, as amended, supplemented or amended and restated from time to time.</w:t>
      </w:r>
    </w:p>
    <w:p>
      <w:pPr>
        <w:spacing w:after="0" w:line="2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Delaware General Corporation Law</w:t>
      </w:r>
      <w:r>
        <w:rPr>
          <w:rFonts w:ascii="Times New Roman" w:cs="Times New Roman" w:eastAsia="Times New Roman" w:hAnsi="Times New Roman"/>
          <w:sz w:val="18"/>
          <w:szCs w:val="18"/>
          <w:color w:val="auto"/>
        </w:rPr>
        <w:t>” shall mean the Delaware General Corporation Law, 8 Del. C. § 100, et seq., as amended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4482465</wp:posOffset>
            </wp:positionH>
            <wp:positionV relativeFrom="paragraph">
              <wp:posOffset>-7620</wp:posOffset>
            </wp:positionV>
            <wp:extent cx="3556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55600" cy="8890"/>
                    </a:xfrm>
                    <a:prstGeom prst="rect">
                      <a:avLst/>
                    </a:prstGeom>
                    <a:noFill/>
                  </pic:spPr>
                </pic:pic>
              </a:graphicData>
            </a:graphic>
          </wp:anchor>
        </w:drawing>
        <w:drawing>
          <wp:anchor simplePos="0" relativeHeight="251657728" behindDoc="1" locked="0" layoutInCell="0" allowOverlap="1">
            <wp:simplePos x="0" y="0"/>
            <wp:positionH relativeFrom="column">
              <wp:posOffset>5151755</wp:posOffset>
            </wp:positionH>
            <wp:positionV relativeFrom="paragraph">
              <wp:posOffset>-7620</wp:posOffset>
            </wp:positionV>
            <wp:extent cx="32004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20040" cy="8890"/>
                    </a:xfrm>
                    <a:prstGeom prst="rect">
                      <a:avLst/>
                    </a:prstGeom>
                    <a:noFill/>
                  </pic:spPr>
                </pic:pic>
              </a:graphicData>
            </a:graphic>
          </wp:anchor>
        </w:drawing>
      </w:r>
    </w:p>
    <w:p>
      <w:pPr>
        <w:spacing w:after="0" w:line="205"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Delaware Statutory Trust Statute</w:t>
      </w:r>
      <w:r>
        <w:rPr>
          <w:rFonts w:ascii="Times New Roman" w:cs="Times New Roman" w:eastAsia="Times New Roman" w:hAnsi="Times New Roman"/>
          <w:sz w:val="18"/>
          <w:szCs w:val="18"/>
          <w:color w:val="auto"/>
        </w:rPr>
        <w:t>” shall mean the provisions of the Delaware Statutory Trust Act, 12 Del. C. § 3801, et seq., as amended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4904740</wp:posOffset>
            </wp:positionH>
            <wp:positionV relativeFrom="paragraph">
              <wp:posOffset>-185420</wp:posOffset>
            </wp:positionV>
            <wp:extent cx="35560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55600" cy="8255"/>
                    </a:xfrm>
                    <a:prstGeom prst="rect">
                      <a:avLst/>
                    </a:prstGeom>
                    <a:noFill/>
                  </pic:spPr>
                </pic:pic>
              </a:graphicData>
            </a:graphic>
          </wp:anchor>
        </w:drawing>
        <w:drawing>
          <wp:anchor simplePos="0" relativeHeight="251657728" behindDoc="1" locked="0" layoutInCell="0" allowOverlap="1">
            <wp:simplePos x="0" y="0"/>
            <wp:positionH relativeFrom="column">
              <wp:posOffset>5631180</wp:posOffset>
            </wp:positionH>
            <wp:positionV relativeFrom="paragraph">
              <wp:posOffset>-185420</wp:posOffset>
            </wp:positionV>
            <wp:extent cx="32004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20040" cy="8255"/>
                    </a:xfrm>
                    <a:prstGeom prst="rect">
                      <a:avLst/>
                    </a:prstGeom>
                    <a:noFill/>
                  </pic:spPr>
                </pic:pic>
              </a:graphicData>
            </a:graphic>
          </wp:anchor>
        </w:drawing>
      </w:r>
    </w:p>
    <w:p>
      <w:pPr>
        <w:spacing w:after="0" w:line="142"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Delaware Trustee</w:t>
      </w:r>
      <w:r>
        <w:rPr>
          <w:rFonts w:ascii="Times New Roman" w:cs="Times New Roman" w:eastAsia="Times New Roman" w:hAnsi="Times New Roman"/>
          <w:sz w:val="18"/>
          <w:szCs w:val="18"/>
          <w:color w:val="auto"/>
        </w:rPr>
        <w:t>” shall mean SMC-CAS, LLC, a Delaware limited liability company, and any successor trustee appointed in accordance with Section 13.6 of this Declaration.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Drawdown Purchase</w:t>
      </w:r>
      <w:r>
        <w:rPr>
          <w:rFonts w:ascii="Times New Roman" w:cs="Times New Roman" w:eastAsia="Times New Roman" w:hAnsi="Times New Roman"/>
          <w:sz w:val="18"/>
          <w:szCs w:val="18"/>
          <w:color w:val="auto"/>
        </w:rPr>
        <w:t>” shall have the meaning set forth in Section 7.1(a).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shall have the meaning set forth in Section 7.1(c).</w:t>
      </w:r>
    </w:p>
    <w:p>
      <w:pPr>
        <w:spacing w:after="0" w:line="225" w:lineRule="exact"/>
        <w:rPr>
          <w:sz w:val="20"/>
          <w:szCs w:val="20"/>
          <w:color w:val="auto"/>
        </w:rPr>
      </w:pPr>
    </w:p>
    <w:p>
      <w:pPr>
        <w:jc w:val="both"/>
        <w:ind w:right="3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Listing</w:t>
      </w:r>
      <w:r>
        <w:rPr>
          <w:rFonts w:ascii="Times New Roman" w:cs="Times New Roman" w:eastAsia="Times New Roman" w:hAnsi="Times New Roman"/>
          <w:sz w:val="18"/>
          <w:szCs w:val="18"/>
          <w:color w:val="auto"/>
        </w:rPr>
        <w:t>” shall mean the quotation or listing of the Trust’s securities on a national securities exchange (including through an initial public offering) or a sale of all or substantially all of the assets of the Trust to, or a merger or other liquidity transaction with, an entity in which the Trust’s Shareholders receive shares of a publicly traded company that continues to be managed by the Adviser or an affiliate thereof.</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Closing</w:t>
      </w:r>
      <w:r>
        <w:rPr>
          <w:rFonts w:ascii="Times New Roman" w:cs="Times New Roman" w:eastAsia="Times New Roman" w:hAnsi="Times New Roman"/>
          <w:sz w:val="18"/>
          <w:szCs w:val="18"/>
          <w:color w:val="auto"/>
        </w:rPr>
        <w:t>” shall have the meaning set forth in Section 7.1(b).</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440" w:top="270" w:right="519" w:bottom="1440" w:gutter="0" w:footer="0" w:header="0"/>
        </w:sectPr>
      </w:pPr>
    </w:p>
    <w:bookmarkStart w:id="115" w:name="page116"/>
    <w:bookmarkEnd w:id="115"/>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Majority Shareholder Vote</w:t>
      </w:r>
      <w:r>
        <w:rPr>
          <w:rFonts w:ascii="Times New Roman" w:cs="Times New Roman" w:eastAsia="Times New Roman" w:hAnsi="Times New Roman"/>
          <w:sz w:val="18"/>
          <w:szCs w:val="18"/>
          <w:color w:val="auto"/>
        </w:rPr>
        <w:t>” shall mean a vote of “a majority of the outstanding voting securities” (as such term is defined in the 1940 Act) of the Trust with each class and series of Shares voting together as a single class, except to the extent otherwise required by the 1940 Act or this Declaration with respect to any one or more classes or series of Shares, in which case the applicable proportion of such classes or series of Shares voting as a separate class or series, as the case may be, also will be required.</w:t>
      </w:r>
    </w:p>
    <w:p>
      <w:pPr>
        <w:spacing w:after="0" w:line="180"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shall mean and include individuals, corporations, partnerships, trusts, limited liability companies, associations, joint ventures and other entities, whether or not legal entities, and governments and agencies and political subdivisions thereof.</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shall mean the Securities Act of 1933, as amended.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Shareholders</w:t>
      </w:r>
      <w:r>
        <w:rPr>
          <w:rFonts w:ascii="Times New Roman" w:cs="Times New Roman" w:eastAsia="Times New Roman" w:hAnsi="Times New Roman"/>
          <w:sz w:val="18"/>
          <w:szCs w:val="18"/>
          <w:color w:val="auto"/>
        </w:rPr>
        <w:t>” shall mean as of any particular time the holders of record of outstanding Shares of the Trust, at such time.</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shall mean the transferable units of beneficial interest into which the beneficial interest in the Trust shall be divided from time to time and includes fractions of Shares as well as whole Shares. In addition, Shares shall also mean any preferred shares or preferred units of beneficial interest that may be issued from time to time, as described herein. All references to Shares shall be deemed to be Shares of any or all series or classes as the context may require.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Subsequent Capital Commitments</w:t>
      </w:r>
      <w:r>
        <w:rPr>
          <w:rFonts w:ascii="Times New Roman" w:cs="Times New Roman" w:eastAsia="Times New Roman" w:hAnsi="Times New Roman"/>
          <w:sz w:val="18"/>
          <w:szCs w:val="18"/>
          <w:color w:val="auto"/>
        </w:rPr>
        <w:t>” shall have the meaning set forth in Section 7.1(d).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Subsequent Closings</w:t>
      </w:r>
      <w:r>
        <w:rPr>
          <w:rFonts w:ascii="Times New Roman" w:cs="Times New Roman" w:eastAsia="Times New Roman" w:hAnsi="Times New Roman"/>
          <w:sz w:val="18"/>
          <w:szCs w:val="18"/>
          <w:color w:val="auto"/>
        </w:rPr>
        <w:t>” shall have the meaning set forth in Section 7.1(d).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w:t>
      </w:r>
      <w:r>
        <w:rPr>
          <w:rFonts w:ascii="Times New Roman" w:cs="Times New Roman" w:eastAsia="Times New Roman" w:hAnsi="Times New Roman"/>
          <w:sz w:val="18"/>
          <w:szCs w:val="18"/>
          <w:color w:val="auto"/>
        </w:rPr>
        <w:t>” shall mean the trust governed by this Declaration and the By-laws, as amended from time to time, inclusive of each such amendment.</w:t>
      </w:r>
    </w:p>
    <w:p>
      <w:pPr>
        <w:spacing w:after="0" w:line="225"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 Property</w:t>
      </w:r>
      <w:r>
        <w:rPr>
          <w:rFonts w:ascii="Times New Roman" w:cs="Times New Roman" w:eastAsia="Times New Roman" w:hAnsi="Times New Roman"/>
          <w:sz w:val="18"/>
          <w:szCs w:val="18"/>
          <w:color w:val="auto"/>
        </w:rPr>
        <w:t>” shall mean as of any particular time any and all property, real or personal, tangible or intangible, which at such time is owned or held by or for the account of the Trust or the Trustees in such capacity.</w:t>
      </w:r>
    </w:p>
    <w:p>
      <w:pPr>
        <w:spacing w:after="0" w:line="162"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Trustees</w:t>
      </w:r>
      <w:r>
        <w:rPr>
          <w:rFonts w:ascii="Times New Roman" w:cs="Times New Roman" w:eastAsia="Times New Roman" w:hAnsi="Times New Roman"/>
          <w:sz w:val="18"/>
          <w:szCs w:val="18"/>
          <w:color w:val="auto"/>
        </w:rPr>
        <w:t>” shall mean the signatories to this Declaration (but for purposes of this Declaration shall not be deemed to include the Delaware Trustee), so long as they shall continue in office in accordance with the terms hereof, and all other persons who at the time in question have been duly elected or appointed and have qualified as trustees in accordance with the provisions hereof and are then in office.</w:t>
      </w: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Board of Trustees</w:t>
      </w:r>
    </w:p>
    <w:p>
      <w:pPr>
        <w:spacing w:after="0" w:line="229" w:lineRule="exact"/>
        <w:rPr>
          <w:sz w:val="20"/>
          <w:szCs w:val="20"/>
          <w:color w:val="auto"/>
        </w:rPr>
      </w:pPr>
    </w:p>
    <w:p>
      <w:pPr>
        <w:ind w:right="60" w:firstLine="440"/>
        <w:spacing w:after="0" w:line="277" w:lineRule="auto"/>
        <w:rPr>
          <w:sz w:val="20"/>
          <w:szCs w:val="20"/>
          <w:color w:val="auto"/>
        </w:rPr>
      </w:pPr>
      <w:r>
        <w:rPr>
          <w:rFonts w:ascii="Times New Roman" w:cs="Times New Roman" w:eastAsia="Times New Roman" w:hAnsi="Times New Roman"/>
          <w:sz w:val="17"/>
          <w:szCs w:val="17"/>
          <w:color w:val="auto"/>
        </w:rPr>
        <w:t xml:space="preserve">Section 2.1 </w:t>
      </w:r>
      <w:r>
        <w:rPr>
          <w:rFonts w:ascii="Times New Roman" w:cs="Times New Roman" w:eastAsia="Times New Roman" w:hAnsi="Times New Roman"/>
          <w:sz w:val="17"/>
          <w:szCs w:val="17"/>
          <w:u w:val="single" w:color="auto"/>
          <w:color w:val="auto"/>
        </w:rPr>
        <w:t>Number and Qualification</w:t>
      </w:r>
      <w:r>
        <w:rPr>
          <w:rFonts w:ascii="Times New Roman" w:cs="Times New Roman" w:eastAsia="Times New Roman" w:hAnsi="Times New Roman"/>
          <w:sz w:val="17"/>
          <w:szCs w:val="17"/>
          <w:color w:val="auto"/>
        </w:rPr>
        <w:t>. As of the date hereof, the Trustees shall be the signatories hereto and the number of Trustees shall be the number of person so signing until changed by the Trustees. Thereafter, the number of Trustees shall be determined by a majority of the Trustees then in office, provided that the number of Trustees shall be no less than two or more than fifteen. No reduction in the number of Trustees shall have the effect of removing any Trustee from office prior to the expiration of his term. An individual nominated as a Trustee shall be at least 21 years of age and not older than 80 years of age at the time of nomination and not under legal disability. Trustees need not own Shares and may succeed themselves in office.</w:t>
      </w:r>
    </w:p>
    <w:p>
      <w:pPr>
        <w:spacing w:after="0" w:line="168" w:lineRule="exact"/>
        <w:rPr>
          <w:sz w:val="20"/>
          <w:szCs w:val="20"/>
          <w:color w:val="auto"/>
        </w:rPr>
      </w:pPr>
    </w:p>
    <w:p>
      <w:pPr>
        <w:jc w:val="both"/>
        <w:ind w:right="20" w:firstLine="440"/>
        <w:spacing w:after="0" w:line="312" w:lineRule="auto"/>
        <w:rPr>
          <w:sz w:val="20"/>
          <w:szCs w:val="20"/>
          <w:color w:val="auto"/>
        </w:rPr>
      </w:pPr>
      <w:r>
        <w:rPr>
          <w:rFonts w:ascii="Times New Roman" w:cs="Times New Roman" w:eastAsia="Times New Roman" w:hAnsi="Times New Roman"/>
          <w:sz w:val="17"/>
          <w:szCs w:val="17"/>
          <w:color w:val="auto"/>
        </w:rPr>
        <w:t xml:space="preserve">Section 2.2 </w:t>
      </w:r>
      <w:r>
        <w:rPr>
          <w:rFonts w:ascii="Times New Roman" w:cs="Times New Roman" w:eastAsia="Times New Roman" w:hAnsi="Times New Roman"/>
          <w:sz w:val="17"/>
          <w:szCs w:val="17"/>
          <w:u w:val="single" w:color="auto"/>
          <w:color w:val="auto"/>
        </w:rPr>
        <w:t>Term and Election</w:t>
      </w:r>
      <w:r>
        <w:rPr>
          <w:rFonts w:ascii="Times New Roman" w:cs="Times New Roman" w:eastAsia="Times New Roman" w:hAnsi="Times New Roman"/>
          <w:sz w:val="17"/>
          <w:szCs w:val="17"/>
          <w:color w:val="auto"/>
        </w:rPr>
        <w:t>. Each Trustee shall serve during the continued lifetime of the Trust until he or she dies, resigns or is removed, or, if sooner, until the next meeting of Shareholders called for the purpose of electing Trustees and until the election and qualification of his or her successor.</w:t>
      </w:r>
    </w:p>
    <w:p>
      <w:pPr>
        <w:spacing w:after="0" w:line="140" w:lineRule="exact"/>
        <w:rPr>
          <w:sz w:val="20"/>
          <w:szCs w:val="20"/>
          <w:color w:val="auto"/>
        </w:rPr>
      </w:pPr>
    </w:p>
    <w:p>
      <w:pPr>
        <w:ind w:right="3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Resignation and Removal</w:t>
      </w:r>
      <w:r>
        <w:rPr>
          <w:rFonts w:ascii="Times New Roman" w:cs="Times New Roman" w:eastAsia="Times New Roman" w:hAnsi="Times New Roman"/>
          <w:sz w:val="18"/>
          <w:szCs w:val="18"/>
          <w:color w:val="auto"/>
        </w:rPr>
        <w:t>. Any of the Trustees may resign their trust (without need for prior or subsequent accounting) by an instrument in writing signed by such Trustee and delivered or mailed to the Trustees or the Chairman, if any, the President or the Secretary and such resignation shall be effective upon such delivery, or at a later date according to the terms of the instrument. Any of the Trustees may be removed (provided the aggregate number of Trustees after such removal shall not be less than the minimum number required by</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0"/>
          </w:cols>
          <w:pgMar w:left="440" w:top="270" w:right="499" w:bottom="1440" w:gutter="0" w:footer="0" w:header="0"/>
        </w:sectPr>
      </w:pPr>
    </w:p>
    <w:bookmarkStart w:id="116" w:name="page117"/>
    <w:bookmarkEnd w:id="116"/>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2.1 hereof) for cause only, and not without cause, and only by action taken by a majority of the remaining Trustees (or in the case of the removal of a Trustee that is not an “interested person” as defined in the 1940 Act, a majority of the remaining Trustees that are not “interested persons” as defined in the 1940 Act) and by the holders of at least a majority of the Shares then entitled to vote in an election of such Trustee. Upon the resignation or removal of a Trustee, each such resigning or removed Trustee shall execute and deliver such documents as the remaining Trustees shall require for the purpose of conveying to the Trust or the remaining Trustees any Trust Property held in the name of such resigning or removed Trustee. Upon the incapacity or death of any Trustee, such Trustee’s legal representative shall execute and deliver on such Trustee’s behalf such documents as the remaining Trustees shall require as provided in the preceding sentence. Except to the extent expressly provided in a written agreement with the Trust, no Trustee resigning and no Trustee removed shall have any right to any compensation for any period following the effective date of his resignation or removal, or any right to damages on account of a removal.</w:t>
      </w:r>
    </w:p>
    <w:p>
      <w:pPr>
        <w:spacing w:after="0" w:line="188" w:lineRule="exact"/>
        <w:rPr>
          <w:sz w:val="20"/>
          <w:szCs w:val="20"/>
          <w:color w:val="auto"/>
        </w:rPr>
      </w:pPr>
    </w:p>
    <w:p>
      <w:pPr>
        <w:ind w:right="10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Whenever a vacancy in the Board of Trustees shall occur, the remaining Trustees may fill such vacancy by appointing an individual having the qualifications described in this Article by a majority of the Trustees then in office or may leave such vacancy unfilled or may reduce the number of Trustees; provided the aggregate number of Trustees after such reduction shall not be less than the minimum number required by Section 2.1 hereof; provided, further, that if the Shareholders of any class or series of Shares are entitled separately to elect one or more Trustees, a majority of the remaining Trustees or the sole remaining Trustee elected by that class or series may fill any vacancy among the number of Trustees elected by that class or series. Any vacancy created by an increase in Trustees may be filled by the appointment of an individual having the qualifications described in this Article made by a majority of the Trustees then in office. No vacancy shall operate to annul this Declaration or to revoke any existing agency created pursuant to the terms of this Declaration. Whenever a vacancy in the number of Trustees shall occur, until such vacancy is filled as provided herein, the Trustees in office, regardless of their number, shall have all the powers granted to the Trustees and shall discharge all the duties imposed upon the Trustees by this Declaration.</w:t>
      </w:r>
    </w:p>
    <w:p>
      <w:pPr>
        <w:spacing w:after="0" w:line="194"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u w:val="single" w:color="auto"/>
          <w:color w:val="auto"/>
        </w:rPr>
        <w:t>Meetings</w:t>
      </w:r>
      <w:r>
        <w:rPr>
          <w:rFonts w:ascii="Times New Roman" w:cs="Times New Roman" w:eastAsia="Times New Roman" w:hAnsi="Times New Roman"/>
          <w:sz w:val="18"/>
          <w:szCs w:val="18"/>
          <w:color w:val="auto"/>
        </w:rPr>
        <w:t>. Meetings of the Trustees shall be held from time to time upon the call of the Chairman, if any, or the President or any two Trustees. Regular meetings of the Trustees may be held without call or notice at a time and place fixed by the By-Laws, the Chairman or by resolution or consent of the Trustees. Notice of any other meeting shall be given by the Secretary and shall be delivered to the Trustees orally or via electronic transmission not less than 24 hours, or in writing not less than 72 hours, before the meeting, but may be waived in writing by any Trustee either before or after such meeting. The attendance of a Trustee at a meeting shall constitute a waiver of notice of such meeting except where a Trustee attends a meeting for the express purpose of objecting to the transaction of any business on the ground that the meeting has not been properly called or convened. Any time there is more than one Trustee, a quorum for all meetings of the Trustees shall be one-third, but not less than two, of the Trustees. Unless provided otherwise in this Declaration and except as required under the 1940 Act, any action of the Trustees may be taken at a meeting by vote of a majority of the Trustees present (a quorum being present) or without a meeting by written consent of the Trustees as provided in Section 2.6.</w:t>
      </w:r>
    </w:p>
    <w:p>
      <w:pPr>
        <w:spacing w:after="0" w:line="188"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Any committee of the Trustees, including an executive committee, if any, may act with or without a meeting. A quorum for all meetings of any such committee shall be one-third, but not less than two, of the members thereof. Unless provided otherwise in this Declaration, any action of any such committee may be taken at a meeting by vote of a majority of the members present (a quorum being present) or without a meeting by written consent of the members as provided in Section 2.6.</w:t>
      </w:r>
    </w:p>
    <w:p>
      <w:pPr>
        <w:spacing w:after="0" w:line="180"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With respect to actions of the Trustees and any committee of the Trustees, Trustees who are Interested Persons in any action to be taken may be counted for quorum purposes under this Section and shall be entitled to vote to the extent not prohibited by the 1940 Act.</w:t>
      </w:r>
    </w:p>
    <w:p>
      <w:pPr>
        <w:spacing w:after="0" w:line="162"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All or any one or more Trustees may participate in a meeting of the Trustees or any committee thereof by means of a conference telephone or similar communications equipment by means of which all persons participating in the meeting can hear each other; participation in a meeting pursuant to any such communications system shall constitute presence in person at such meeting.</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70" w:right="439" w:bottom="1440" w:gutter="0" w:footer="0" w:header="0"/>
        </w:sectPr>
      </w:pPr>
    </w:p>
    <w:bookmarkStart w:id="117" w:name="page118"/>
    <w:bookmarkEnd w:id="117"/>
    <w:p>
      <w:pPr>
        <w:ind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2.6 </w:t>
      </w:r>
      <w:r>
        <w:rPr>
          <w:rFonts w:ascii="Times New Roman" w:cs="Times New Roman" w:eastAsia="Times New Roman" w:hAnsi="Times New Roman"/>
          <w:sz w:val="18"/>
          <w:szCs w:val="18"/>
          <w:u w:val="single" w:color="auto"/>
          <w:color w:val="auto"/>
        </w:rPr>
        <w:t>Trustee Action by Written Consent</w:t>
      </w:r>
      <w:r>
        <w:rPr>
          <w:rFonts w:ascii="Times New Roman" w:cs="Times New Roman" w:eastAsia="Times New Roman" w:hAnsi="Times New Roman"/>
          <w:sz w:val="18"/>
          <w:szCs w:val="18"/>
          <w:color w:val="auto"/>
        </w:rPr>
        <w:t>. Any action that may be taken by Trustees by vote may be taken without a meeting if the number of the Trustees, or members of a committee, as the case may be, required for approval of such action at a meeting of the Trustees or of such committee at which all of the Trustees are present and voted consent to the action in writing and the written consents are filed with the records of the meetings of Trustees. Such consent shall be treated for all purposes as a vote taken at a meeting of Trustees.</w:t>
      </w:r>
    </w:p>
    <w:p>
      <w:pPr>
        <w:spacing w:after="0" w:line="180"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2.7 </w:t>
      </w:r>
      <w:r>
        <w:rPr>
          <w:rFonts w:ascii="Times New Roman" w:cs="Times New Roman" w:eastAsia="Times New Roman" w:hAnsi="Times New Roman"/>
          <w:sz w:val="18"/>
          <w:szCs w:val="18"/>
          <w:u w:val="single" w:color="auto"/>
          <w:color w:val="auto"/>
        </w:rPr>
        <w:t>Officers</w:t>
      </w:r>
      <w:r>
        <w:rPr>
          <w:rFonts w:ascii="Times New Roman" w:cs="Times New Roman" w:eastAsia="Times New Roman" w:hAnsi="Times New Roman"/>
          <w:sz w:val="18"/>
          <w:szCs w:val="18"/>
          <w:color w:val="auto"/>
        </w:rPr>
        <w:t>. The Trustees shall elect a Chief Executive Officer, a Secretary and a Chief Financial Officer and may elect a Chairman who shall serve at the pleasure of the Trustees or until their successors are elected. The Trustees may elect or appoint or may authorize the Chairman, if any, or Chief Executive Officer to appoint such other officers or agents with such powers as the Trustees may deem to be advisable. A Chairman shall, and the Chief Executive Officer, Secretary and Chief Financial Officer may, but need not, be a Trustee. All officers shall owe to the Trust and its Shareholders the same fiduciary duties (and only such fiduciary duties) as owed by officers of corporations to such corporations and their stockholders under the Delaware General Corporation Law.</w:t>
      </w:r>
    </w:p>
    <w:p>
      <w:pPr>
        <w:spacing w:after="0" w:line="187"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2.8 </w:t>
      </w:r>
      <w:r>
        <w:rPr>
          <w:rFonts w:ascii="Times New Roman" w:cs="Times New Roman" w:eastAsia="Times New Roman" w:hAnsi="Times New Roman"/>
          <w:sz w:val="18"/>
          <w:szCs w:val="18"/>
          <w:u w:val="single" w:color="auto"/>
          <w:color w:val="auto"/>
        </w:rPr>
        <w:t>Principal Transactions</w:t>
      </w:r>
      <w:r>
        <w:rPr>
          <w:rFonts w:ascii="Times New Roman" w:cs="Times New Roman" w:eastAsia="Times New Roman" w:hAnsi="Times New Roman"/>
          <w:sz w:val="18"/>
          <w:szCs w:val="18"/>
          <w:color w:val="auto"/>
        </w:rPr>
        <w:t>. Except to the extent prohibited by applicable law, the Trustees may, on behalf of the Trust, buy any securities from or sell any securities to or lend any assets of the Trust to, any Trustee or officer of the Trust or any firm of which any such Trustee or officer is a member acting as principal, or have any such dealings with any Affiliated Person of the Trust, investment adviser, investment sub-adviser, distributor or transfer agent for the Trust or with any Interested Person of such Affiliated Person or other person; and the Trust may employ any such Affiliated Person or other person, or firm or company in which such Affiliated Person or other person is an Interested Person, as broker, legal counsel, registrar, investment advisor, investment sub-advisor, distributor, transfer agent, dividend disbursing agent, custodian or in any other capacity upon customary terms.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Powers and Duties of Trustees</w:t>
      </w:r>
    </w:p>
    <w:p>
      <w:pPr>
        <w:spacing w:after="0" w:line="229"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Trustees shall have exclusive and absolute control over the Trust Property and over the business of the Trust to the same extent as if the Trustees were the sole owners of the Trust Property and business in their own right, but with such powers of delegation as may be permitted by this Declaration. The Trustees may perform such acts as in their sole discretion are proper for conducting the business of the Trust. Unless another standard is specified herein, in conducting the business of the Trust and in exercising their rights and powers hereunder, the Trustees may take any actions and make any determinations in their subjective belief that such actions or determinations are in, or not opposed to, the best interest of the Trust. The Trustees have the power to construe and interpret this Declaration and to act upon any such construction or interpretation. Any construction or interpretation of this Declaration by the Trustees and any action taken pursuant thereto and any determination as to what is in the interests of the Trust and the Shareholders made by the Trustees in good faith shall, in each case, be conclusive and binding on all Shareholders and all other Persons for all purposes. The enumeration of any specific power herein shall not be construed as limiting the aforesaid power. Such powers of the Trustees may be exercised without order of or resort to any court. Except as required by federal law including the 1940 Act, neither the Trustees nor any officer of the Trust shall owe any fiduciary duty to the Trust or any series or class or any Shareholder.</w:t>
      </w:r>
    </w:p>
    <w:p>
      <w:pPr>
        <w:spacing w:after="0" w:line="192"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Unless otherwise determined by the Board of Trustees, the investment objective of the Trust will be to generate current income by targeting investments with favorable risk-adjusted returns. The Trustees shall have power with respect to the Trust to manage, conduct, operate and carry on the business of a business development company.</w:t>
      </w:r>
    </w:p>
    <w:p>
      <w:pPr>
        <w:spacing w:after="0" w:line="176" w:lineRule="exact"/>
        <w:rPr>
          <w:sz w:val="20"/>
          <w:szCs w:val="20"/>
          <w:color w:val="auto"/>
        </w:rPr>
      </w:pPr>
    </w:p>
    <w:p>
      <w:pPr>
        <w:jc w:val="both"/>
        <w:ind w:right="200" w:firstLine="440"/>
        <w:spacing w:after="0" w:line="289" w:lineRule="auto"/>
        <w:rPr>
          <w:sz w:val="20"/>
          <w:szCs w:val="20"/>
          <w:color w:val="auto"/>
        </w:rPr>
      </w:pPr>
      <w:r>
        <w:rPr>
          <w:rFonts w:ascii="Times New Roman" w:cs="Times New Roman" w:eastAsia="Times New Roman" w:hAnsi="Times New Roman"/>
          <w:sz w:val="17"/>
          <w:szCs w:val="17"/>
          <w:color w:val="auto"/>
        </w:rPr>
        <w:t xml:space="preserve">Section 3.3 </w:t>
      </w:r>
      <w:r>
        <w:rPr>
          <w:rFonts w:ascii="Times New Roman" w:cs="Times New Roman" w:eastAsia="Times New Roman" w:hAnsi="Times New Roman"/>
          <w:sz w:val="17"/>
          <w:szCs w:val="17"/>
          <w:u w:val="single" w:color="auto"/>
          <w:color w:val="auto"/>
        </w:rPr>
        <w:t>Legal Title</w:t>
      </w:r>
      <w:r>
        <w:rPr>
          <w:rFonts w:ascii="Times New Roman" w:cs="Times New Roman" w:eastAsia="Times New Roman" w:hAnsi="Times New Roman"/>
          <w:sz w:val="17"/>
          <w:szCs w:val="17"/>
          <w:color w:val="auto"/>
        </w:rPr>
        <w:t>. Legal title to all of the Trust Property shall be vested in the Trust as a separate legal entity except that the Trustees shall have power to cause legal title to any Trust Property to be held by or in the name of one or more of the Trustees, or in the name of any other Person as nominee, custodian or pledgee, on such terms as the Trustees may determine, provided that the interest of the Trust therein is appropriately protected.</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118" w:name="page119"/>
    <w:bookmarkEnd w:id="118"/>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the extent any Trust Property is titled in the name of one or more Trustees, the right, title and interest of such Trustees in the Trust Property shall vest automatically in each person who may hereafter become a Trustee upon his due election and qualification. Upon the ceasing of any person to be a Trustee for any reason, such person shall automatically cease to have any right, title or interest in any of the Trust Property, and the right, title and interest of such Trustee in the Trust Property shall vest automatically in the remaining Trustees. Such vesting and cessation of title shall be effective whether or not conveyancing documents have been executed and delivered.</w:t>
      </w:r>
    </w:p>
    <w:p>
      <w:pPr>
        <w:spacing w:after="0" w:line="183"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Issuance and Repurchase of Shares</w:t>
      </w:r>
      <w:r>
        <w:rPr>
          <w:rFonts w:ascii="Times New Roman" w:cs="Times New Roman" w:eastAsia="Times New Roman" w:hAnsi="Times New Roman"/>
          <w:sz w:val="18"/>
          <w:szCs w:val="18"/>
          <w:color w:val="auto"/>
        </w:rPr>
        <w:t>. The Trustees shall have the power to issue, sell, repurchase, redeem, retire, cancel, acquire, hold, resell, reissue, dispose of, transfer, and otherwise deal in, Shares, including Shares in fractional denominations, and, subject to the more detailed provisions set forth in Article IX, to apply to any such repurchase, redemption, retirement, cancellation or acquisition of Shares any funds or property. The Trustees may establish, from time to time, a program or programs by which the Trust voluntarily repurchases Shares from the Shareholders; provided, however, that such repurchases do not impair the capital or operations of the Trust.</w:t>
      </w:r>
    </w:p>
    <w:p>
      <w:pPr>
        <w:spacing w:after="0" w:line="183"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u w:val="single" w:color="auto"/>
          <w:color w:val="auto"/>
        </w:rPr>
        <w:t>Borrow Money or Utilize Leverage</w:t>
      </w:r>
      <w:r>
        <w:rPr>
          <w:rFonts w:ascii="Times New Roman" w:cs="Times New Roman" w:eastAsia="Times New Roman" w:hAnsi="Times New Roman"/>
          <w:sz w:val="18"/>
          <w:szCs w:val="18"/>
          <w:color w:val="auto"/>
        </w:rPr>
        <w:t>. The Trustees shall have the power to cause the Trust to borrow money or otherwise obtain credit or utilize leverage to the maximum extent permitted by law or regulation as such may be needed from time to time and to secure the same by mortgaging, pledging or otherwise subjecting as security the assets of the Trust, including the lending of portfolio securities, and to endorse, guarantee, or undertake the performance of any obligation, contract or engagement of any other person, firm, association or corporation. In addition and notwithstanding any other provision of this Declaration, the Trust is hereby authorized to borrow funds, incur indebtedness and guarantee obligations of any Person, and in connection therewith, to the fullest extent permitted by law, the Trustees, on behalf of the Trust, are hereby authorized to pledge, hypothecate, mortgage, assign, transfer or grant security interests in or other liens on (i) the Shareholders’ subscription agreements, Capital Commitments, and the Shareholders’ obligations to make capital contributions thereunder and hereunder, to satisfy their Capital Commitments, subject to the terms hereof and thereof, and (ii) any other assets, rights or remedies of the Trust or of the Trustees hereunder or under the subscription agreements, including without limitation, the right to issue capital call notices and to exercise remedies upon a default by a Shareholder in the payment of its capital contributions and the right to receive capital contributions and other payments, subject to the terms hereof and thereof. Notwithstanding any provision in this Declaration, (i) the Trust may borrow funds, incur indebtedness and enter into guarantees together with one or more Persons on a joint and several basis or on any other basis that the Board of Trustees, in its sole discretion, determines is fair and reasonable to the Trust, and (ii) in connection with any borrowing, indebtedness or guarantee by the Trust, all capital contributions shall be payable to the account of the Trust designated by the Board of Trustees, which may be pledged to any lender or other credit party of the Trust. All rights granted to a lender pursuant to this Section 3.5 shall apply to its agents and its successors and permitted assigns.</w:t>
      </w:r>
    </w:p>
    <w:p>
      <w:pPr>
        <w:spacing w:after="0" w:line="195"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3.6 </w:t>
      </w:r>
      <w:r>
        <w:rPr>
          <w:rFonts w:ascii="Times New Roman" w:cs="Times New Roman" w:eastAsia="Times New Roman" w:hAnsi="Times New Roman"/>
          <w:sz w:val="18"/>
          <w:szCs w:val="18"/>
          <w:u w:val="single" w:color="auto"/>
          <w:color w:val="auto"/>
        </w:rPr>
        <w:t>Delegation by Trustees</w:t>
      </w:r>
      <w:r>
        <w:rPr>
          <w:rFonts w:ascii="Times New Roman" w:cs="Times New Roman" w:eastAsia="Times New Roman" w:hAnsi="Times New Roman"/>
          <w:sz w:val="18"/>
          <w:szCs w:val="18"/>
          <w:color w:val="auto"/>
        </w:rPr>
        <w:t>. Subject only to any limitations required by federal law including the 1940 Act, the Trustees may delegate any and all powers and authority hereunder as they consider desirable to any officer of the Trust, to any committee of the Trustees, any committee composed of Trustees and other persons and any committee composed only of persons other than Trustees and to any agent, independent contractor or employee of the Trust or to any custodian, administrator, transfer or shareholder servicing agent, manager, investment advisor or sub-advisor, Principal Underwriter or other service provider, provided that such delegation of power or authority by the Trustees shall not cause any Trustee to cease to be a Trustee of the Trust or cause such person, officer, agent, employee, custodian, transfer or shareholder servicing agent, manager, Principal Underwriter or other service provider to whom any power or authority has been delegated to be a Trustee of the Trust. The reference in this Declaration to the right of the Trustees to, or circumstances under which they may, delegate any power or authority, or the reference in this Declaration to the authorized agents of the Trustees or any other Person to whom any power or authority has or may be delegated pursuant to any specific provision of this Declaration, shall not limit the authority of the Trustees to delegate any other power or authority under this Declaration to any Person, subject only to any limitations under federal law including the 1940 Act.</w:t>
      </w:r>
    </w:p>
    <w:p>
      <w:pPr>
        <w:spacing w:after="0" w:line="192" w:lineRule="exact"/>
        <w:rPr>
          <w:sz w:val="20"/>
          <w:szCs w:val="20"/>
          <w:color w:val="auto"/>
        </w:rPr>
      </w:pPr>
    </w:p>
    <w:p>
      <w:pPr>
        <w:ind w:right="3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3.7 </w:t>
      </w:r>
      <w:r>
        <w:rPr>
          <w:rFonts w:ascii="Times New Roman" w:cs="Times New Roman" w:eastAsia="Times New Roman" w:hAnsi="Times New Roman"/>
          <w:sz w:val="18"/>
          <w:szCs w:val="18"/>
          <w:u w:val="single" w:color="auto"/>
          <w:color w:val="auto"/>
        </w:rPr>
        <w:t>Collection and Payment</w:t>
      </w:r>
      <w:r>
        <w:rPr>
          <w:rFonts w:ascii="Times New Roman" w:cs="Times New Roman" w:eastAsia="Times New Roman" w:hAnsi="Times New Roman"/>
          <w:sz w:val="18"/>
          <w:szCs w:val="18"/>
          <w:color w:val="auto"/>
        </w:rPr>
        <w:t>. The Trustees shall have power to collect all property due to the Trust; to pay all claims, including taxes, against the Trust Property or the Trust, the Trustees or any officer, employee or agent of the Trust; to prosecute, defend, compromise or abandon any claims relating to the Trust Property or the Trust, or the Trustees or any officer, employee or agent of the Trust; to foreclose any security interest securing any obligations, by virtue of which any property is owed to the Trust; and to enter into releases, agreements and other instruments.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119" w:name="page120"/>
    <w:bookmarkEnd w:id="119"/>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3.8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The Trustees shall have the exclusive authority to adopt and from time to time amend or repeal By-Laws for the conduct of the business of the Trust.</w:t>
      </w:r>
    </w:p>
    <w:p>
      <w:pPr>
        <w:spacing w:after="0" w:line="16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3.9 </w:t>
      </w:r>
      <w:r>
        <w:rPr>
          <w:rFonts w:ascii="Times New Roman" w:cs="Times New Roman" w:eastAsia="Times New Roman" w:hAnsi="Times New Roman"/>
          <w:sz w:val="18"/>
          <w:szCs w:val="18"/>
          <w:u w:val="single" w:color="auto"/>
          <w:color w:val="auto"/>
        </w:rPr>
        <w:t>Miscellaneous Powers</w:t>
      </w:r>
      <w:r>
        <w:rPr>
          <w:rFonts w:ascii="Times New Roman" w:cs="Times New Roman" w:eastAsia="Times New Roman" w:hAnsi="Times New Roman"/>
          <w:sz w:val="18"/>
          <w:szCs w:val="18"/>
          <w:color w:val="auto"/>
        </w:rPr>
        <w:t>. Without limiting the general or further powers of the Trustees, the Trustees shall have the power to: (a) employ or contract with such Persons as the Trustees may deem desirable for the transaction of the business of the Trust; (b) enter into joint ventures, partnerships and any other combinations or associations; (c) purchase, and pay for out of Trust Property, insurance policies insuring the Shareholders, Trustees, officers, employees, agents, investment advisors, distributors, selected dealers or independent contractors of the Trust against all claims arising by reason of holding any such position or by reason of any action taken or omitted by any such Person in such capacity, whether or not constituting negligence, or whether or not the Trust would have the power to indemnify such Person against such liability; (d) establish pension, profit-sharing, share purchase, and other retirement, incentive and benefit plans for any Trustees, officers, employees and agents of the Trust; (e) make donations, irrespective of benefit to the Trust, for charitable, religious, educational, scientific, civic or similar purposes; (f) to the extent permitted by law, indemnify any Person with whom the Trust has dealings, including without limitation any advisor, administrator, manager, transfer agent, custodian, distributor or selected dealer, or any other person as the Trustees may see fit to such extent as the Trustees shall determine; (g) guarantee indebtedness or contractual obligations of others; and (h) determine and change the fiscal year of the Trust and the method in which its accounts shall be kept.</w:t>
      </w:r>
    </w:p>
    <w:p>
      <w:pPr>
        <w:spacing w:after="0" w:line="19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Further Powers</w:t>
      </w:r>
      <w:r>
        <w:rPr>
          <w:rFonts w:ascii="Times New Roman" w:cs="Times New Roman" w:eastAsia="Times New Roman" w:hAnsi="Times New Roman"/>
          <w:sz w:val="18"/>
          <w:szCs w:val="18"/>
          <w:color w:val="auto"/>
        </w:rPr>
        <w:t>. The Trustees shall have the power to conduct the business of the Trust and carry on its operations in any and all of its branches and maintain offices both within and without the State of Delaware, in any and all states of the United States of America, in the District of Columbia, and in any and all commonwealths, territories, dependencies, colonies, possessions, agencies or instrumentalities of the United States of America and of foreign governments, and to do all such other things and execute all such instruments as they deem necessary, proper or desirable in order to promote the interests of the Trust although such things are not herein specifically mentioned. In construing the provisions of this Declaration, the presumption shall be in favor of a grant of power to the Trustees.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u w:val="single" w:color="auto"/>
          <w:color w:val="auto"/>
        </w:rPr>
        <w:t>Sole Discretion; Good Faith; Corporate Opportunities of Adviser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80" w:firstLine="987"/>
        <w:spacing w:after="0" w:line="282" w:lineRule="auto"/>
        <w:tabs>
          <w:tab w:leader="none" w:pos="123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Declaration or otherwise applicable law, whenever in this Declaration the Trustees are permitted or required to make a decision:</w:t>
      </w:r>
    </w:p>
    <w:p>
      <w:pPr>
        <w:spacing w:after="0" w:line="53" w:lineRule="exact"/>
        <w:rPr>
          <w:rFonts w:ascii="Times New Roman" w:cs="Times New Roman" w:eastAsia="Times New Roman" w:hAnsi="Times New Roman"/>
          <w:sz w:val="18"/>
          <w:szCs w:val="18"/>
          <w:color w:val="auto"/>
        </w:rPr>
      </w:pPr>
    </w:p>
    <w:p>
      <w:pPr>
        <w:ind w:right="60" w:firstLine="1428"/>
        <w:spacing w:after="0" w:line="266" w:lineRule="auto"/>
        <w:tabs>
          <w:tab w:leader="none" w:pos="1647"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their “discretion” or under a grant of similar authority, the Trustees shall be entitled to consider such interests and factors as they desire, including their own interest, and, to the fullest extent permitted by applicable law, shall have no duty or obligation to give any consideration to any interest of or factors affecting the Trust or any other Person; or</w:t>
      </w:r>
    </w:p>
    <w:p>
      <w:pPr>
        <w:spacing w:after="0" w:line="175" w:lineRule="exact"/>
        <w:rPr>
          <w:rFonts w:ascii="Times New Roman" w:cs="Times New Roman" w:eastAsia="Times New Roman" w:hAnsi="Times New Roman"/>
          <w:sz w:val="18"/>
          <w:szCs w:val="18"/>
          <w:color w:val="auto"/>
        </w:rPr>
      </w:pPr>
    </w:p>
    <w:p>
      <w:pPr>
        <w:ind w:right="540" w:firstLine="1428"/>
        <w:spacing w:after="0" w:line="282" w:lineRule="auto"/>
        <w:tabs>
          <w:tab w:leader="none" w:pos="1697"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their “good faith” or under another express standard, the Trustees shall act under such express standard and shall not be subject to any other or different standard.</w:t>
      </w:r>
    </w:p>
    <w:p>
      <w:pPr>
        <w:spacing w:after="0" w:line="161" w:lineRule="exact"/>
        <w:rPr>
          <w:rFonts w:ascii="Times New Roman" w:cs="Times New Roman" w:eastAsia="Times New Roman" w:hAnsi="Times New Roman"/>
          <w:sz w:val="18"/>
          <w:szCs w:val="18"/>
          <w:color w:val="auto"/>
        </w:rPr>
      </w:pPr>
    </w:p>
    <w:p>
      <w:pPr>
        <w:ind w:right="20" w:firstLine="987"/>
        <w:spacing w:after="0" w:line="253" w:lineRule="auto"/>
        <w:tabs>
          <w:tab w:leader="none" w:pos="124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expressly provided otherwise herein or in the Trust’s private placement memorandum or other offering document (as may be amended from time to time), the Adviser and any Affiliated Person of the Adviser may engage in or possess an interest in other profit-seeking or business ventures of any nature or description, independently or with others, whether or not such ventures are competitive with the Trust and the doctrine of corporate opportunity, or any analogous doctrine. To the extent that the Adviser acquires knowledge of a potential transaction, agreement, arrangement or other matter that may be an opportunity for the Trust, it shall not have any duty to communicate or offer such opportunity to the Trust, subject to the requirements of the 1940 Act, the Investment Advisers Act of 1940, as amended, and any applicable co-investment order issued by the Commission, and the Adviser shall not be liable to the Trust or to the Shareholders for breach of any fiduciary or other duty by reason of the fact that the Adviser pursues or acquires for, or directs such opportunity to, another Person or does not communicate such opportunity or information to the Trust. Neither the Trust nor any Shareholder shall have any rights or obligations by virtue of this Declaration or the trust relationship created hereby in or to such independent ventures or the income or profits or losses derived therefrom, and the pursuit of such ventures, even if competitive with the activities of the Trust, shall not be deemed wrongful or improper.</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120" w:name="page121"/>
    <w:bookmarkEnd w:id="12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IV</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Fees and Expenses; Advisory, Management and Distribution Arrangements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87"/>
        <w:spacing w:after="0" w:line="258" w:lineRule="auto"/>
        <w:tabs>
          <w:tab w:leader="none" w:pos="123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Trustees shall have power to incur and pay out of the assets or income of the Trust any expenses that in the opinion of the Trustees are necessary or incidental to carry out any of the purposes of this Declaration, and the business of the Trust, and to pay reasonable compensation from the funds of the Trust to themselves as Trustees. The Trustees shall fix the compensation of all officers, employees and Trustees. The Trustees may pay themselves such compensation for special services, including legal, underwriting, syndicating and brokerage services, as they in good faith may deem reasonable, and reimbursement for expenses reasonably incurred by themselves on behalf of the Trust.</w:t>
      </w:r>
    </w:p>
    <w:p>
      <w:pPr>
        <w:spacing w:after="0" w:line="183" w:lineRule="exact"/>
        <w:rPr>
          <w:rFonts w:ascii="Times New Roman" w:cs="Times New Roman" w:eastAsia="Times New Roman" w:hAnsi="Times New Roman"/>
          <w:sz w:val="18"/>
          <w:szCs w:val="18"/>
          <w:color w:val="auto"/>
        </w:rPr>
      </w:pPr>
    </w:p>
    <w:p>
      <w:pPr>
        <w:ind w:right="60" w:firstLine="987"/>
        <w:spacing w:after="0" w:line="266" w:lineRule="auto"/>
        <w:tabs>
          <w:tab w:leader="none" w:pos="124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 shall bear and be responsible for all costs and expenses of the Trust’s operations, administration and transactions, including, but not limited to, fees and expenses paid for investment advisory, administrative or other services and all other expenses of its operations and transactions.</w:t>
      </w:r>
    </w:p>
    <w:p>
      <w:pPr>
        <w:spacing w:after="0" w:line="176"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Advisory and Management Arrangements</w:t>
      </w:r>
      <w:r>
        <w:rPr>
          <w:rFonts w:ascii="Times New Roman" w:cs="Times New Roman" w:eastAsia="Times New Roman" w:hAnsi="Times New Roman"/>
          <w:sz w:val="18"/>
          <w:szCs w:val="18"/>
          <w:color w:val="auto"/>
        </w:rPr>
        <w:t>. Subject to the requirements of applicable law as in effect from time to time, the Trustees may in their discretion from time to time enter into advisory, administration or management contracts (including, in each case, one or</w:t>
      </w:r>
    </w:p>
    <w:p>
      <w:pPr>
        <w:ind w:right="100"/>
        <w:spacing w:after="0" w:line="251" w:lineRule="auto"/>
        <w:rPr>
          <w:sz w:val="20"/>
          <w:szCs w:val="20"/>
          <w:color w:val="auto"/>
        </w:rPr>
      </w:pPr>
      <w:r>
        <w:rPr>
          <w:rFonts w:ascii="Times New Roman" w:cs="Times New Roman" w:eastAsia="Times New Roman" w:hAnsi="Times New Roman"/>
          <w:sz w:val="18"/>
          <w:szCs w:val="18"/>
          <w:color w:val="auto"/>
        </w:rPr>
        <w:t>more sub-advisory, sub-administration or sub-management contracts) whereby the other party to any such contract shall undertake to furnish such advisory, administrative and management services with respect to the Trust as the Trustees shall from time to time consider desirable and all upon such terms and conditions as the Trustees may in their discretion determine. Notwithstanding any provisions of this Declaration, the Trustees may authorize any advisor, administrator or manager (subject to such general or specific instructions as the Trustees may from time to time adopt) to exercise any of the powers of the Trustees, including to effect investment transactions with respect to the assets on behalf of the Trust to the full extent of the power of the Trustees to effect such transactions or may authorize any officer, employee or Trustee to effect such transactions pursuant to recommendations of any such advisor, administrator or manager (and all without further action by the Trustees). Any such investment transaction shall be deemed to have been authorized by all of the Trustees.</w:t>
      </w:r>
    </w:p>
    <w:p>
      <w:pPr>
        <w:spacing w:after="0" w:line="194"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Distribution Arrangements</w:t>
      </w:r>
      <w:r>
        <w:rPr>
          <w:rFonts w:ascii="Times New Roman" w:cs="Times New Roman" w:eastAsia="Times New Roman" w:hAnsi="Times New Roman"/>
          <w:sz w:val="18"/>
          <w:szCs w:val="18"/>
          <w:color w:val="auto"/>
        </w:rPr>
        <w:t>. Subject to compliance with the 1940 Act, the Trustees may retain underwriters, distributors and/or placement agents to sell Shares and other securities of the Trust. The Trustees may in their discretion from time to time enter into one or more contracts, providing for the sale of securities of the Trust, whereby the Trust may either agree to sell such securities to the other party to the contract or appoint such other party as its sales agent for such securities. In either case, the contract shall be on such terms and conditions as the Trustees may in their discretion determine not inconsistent with the provisions of this Article IV or the By-Laws; and such contract may also provide for the repurchase or sale of securities of the Trust by such other party as principal or as agent of the Trust and may provide that such other party may enter into selected dealer agreements and servicing and similar agreements to further the purposes of the distribution or repurchase of the securities of the Trust.</w:t>
      </w:r>
    </w:p>
    <w:p>
      <w:pPr>
        <w:spacing w:after="0" w:line="18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u w:val="single" w:color="auto"/>
          <w:color w:val="auto"/>
        </w:rPr>
        <w:t>Parties to Contract</w:t>
      </w:r>
      <w:r>
        <w:rPr>
          <w:rFonts w:ascii="Times New Roman" w:cs="Times New Roman" w:eastAsia="Times New Roman" w:hAnsi="Times New Roman"/>
          <w:sz w:val="18"/>
          <w:szCs w:val="18"/>
          <w:color w:val="auto"/>
        </w:rPr>
        <w:t>. Any contract of the character described in Sections 4.2 and 4.3 of this Article IV or in Article VIII hereof may be entered into with any Person, although one or more of the Trustees, officers or employees of the Trust may be an officer, director, trustee, shareholder or member of such other party to the contract, and no such contract shall be invalidated or rendered voidable by reason of the existence of any such relationship, nor shall any Person holding such relationship be liable merely by reason of such relationship for any loss or expense to the Trust under or by reason of said contract or accountable for any profit realized directly or indirectly therefrom, provided that the contract when entered into was reasonable and fair and not inconsistent with the provisions of this Article IV or the By-Laws. The same Person may be the other party to contracts entered into pursuant to Sections 4.2 and 4.3 above or Article VIII, and any individual may be financially interested or otherwise affiliated with Persons who are parties to any or all of the contracts mentioned in this Section 4.4.</w:t>
      </w:r>
    </w:p>
    <w:p>
      <w:pPr>
        <w:spacing w:after="0" w:line="1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60"/>
          </w:cols>
          <w:pgMar w:left="440" w:top="266" w:right="499"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Limitations of Liability and Indemnification</w:t>
      </w:r>
    </w:p>
    <w:p>
      <w:pPr>
        <w:spacing w:after="0" w:line="229" w:lineRule="exact"/>
        <w:rPr>
          <w:sz w:val="20"/>
          <w:szCs w:val="20"/>
          <w:color w:val="auto"/>
        </w:rPr>
      </w:pPr>
    </w:p>
    <w:p>
      <w:pPr>
        <w:ind w:right="8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No Personal Liability of Shareholders, Trustees, etc.</w:t>
      </w:r>
      <w:r>
        <w:rPr>
          <w:rFonts w:ascii="Times New Roman" w:cs="Times New Roman" w:eastAsia="Times New Roman" w:hAnsi="Times New Roman"/>
          <w:sz w:val="18"/>
          <w:szCs w:val="18"/>
          <w:color w:val="auto"/>
        </w:rPr>
        <w:t xml:space="preserve"> No Shareholder of the Trust shall be subject in such capacity to any personal liability whatsoever to any Person in connection with Trust Property or the acts, obligations or affairs of the Trust. Shareholders shall have the same limitation of personal liability as is extended to stockholders of a private corporation for profit incorporated under the Delaware General Corporation Law. No Trustee or officer of the Trust shall be subject in such capacity to any personal liability whatsoever to any Person, save only liability to the Trust or its Shareholders arising from bad faith, willful misconduct, gross negligence or reckless disregard for his duty to such Person; and, subject to the foregoing exception, all such Persons shall look solely to the Trust Property for satisfaction of claims of any nature arising in connection with the affairs of the Trust. If any Shareholder, Trustee or officer, as such, of the Trust, is made a party to any suit or proceeding to enforce any such liability, subject to the foregoing exception, he shall not, on account thereof, be held to any personal liability. Any repeal or modification of this Section 5.1 shall not adversely affect any right or protection of a Trustee or officer of the Trust existing at the time of such repeal or modification with respect to acts or omissions occurring prior to such repeal or modification.</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Mandatory 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2" w:lineRule="auto"/>
        <w:tabs>
          <w:tab w:leader="none" w:pos="123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 hereby agrees to indemnify each person who at any time serves as a Trustee, officer or employee of the Trust (each such person being an “indemnitee”) against any liabilities and expenses, including amounts paid in satisfaction of judgments, in compromise or as fines and penalties, and reasonable counsel fees reasonably incurred by such indemnitee in connection with the defense or disposition of any action, suit or other proceeding, whether civil or criminal, before any court or administrative or investigative body in which he may be or may have been involved as a party or otherwise or with which he may be or may have been threatened, while acting in any capacity set forth in this Article V by reason of his having acted in any such capacity; provided, however, that no indemnitee shall be indemnified hereunder against any liability to any person or any expense of such indemnitee arising by reason of (i) willful misconduct, (ii) bad faith, (iii) gross negligence, or (iv) reckless disregard of the duties involved in the conduct of his position (the conduct referred to in such clauses (i) through (iv) being sometimes referred to herein as “</w:t>
      </w:r>
      <w:r>
        <w:rPr>
          <w:rFonts w:ascii="Times New Roman" w:cs="Times New Roman" w:eastAsia="Times New Roman" w:hAnsi="Times New Roman"/>
          <w:sz w:val="18"/>
          <w:szCs w:val="18"/>
          <w:u w:val="single" w:color="auto"/>
          <w:color w:val="auto"/>
        </w:rPr>
        <w:t>disabling conduct</w:t>
      </w:r>
      <w:r>
        <w:rPr>
          <w:rFonts w:ascii="Times New Roman" w:cs="Times New Roman" w:eastAsia="Times New Roman" w:hAnsi="Times New Roman"/>
          <w:sz w:val="18"/>
          <w:szCs w:val="18"/>
          <w:color w:val="auto"/>
        </w:rPr>
        <w:t>”). Notwithstanding the foregoing, with respect to any action, suit or other proceeding voluntarily prosecuted by any indemnitee as plaintiff, indemnification shall be mandatory only if the prosecution of such action, suit or other proceeding by such indemnitee (1) was authorized by a majority of the Trustees or (2) was instituted by the indemnitee to enforce his or her rights to indemnification hereunder in a case in which the indemnitee is found to be entitled to such indemnification. The rights to indemnification set forth in this Declaration shall continue as to a person who has ceased to be a Trustee or officer of the Trust and shall inure to the benefit of his or her heirs, executors and personal and legal representatives. No amendment or restatement of this Declaration or repeal of any of its provisions shall limit or eliminate any of the benefits provided to any person who at any time is or was a Trustee or officer of the Trust or otherwise entitled to indemnification hereunder in respect of any act or omission that occurred prior to such amendment, restatement or repeal.</w:t>
      </w:r>
    </w:p>
    <w:p>
      <w:pPr>
        <w:spacing w:after="0" w:line="194" w:lineRule="exact"/>
        <w:rPr>
          <w:rFonts w:ascii="Times New Roman" w:cs="Times New Roman" w:eastAsia="Times New Roman" w:hAnsi="Times New Roman"/>
          <w:sz w:val="18"/>
          <w:szCs w:val="18"/>
          <w:color w:val="auto"/>
        </w:rPr>
      </w:pPr>
    </w:p>
    <w:p>
      <w:pPr>
        <w:ind w:firstLine="987"/>
        <w:spacing w:after="0" w:line="254" w:lineRule="auto"/>
        <w:tabs>
          <w:tab w:leader="none" w:pos="124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no indemnification shall be made hereunder unless there has been a determination (i) by a final decision on the merits by a court or other body of competent jurisdiction before whom the issue of entitlement to indemnification hereunder was brought that the indemnitee is entitled to indemnification hereunder or, (ii) in the absence of such a decision, by (1) a majority vote of a quorum of those Trustees who are neither Interested Persons of the Trust (as defined in Section 2(a)(19) of the 1940 Act) nor parties to the proceeding (“</w:t>
      </w:r>
      <w:r>
        <w:rPr>
          <w:rFonts w:ascii="Times New Roman" w:cs="Times New Roman" w:eastAsia="Times New Roman" w:hAnsi="Times New Roman"/>
          <w:sz w:val="18"/>
          <w:szCs w:val="18"/>
          <w:u w:val="single" w:color="auto"/>
          <w:color w:val="auto"/>
        </w:rPr>
        <w:t>Disinterested Non-Party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Trustees</w:t>
      </w:r>
      <w:r>
        <w:rPr>
          <w:rFonts w:ascii="Times New Roman" w:cs="Times New Roman" w:eastAsia="Times New Roman" w:hAnsi="Times New Roman"/>
          <w:sz w:val="18"/>
          <w:szCs w:val="18"/>
          <w:color w:val="auto"/>
        </w:rPr>
        <w:t>”) that the indemnitee is entitled to indemnification hereunder, or (2) if such quorum is not obtainable or even if obtainable, if such majority so directs, independent legal counsel in a written opinion concludes that the indemnitee should be entitled to indemnification hereunder. All determinations to make advance payments in connection with the expense of defending any proceeding shall be authorized and made in accordance with the immediately succeeding paragraph (c) below.</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66" w:right="459" w:bottom="1440" w:gutter="0" w:footer="0" w:header="0"/>
        </w:sectPr>
      </w:pPr>
    </w:p>
    <w:bookmarkStart w:id="122" w:name="page123"/>
    <w:bookmarkEnd w:id="122"/>
    <w:p>
      <w:pPr>
        <w:ind w:right="20" w:firstLine="987"/>
        <w:spacing w:after="0" w:line="254" w:lineRule="auto"/>
        <w:tabs>
          <w:tab w:leader="none" w:pos="123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Trust shall make advance payments in connection with the expenses of defending any action with respect to which indemnification might be sought hereunder if the Trust receives a written affirmation by the indemnitee of the indemnitee’s good faith belief that the standards of conduct necessary for indemnification have been met and a written undertaking to reimburse the Trust unless it is subsequently determined that the indemnitee is entitled to such indemnification and if a majority of the Trustees determine that the applicable standards of conduct necessary for indemnification appear to have been met. In addition, at least one of the following conditions must be met: (i) the indemnitee shall provide adequate security for his undertaking, (ii) the Trust shall be insured against losses arising by reason of any lawful advances, or (iii) a majority of a quorum of the Disinterested Non-Party Trustees, or if a majority vote of such quorum so direct, independent legal counsel in a written opinion, shall conclude, based on a review of readily available facts (as opposed to a full trial-type inquiry), that there is substantial reason to believe that the indemnitee ultimately will be found entitled to indemnification.</w:t>
      </w:r>
    </w:p>
    <w:p>
      <w:pPr>
        <w:spacing w:after="0" w:line="188" w:lineRule="exact"/>
        <w:rPr>
          <w:rFonts w:ascii="Times New Roman" w:cs="Times New Roman" w:eastAsia="Times New Roman" w:hAnsi="Times New Roman"/>
          <w:sz w:val="18"/>
          <w:szCs w:val="18"/>
          <w:color w:val="auto"/>
        </w:rPr>
      </w:pPr>
    </w:p>
    <w:p>
      <w:pPr>
        <w:ind w:right="60" w:firstLine="987"/>
        <w:spacing w:after="0" w:line="266" w:lineRule="auto"/>
        <w:tabs>
          <w:tab w:leader="none" w:pos="124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accruing to any indemnitee under these provisions shall not exclude any other right that any person may have or hereafter acquire under this Declaration, the By-Laws of the Trust, any statute, agreement, vote of Shareholders or Trustees who are not Interested Persons or any other right to which he or she may be lawfully entitled.</w:t>
      </w:r>
    </w:p>
    <w:p>
      <w:pPr>
        <w:spacing w:after="0" w:line="175" w:lineRule="exact"/>
        <w:rPr>
          <w:rFonts w:ascii="Times New Roman" w:cs="Times New Roman" w:eastAsia="Times New Roman" w:hAnsi="Times New Roman"/>
          <w:sz w:val="18"/>
          <w:szCs w:val="18"/>
          <w:color w:val="auto"/>
        </w:rPr>
      </w:pPr>
    </w:p>
    <w:p>
      <w:pPr>
        <w:ind w:right="20" w:firstLine="987"/>
        <w:spacing w:after="0" w:line="261" w:lineRule="auto"/>
        <w:tabs>
          <w:tab w:leader="none" w:pos="123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limitations provided by the 1940 Act and this Declaration, the Trust shall have the power and authority to indemnify and provide for the advance payment of expenses to employees, agents and other Persons providing services to the Trust or serving in any capacity at the request of the Trust or provide for the advance payment of expenses for such Persons, provided that such indemnification has been approved by a majority of the Trustees.</w:t>
      </w:r>
    </w:p>
    <w:p>
      <w:pPr>
        <w:spacing w:after="0" w:line="180"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5.3 </w:t>
      </w:r>
      <w:r>
        <w:rPr>
          <w:rFonts w:ascii="Times New Roman" w:cs="Times New Roman" w:eastAsia="Times New Roman" w:hAnsi="Times New Roman"/>
          <w:sz w:val="18"/>
          <w:szCs w:val="18"/>
          <w:u w:val="single" w:color="auto"/>
          <w:color w:val="auto"/>
        </w:rPr>
        <w:t>No Bond Required of Trustees</w:t>
      </w:r>
      <w:r>
        <w:rPr>
          <w:rFonts w:ascii="Times New Roman" w:cs="Times New Roman" w:eastAsia="Times New Roman" w:hAnsi="Times New Roman"/>
          <w:sz w:val="18"/>
          <w:szCs w:val="18"/>
          <w:color w:val="auto"/>
        </w:rPr>
        <w:t>. No Trustee shall, as such, be obligated to give any bond or other security for the performance of any of his duties hereunder.</w:t>
      </w:r>
    </w:p>
    <w:p>
      <w:pPr>
        <w:spacing w:after="0" w:line="162"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5.4 </w:t>
      </w:r>
      <w:r>
        <w:rPr>
          <w:rFonts w:ascii="Times New Roman" w:cs="Times New Roman" w:eastAsia="Times New Roman" w:hAnsi="Times New Roman"/>
          <w:sz w:val="18"/>
          <w:szCs w:val="18"/>
          <w:u w:val="single" w:color="auto"/>
          <w:color w:val="auto"/>
        </w:rPr>
        <w:t>No Duty of Investigation; No Notice in Trust Instruments, etc.</w:t>
      </w:r>
      <w:r>
        <w:rPr>
          <w:rFonts w:ascii="Times New Roman" w:cs="Times New Roman" w:eastAsia="Times New Roman" w:hAnsi="Times New Roman"/>
          <w:sz w:val="18"/>
          <w:szCs w:val="18"/>
          <w:color w:val="auto"/>
        </w:rPr>
        <w:t xml:space="preserve"> No purchaser, lender, transfer agent or other person dealing with the Trustees or with any officer, employee or agent of the Trust shall be bound to make any inquiry concerning the validity of any transaction purporting to be made by the Trustees or by said officer, employee or agent or be liable for the application of money or property paid, loaned, or delivered to or on the order of the Trustees or of said officer, employee or agent. Every obligation, contract, undertaking, instrument, certificate, Share, other security of the Trust, and every other act or thing whatsoever executed in connection with the Trust shall be conclusively taken to have been executed or done by the executors thereof only in their capacity as Trustees under this Declaration or in their capacity as officers, employees or agents of the Trust. The Trustees may maintain insurance for the protection of the Trust Property, the Shareholders, Trustees, officers, employees and agents in such amount as the Trustees shall deem adequate to cover possible tort liability, and such other insurance as the Trustees in their sole judgment shall deem advisable or is required by the 1940 Act.</w:t>
      </w:r>
    </w:p>
    <w:p>
      <w:pPr>
        <w:spacing w:after="0" w:line="188"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5.5 </w:t>
      </w:r>
      <w:r>
        <w:rPr>
          <w:rFonts w:ascii="Times New Roman" w:cs="Times New Roman" w:eastAsia="Times New Roman" w:hAnsi="Times New Roman"/>
          <w:sz w:val="18"/>
          <w:szCs w:val="18"/>
          <w:u w:val="single" w:color="auto"/>
          <w:color w:val="auto"/>
        </w:rPr>
        <w:t>Reliance on Experts, etc.</w:t>
      </w:r>
      <w:r>
        <w:rPr>
          <w:rFonts w:ascii="Times New Roman" w:cs="Times New Roman" w:eastAsia="Times New Roman" w:hAnsi="Times New Roman"/>
          <w:sz w:val="18"/>
          <w:szCs w:val="18"/>
          <w:color w:val="auto"/>
        </w:rPr>
        <w:t xml:space="preserve"> The Trustees may rely in good faith upon advice of counsel or other experts with respect to the meaning and operation of this Declaration and their duties as Trustees hereunder and shall be under no liability for any act or omission in accordance with such advice; provided the Trustees shall be under no liability for failing to follow such advice. A Trustee shall be fully protected in relying in good faith upon the records of the Trust and upon information, opinions, reports or statements presented by another Trustee or any officer, employee or other agent of the Trust, or by any other Person as to matters the Trustee believes in good faith are within such other Person’s professional or expert competence, including information, opinions, reports or statements as to the value and amount of the assets, liabilities, profits or losses of the Trust or any series or class, or the value and amount of assets or reserves or contracts, agreements or other undertakings that would be sufficient to pay claims and obligations of the Trust or any series or class or to make reasonable provision to pay such claims and obligations, or any other facts pertinent to the existence and amount of assets from which distributions to Shareholders or creditors of the Trust might properly be paid. The appointment, designation or identification of a Trustee as a Chairman of the Board of Trustees, a member or chair of a committee of the Trustees, an expert on any topic or in any area (including an audit committee financial expert), or the lead independent Trustee, or any other special appointment, designation or identification of a Trustee, shall not impose on that person any standard of care or liability that is greater than that imposed on that person as a Trustee in the absence of the appointment, designation or identification, and no Trustee who has special skills or expertise, or is appointed, designated or identified as aforesaid, shall be held to a higher standard of care by virtue thereof.</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Shares of Beneficial Interest</w:t>
      </w:r>
    </w:p>
    <w:p>
      <w:pPr>
        <w:spacing w:after="0" w:line="22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Beneficial Interest</w:t>
      </w:r>
      <w:r>
        <w:rPr>
          <w:rFonts w:ascii="Times New Roman" w:cs="Times New Roman" w:eastAsia="Times New Roman" w:hAnsi="Times New Roman"/>
          <w:sz w:val="18"/>
          <w:szCs w:val="18"/>
          <w:color w:val="auto"/>
        </w:rPr>
        <w:t>. The beneficial interest in the Trust shall be divided into an unlimited number of shares of beneficial interest, par value $0.001 per share. Such Shares of beneficial interest may be issued in different classes and/or series of beneficial interests. The Trust is authorized to issue an unlimited number of Shares, and upon the establishment of any series or class as provided herein, the Trust shall be authorized to issue an unlimited number of Shares of each such series and class, unless otherwise determined, and subject to any conditions set forth, by the Trustees. All references to Shares in this Declaration shall be deemed to be Shares of the Trust and of any or all series or classes, as the context may require. All provisions herein relating to the Trust shall apply equally to each series of the Trust and each class, except as the context otherwise requires. All Shares issued in accordance with the terms hereof, including, without limitation, Shares issued in connection with a dividend in Shares or a split of Shares, shall be fully paid and nonassessable when the consideration determined by the Trustees (if any) therefor shall have been received by the Trust.</w:t>
      </w:r>
    </w:p>
    <w:p>
      <w:pPr>
        <w:spacing w:after="0" w:line="19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auto"/>
        </w:rPr>
        <w:t>Other Securities</w:t>
      </w:r>
      <w:r>
        <w:rPr>
          <w:rFonts w:ascii="Times New Roman" w:cs="Times New Roman" w:eastAsia="Times New Roman" w:hAnsi="Times New Roman"/>
          <w:sz w:val="18"/>
          <w:szCs w:val="18"/>
          <w:color w:val="auto"/>
        </w:rPr>
        <w:t>. The Trustees may, subject to the requirements of the 1940 Act, authorize and issue such other securities of the Trust as they determine to be necessary, desirable or appropriate, having such terms, rights, preferences, privileges, limitations and restrictions as the Trustees see fit, including preferred interests, debt securities or other senior securities. To the extent that the Trustees authorize and issue preferred shares of any class or series, they are hereby authorized and empowered to amend or supplement this Declaration as they deem necessary or appropriate, including to comply with the requirements of the 1940 Act or requirements imposed by the rating agencies or other Persons, all without the approval of Shareholders. Any such supplement or amendment shall be filed as is necessary. In addition, any such supplement or amendment may set forth the rights, powers, preferences and privileges of such preferred shares and any such supplement or amendment shall operate either as additions to or modifications of the rights, powers, preferences and privileges of any such preferred shares under this Declaration. To the extent the provisions set forth in such supplement or amendment conflict with the provisions of this Declaration with respect to any such rights, powers and privileges of the preferred shares, such amendment or supplement shall control. Except as contemplated by the immediately preceding sentence, this Declaration shall control as to the Trust generally and the rights, powers, preferences and privileges of the other Shareholders of the Trust. The Trustees are also authorized to take such actions and retain such persons as they see fit to offer and sell such securities.</w:t>
      </w:r>
    </w:p>
    <w:p>
      <w:pPr>
        <w:spacing w:after="0" w:line="190"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u w:val="single" w:color="auto"/>
          <w:color w:val="auto"/>
        </w:rPr>
        <w:t>Rights of Shareholders</w:t>
      </w:r>
      <w:r>
        <w:rPr>
          <w:rFonts w:ascii="Times New Roman" w:cs="Times New Roman" w:eastAsia="Times New Roman" w:hAnsi="Times New Roman"/>
          <w:sz w:val="18"/>
          <w:szCs w:val="18"/>
          <w:color w:val="auto"/>
        </w:rPr>
        <w:t>. The Shares shall be personal property giving only the rights specifically set forth in this Declaration. The ownership of the Trust Property of every description and the right to conduct any business herein before described are vested exclusively in the Trust, and the Shareholders shall have no interest therein other than the beneficial interest conferred by their Shares, and they shall have no right to call for any partition or division of any property, profits, rights or interests of the Trust, nor can they be called upon to share or assume any losses of the Trust or suffer an assessment of any kind by virtue of their ownership of Shares. The Shares shall not entitle the holder to preference, preemptive, appraisal, conversion or exchange rights (except as specified by the Trustees when creating the Shares, as in preferred shares). Ownership of Shares shall not make any Shareholder a third-party beneficiary of any contract entered into by the Trust or any class or series.</w:t>
      </w:r>
    </w:p>
    <w:p>
      <w:pPr>
        <w:spacing w:after="0" w:line="189"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6.4 </w:t>
      </w:r>
      <w:r>
        <w:rPr>
          <w:rFonts w:ascii="Times New Roman" w:cs="Times New Roman" w:eastAsia="Times New Roman" w:hAnsi="Times New Roman"/>
          <w:sz w:val="18"/>
          <w:szCs w:val="18"/>
          <w:u w:val="single" w:color="auto"/>
          <w:color w:val="auto"/>
        </w:rPr>
        <w:t>Trust Only</w:t>
      </w:r>
      <w:r>
        <w:rPr>
          <w:rFonts w:ascii="Times New Roman" w:cs="Times New Roman" w:eastAsia="Times New Roman" w:hAnsi="Times New Roman"/>
          <w:sz w:val="18"/>
          <w:szCs w:val="18"/>
          <w:color w:val="auto"/>
        </w:rPr>
        <w:t>. It is the intention of the Trustees to create only the relationship of Trustee and beneficiary between the Trustees and each Shareholder from time to time. It is not the intention of the Trustees to create a general partnership, limited partnership, joint stock association, corporation, bailment or any form of legal relationship other than a Delaware statutory trust. Nothing in this Declaration shall be construed to make the Shareholders, either by themselves or with the Trustees, partners or members of a general partnership, limited partnership, joint stock association or any form of legal relationship other than a Delaware statutory trust.</w:t>
      </w:r>
    </w:p>
    <w:p>
      <w:pPr>
        <w:spacing w:after="0" w:line="183" w:lineRule="exact"/>
        <w:rPr>
          <w:sz w:val="20"/>
          <w:szCs w:val="20"/>
          <w:color w:val="auto"/>
        </w:rPr>
      </w:pPr>
    </w:p>
    <w:p>
      <w:pPr>
        <w:ind w:right="1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6.5 </w:t>
      </w:r>
      <w:r>
        <w:rPr>
          <w:rFonts w:ascii="Times New Roman" w:cs="Times New Roman" w:eastAsia="Times New Roman" w:hAnsi="Times New Roman"/>
          <w:sz w:val="18"/>
          <w:szCs w:val="18"/>
          <w:u w:val="single" w:color="auto"/>
          <w:color w:val="auto"/>
        </w:rPr>
        <w:t>Issuance of Shares</w:t>
      </w:r>
      <w:r>
        <w:rPr>
          <w:rFonts w:ascii="Times New Roman" w:cs="Times New Roman" w:eastAsia="Times New Roman" w:hAnsi="Times New Roman"/>
          <w:sz w:val="18"/>
          <w:szCs w:val="18"/>
          <w:color w:val="auto"/>
        </w:rPr>
        <w:t>. The Trustees, in their discretion, may from time to time without vote of the Shareholders issue Shares including preferred shares that may have been established pursuant to Section 6.2, in addition to the then issued and outstanding Shares and Shares held in the treasury, to such party or parties and for such amount and type of consideration, including cash or property, at such time or times, and on such terms as the Trustees may determine, and may in such manner acquire other assets (including the acquisition of assets subject to, and in connection with the assumption of, liabilities) and businesses. The Trustees may from time to time, without a vote of the Shareholders, divide, reclassify or combine the Shares into a greater or lesser number without thereby changing the proportionate beneficial interest in such Shares. Issuances and redemptions of Shares may be made in whole Shares and/or 1/1,000ths of a Share or multiples thereof as the Trustees may determine.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66" w:right="459" w:bottom="1440" w:gutter="0" w:footer="0" w:header="0"/>
        </w:sectPr>
      </w:pPr>
    </w:p>
    <w:bookmarkStart w:id="124" w:name="page125"/>
    <w:bookmarkEnd w:id="124"/>
    <w:p>
      <w:pPr>
        <w:ind w:right="20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6.6 </w:t>
      </w:r>
      <w:r>
        <w:rPr>
          <w:rFonts w:ascii="Times New Roman" w:cs="Times New Roman" w:eastAsia="Times New Roman" w:hAnsi="Times New Roman"/>
          <w:sz w:val="18"/>
          <w:szCs w:val="18"/>
          <w:u w:val="single" w:color="auto"/>
          <w:color w:val="auto"/>
        </w:rPr>
        <w:t>Register of Shares</w:t>
      </w:r>
      <w:r>
        <w:rPr>
          <w:rFonts w:ascii="Times New Roman" w:cs="Times New Roman" w:eastAsia="Times New Roman" w:hAnsi="Times New Roman"/>
          <w:sz w:val="18"/>
          <w:szCs w:val="18"/>
          <w:color w:val="auto"/>
        </w:rPr>
        <w:t>. A register shall be kept at the offices of the Trust, or any transfer agent duly appointed by the Trustees under the direction of the Trustees, which shall contain the names and addresses of the Shareholders and the number of Shares held by them respectively and a record of all transfers thereof. Separate registers shall be established and maintained for each class or series of Shares. Each such register shall be conclusive as to who are the holders of the Shares of the applicable class or series of Shares and who shall be entitled to receive dividends or distributions or otherwise to exercise or enjoy the rights of Shareholders. No Shareholder shall be entitled to receive payment of any dividend or distribution, nor to have notice given to him as herein provided, until he has given his address to a transfer agent or such other officer or agent of the Trustees as shall keep the register for entry thereon. It is not contemplated that certificates will be issued for the Shares; however, the Trustees, in their discretion, may authorize the issuance of share certificates and promulgate appropriate fees therefore and rules and regulations as to their use.</w:t>
      </w:r>
    </w:p>
    <w:p>
      <w:pPr>
        <w:spacing w:after="0" w:line="192"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6.7 </w:t>
      </w:r>
      <w:r>
        <w:rPr>
          <w:rFonts w:ascii="Times New Roman" w:cs="Times New Roman" w:eastAsia="Times New Roman" w:hAnsi="Times New Roman"/>
          <w:sz w:val="18"/>
          <w:szCs w:val="18"/>
          <w:u w:val="single" w:color="auto"/>
          <w:color w:val="auto"/>
        </w:rPr>
        <w:t>Transfer Agent and Registrar</w:t>
      </w:r>
      <w:r>
        <w:rPr>
          <w:rFonts w:ascii="Times New Roman" w:cs="Times New Roman" w:eastAsia="Times New Roman" w:hAnsi="Times New Roman"/>
          <w:sz w:val="18"/>
          <w:szCs w:val="18"/>
          <w:color w:val="auto"/>
        </w:rPr>
        <w:t>. The Trustees shall have power to employ a transfer agent or transfer agents, and a registrar or registrars, with respect to the Shares. The transfer agent or transfer agents may keep the applicable register and record therein the original issues and transfers, if any, of the said Shares. Any such transfer agents and/or registrars shall perform the duties usually performed by transfer agents and registrars of certificates of stock in a corporation, as modified by the Trustees.</w:t>
      </w:r>
    </w:p>
    <w:p>
      <w:pPr>
        <w:spacing w:after="0" w:line="180"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6.8 </w:t>
      </w:r>
      <w:r>
        <w:rPr>
          <w:rFonts w:ascii="Times New Roman" w:cs="Times New Roman" w:eastAsia="Times New Roman" w:hAnsi="Times New Roman"/>
          <w:sz w:val="18"/>
          <w:szCs w:val="18"/>
          <w:u w:val="single" w:color="auto"/>
          <w:color w:val="auto"/>
        </w:rPr>
        <w:t>Transfer of Shares</w:t>
      </w:r>
      <w:r>
        <w:rPr>
          <w:rFonts w:ascii="Times New Roman" w:cs="Times New Roman" w:eastAsia="Times New Roman" w:hAnsi="Times New Roman"/>
          <w:sz w:val="18"/>
          <w:szCs w:val="18"/>
          <w:color w:val="auto"/>
        </w:rPr>
        <w:t>. To the fullest extent permitted by law, prior to an Exchange Listing (or such other time pursuant to any agreements between the Trust and Shareholders), the Shares shall not be transferable, except as determined otherwise by the Adviser in its sole discretion, and any transfer of Shares shall be made on the records of the Trust only by the record holder thereof or by its agent thereto duly authorized in writing, upon delivery to the Trustees or a transfer agent of the Trust of a duly executed instrument of transfer, together with such evidence of the genuineness of each such execution and authorization and of other matters (including compliance with any securities laws and contractual restrictions) as may reasonably be required. If a transfer is approved by the Adviser, upon such delivery the transfer shall be recorded on the applicable register of the Trust. Until such record is made, the Shareholder of record shall be deemed to be the holder of such Shares for all purposes hereof and neither the Trustees nor any transfer agent or registrar nor any officer, employee or agent of the Trust shall be affected by any notice of the proposed transfer.</w:t>
      </w:r>
    </w:p>
    <w:p>
      <w:pPr>
        <w:spacing w:after="0" w:line="19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Any person becoming entitled to any Shares in consequence of the death, bankruptcy or incompetence of any Shareholder, or otherwise by operation of law, shall be recorded on the applicable register of Shares as the holder of such Shares upon production of the proper evidence thereof to the Trustees or a transfer agent of the Trust, but until such record is made, the Shareholder of record shall be deemed to be the holder of such for all purposes hereof, and neither the Trustees nor any transfer agent or registrar nor any officer or agent of the Trust shall be affected by any notice of such death, bankruptcy or incompetence, or other operation of law.</w:t>
      </w:r>
    </w:p>
    <w:p>
      <w:pPr>
        <w:spacing w:after="0" w:line="183"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6.9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Subject to the 1940 Act, notices and all other communications to Shareholders shall be in writing and delivered personally, or sent by electronic transmission to an electronic mail address provided by the Shareholder or mailed to the Shareholders at their addresses appearing on the books of the Trust or given by a document publicly filed by the with Securities and Exchange Commission or given as otherwise provided herein. Notices to Trustees shall be oral or by telephone or in writing delivered personally or mailed to the Trustees at their addresses appearing on the books of the Trust or by electronic transmission to an electronic mail address provided by the Trustee. Notice by mail shall be deemed to be given at the time when the same shall be mailed, notice by electronic transmission shall be deemed given at the time when sent, and notice by a document publicly filed by with the Securities and Exchange Commission shall be deemed given at the time the Trust files such document. Subject to the provisions of the 1940 Act, notice to Trustees need not state the purpose of a regular or special meeting.</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20"/>
          </w:cols>
          <w:pgMar w:left="440" w:top="270" w:right="439" w:bottom="1440" w:gutter="0" w:footer="0" w:header="0"/>
        </w:sectPr>
      </w:pPr>
    </w:p>
    <w:bookmarkStart w:id="125" w:name="page126"/>
    <w:bookmarkEnd w:id="125"/>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6.10 </w:t>
      </w:r>
      <w:r>
        <w:rPr>
          <w:rFonts w:ascii="Times New Roman" w:cs="Times New Roman" w:eastAsia="Times New Roman" w:hAnsi="Times New Roman"/>
          <w:sz w:val="18"/>
          <w:szCs w:val="18"/>
          <w:u w:val="single" w:color="auto"/>
          <w:color w:val="auto"/>
        </w:rPr>
        <w:t>Derivative Actions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60" w:firstLine="987"/>
        <w:spacing w:after="0" w:line="266" w:lineRule="auto"/>
        <w:tabs>
          <w:tab w:leader="none" w:pos="124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other than a Trustee, who is not a Shareholder shall be entitled to bring any derivative action, suit or other proceeding on behalf of the Trust. No Shareholder may maintain a derivative action on behalf of the Trust unless holders of at least ten percent (10%) of the outstanding Shares join in the bringing of such action.</w:t>
      </w:r>
    </w:p>
    <w:p>
      <w:pPr>
        <w:spacing w:after="0" w:line="175" w:lineRule="exact"/>
        <w:rPr>
          <w:rFonts w:ascii="Times New Roman" w:cs="Times New Roman" w:eastAsia="Times New Roman" w:hAnsi="Times New Roman"/>
          <w:sz w:val="18"/>
          <w:szCs w:val="18"/>
          <w:color w:val="auto"/>
        </w:rPr>
      </w:pPr>
    </w:p>
    <w:p>
      <w:pPr>
        <w:ind w:left="4" w:right="20" w:firstLine="987"/>
        <w:spacing w:after="0" w:line="269" w:lineRule="auto"/>
        <w:tabs>
          <w:tab w:leader="none" w:pos="1250" w:val="left"/>
        </w:tabs>
        <w:numPr>
          <w:ilvl w:val="1"/>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to the requirements set forth in Section 3816 of the Delaware Statutory Trust Statute, a Shareholder may bring a derivative action on behalf of the Trust only if the following conditions are met: (i) the Shareholder or Shareholders must make a pre-suit demand upon the Trustees to bring the subject action unless an effort to cause the Trustees to bring such an action is not likely to succeed; and a demand on the Trustees shall only be deemed not likely to succeed and therefore excused if a majority of the Trustees, or a majority of any committee established to consider the merits of such action, is composed of Trustees who are not “independent trustees” (as that term is defined in the Delaware Statutory Trust Statute); and</w:t>
      </w:r>
    </w:p>
    <w:p>
      <w:pPr>
        <w:spacing w:after="0" w:line="2" w:lineRule="exact"/>
        <w:rPr>
          <w:rFonts w:ascii="Times New Roman" w:cs="Times New Roman" w:eastAsia="Times New Roman" w:hAnsi="Times New Roman"/>
          <w:sz w:val="17"/>
          <w:szCs w:val="17"/>
          <w:color w:val="auto"/>
        </w:rPr>
      </w:pPr>
    </w:p>
    <w:p>
      <w:pPr>
        <w:ind w:left="4" w:right="160" w:hanging="4"/>
        <w:spacing w:after="0" w:line="253" w:lineRule="auto"/>
        <w:tabs>
          <w:tab w:leader="none" w:pos="269"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 demand is not required under clause (i) of this paragraph, the Trustees must be afforded a reasonable amount of time to consider such Shareholder request and to investigate the basis of such claim; and the Trustees shall be entitled to retain counsel and other advisors in considering the merits of the request and may require an undertaking by the Shareholders making such request to reimburse the Trust for the expense of any such advisors in the event that the Trustees determine not to bring such action. For purposes of this Section 6.10, the Trustees may designate a committee of one or more Trustees to consider a Shareholder demand.</w:t>
      </w:r>
    </w:p>
    <w:p>
      <w:pPr>
        <w:spacing w:after="0" w:line="186" w:lineRule="exact"/>
        <w:rPr>
          <w:rFonts w:ascii="Times New Roman" w:cs="Times New Roman" w:eastAsia="Times New Roman" w:hAnsi="Times New Roman"/>
          <w:sz w:val="18"/>
          <w:szCs w:val="18"/>
          <w:color w:val="auto"/>
        </w:rPr>
      </w:pPr>
    </w:p>
    <w:p>
      <w:pPr>
        <w:ind w:left="4" w:right="140" w:firstLine="987"/>
        <w:spacing w:after="0" w:line="258" w:lineRule="auto"/>
        <w:tabs>
          <w:tab w:leader="none" w:pos="124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all suits, claims or other actions (collectively, “claims”) that under applicable law must be brought as derivative claims, each Shareholder agrees that any claim that affects all Shareholders of the Trust or any series or class equally, that is, proportionately based on their number of Shares in the Trust or in such series of class, must be brought as a derivative claim subject to this Section 6.10 irrespective of whether such claim involves a violation of the Shareholder’s rights under this Declaration or any other alleged violation of contractual or individual rights that might otherwise give rise to a direct claim.</w:t>
      </w:r>
    </w:p>
    <w:p>
      <w:pPr>
        <w:spacing w:after="0" w:line="395" w:lineRule="exact"/>
        <w:rPr>
          <w:sz w:val="20"/>
          <w:szCs w:val="20"/>
          <w:color w:val="auto"/>
        </w:rPr>
      </w:pPr>
    </w:p>
    <w:p>
      <w:pPr>
        <w:ind w:left="4944"/>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117" w:lineRule="exact"/>
        <w:rPr>
          <w:sz w:val="20"/>
          <w:szCs w:val="20"/>
          <w:color w:val="auto"/>
        </w:rPr>
      </w:pPr>
    </w:p>
    <w:p>
      <w:pPr>
        <w:ind w:left="5004"/>
        <w:spacing w:after="0"/>
        <w:rPr>
          <w:sz w:val="20"/>
          <w:szCs w:val="20"/>
          <w:color w:val="auto"/>
        </w:rPr>
      </w:pPr>
      <w:r>
        <w:rPr>
          <w:rFonts w:ascii="Times New Roman" w:cs="Times New Roman" w:eastAsia="Times New Roman" w:hAnsi="Times New Roman"/>
          <w:sz w:val="18"/>
          <w:szCs w:val="18"/>
          <w:b w:val="1"/>
          <w:bCs w:val="1"/>
          <w:color w:val="auto"/>
        </w:rPr>
        <w:t>Capital Calls</w:t>
      </w:r>
    </w:p>
    <w:p>
      <w:pPr>
        <w:spacing w:after="0" w:line="22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Capital Commitment; Drawdowns; Defaulting Shareholders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987"/>
        <w:spacing w:after="0" w:line="255" w:lineRule="auto"/>
        <w:tabs>
          <w:tab w:leader="none" w:pos="12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an Exchange Listing, unless otherwise determined by the Trustees, prospective Shareholders will make a Capital Commitment pursuant to a subscription agreement entered into with the Trust, pursuant to which Shareholders agree to contribute capital to the Trust in exchange for Shares. The subscription agreements provide that investors are required to fund capital contributions to purchase Shares (each a “Drawdown Purchase”), each time the Trust delivers a drawdown notice, which the Trust will deliver at least 10 calendar days prior to the date on which contributions will be due. Drawdown Purchases will generally be made pro rata, in accordance with unfunded Capital Commitments of all investors, unless otherwise determined by the Adviser (including as the Adviser determines necessary or desirable in order to comply with any applicable legal, regulatory, tax or similar regimes).</w:t>
      </w:r>
    </w:p>
    <w:p>
      <w:pPr>
        <w:spacing w:after="0" w:line="188" w:lineRule="exact"/>
        <w:rPr>
          <w:rFonts w:ascii="Times New Roman" w:cs="Times New Roman" w:eastAsia="Times New Roman" w:hAnsi="Times New Roman"/>
          <w:sz w:val="18"/>
          <w:szCs w:val="18"/>
          <w:color w:val="auto"/>
        </w:rPr>
      </w:pPr>
    </w:p>
    <w:p>
      <w:pPr>
        <w:jc w:val="both"/>
        <w:ind w:left="4" w:right="240" w:firstLine="987"/>
        <w:spacing w:after="0" w:line="266" w:lineRule="auto"/>
        <w:tabs>
          <w:tab w:leader="none" w:pos="125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initial closing (the “Initial Closing”), the Trust may permit one or more additional closings (each, a “Closing”), which may occur from time to time as determined by the Trust until (and including) the 12-month anniversary date of the Initial Closing, which may be extended for an additional six months by the Adviser.</w:t>
      </w:r>
    </w:p>
    <w:p>
      <w:pPr>
        <w:spacing w:after="0" w:line="175" w:lineRule="exact"/>
        <w:rPr>
          <w:rFonts w:ascii="Times New Roman" w:cs="Times New Roman" w:eastAsia="Times New Roman" w:hAnsi="Times New Roman"/>
          <w:sz w:val="18"/>
          <w:szCs w:val="18"/>
          <w:color w:val="auto"/>
        </w:rPr>
      </w:pPr>
    </w:p>
    <w:p>
      <w:pPr>
        <w:ind w:left="4" w:firstLine="987"/>
        <w:spacing w:after="0" w:line="258" w:lineRule="auto"/>
        <w:tabs>
          <w:tab w:leader="none" w:pos="12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Trust enters into a subscription agreement with one or more investors after the initial Drawdown Purchase in which the proceeds are used to make investments (the “Effective Date”), unless otherwise determined by the Trustees, each such investor will be required to make a purchase of Shares on a date to be determined by the Trust that occurs no later than the next succeeding Drawdown Purchase date so that Drawdown Purchases are pro rata in accordance with the unfunded Capital Commitments of all investors, unless otherwise determined by the Adviser (including as the Adviser determines necessary or desirable in order to comply with any applicable legal, regulatory, tax or similar regimes).</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4"/>
          </w:cols>
          <w:pgMar w:left="436" w:top="270" w:right="459" w:bottom="1440" w:gutter="0" w:footer="0" w:header="0"/>
        </w:sectPr>
      </w:pPr>
    </w:p>
    <w:bookmarkStart w:id="126" w:name="page127"/>
    <w:bookmarkEnd w:id="126"/>
    <w:p>
      <w:pPr>
        <w:ind w:right="20" w:firstLine="987"/>
        <w:spacing w:after="0" w:line="272" w:lineRule="auto"/>
        <w:tabs>
          <w:tab w:leader="none" w:pos="1246"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 the earlier of (i) an Exchange Listing and (ii) five years following the Effective Date (the “Commitment Period”), investors will be released from any further obligation to purchase additional Shares, except to the extent necessary to (a) pay Trust expenses, including management fees, amounts that may become due under any borrowings or other financings or similar obligations, or indemnity obligations, (b) complete investments in any transactions that the Adviser has allocated to the Trust or to which the Adviser has committed the Trust to proceed as of the end of the Commitment Period (including investments that are funded in phases), (c) fund follow-on investments made in existing portfolio companies within three years from the end of the Commitment Period that, in the aggregate, do not exceed five percent (5%) of total Capital Commitments, (d) fund obligations under any Trust guarantee and (e) fulfill obligations with respect to any Shareholder failures to pay Capital Commitments when due, described in Section 7.1(e) below. No investor in the Trust’s private placement will be required to invest more than the total amount of its Capital Commitment.</w:t>
      </w:r>
    </w:p>
    <w:p>
      <w:pPr>
        <w:spacing w:after="0" w:line="171" w:lineRule="exact"/>
        <w:rPr>
          <w:rFonts w:ascii="Times New Roman" w:cs="Times New Roman" w:eastAsia="Times New Roman" w:hAnsi="Times New Roman"/>
          <w:sz w:val="17"/>
          <w:szCs w:val="17"/>
          <w:color w:val="auto"/>
        </w:rPr>
      </w:pPr>
    </w:p>
    <w:p>
      <w:pPr>
        <w:ind w:right="80" w:firstLine="987"/>
        <w:spacing w:after="0" w:line="254" w:lineRule="auto"/>
        <w:tabs>
          <w:tab w:leader="none" w:pos="123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agreed by the Trustees or the Adviser with a Shareholder, if a Shareholder fails to fund a Capital Commitment when due, after a ten business day cure period the Trust may determine such Shareholder to be a defaulting Shareholder. A defaulting Shareholder will forfeit its right to participate in future capital calls and 50% of its Shares will be transferred to the non-defaulting Shareholders on a pro rata basis. In addition, the Adviser may, in its discretion and subject to applicable law, take any actions available under this Declaration or at law or in equity. Without limitation on the rights the Trust may have against the defaulting Shareholder, the Trust may call for additional capital contributions</w:t>
      </w:r>
    </w:p>
    <w:p>
      <w:pPr>
        <w:spacing w:after="0" w:line="3"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non-defaulting Shareholders to make up any shortfall. The non-defaulting Shareholders could therefore be required to fund any shortfall up to their remaining Capital Commitments.</w:t>
      </w:r>
    </w:p>
    <w:p>
      <w:pPr>
        <w:spacing w:after="0" w:line="181" w:lineRule="exact"/>
        <w:rPr>
          <w:rFonts w:ascii="Times New Roman" w:cs="Times New Roman" w:eastAsia="Times New Roman" w:hAnsi="Times New Roman"/>
          <w:sz w:val="18"/>
          <w:szCs w:val="18"/>
          <w:color w:val="auto"/>
        </w:rPr>
      </w:pPr>
    </w:p>
    <w:p>
      <w:pPr>
        <w:ind w:right="280" w:firstLine="987"/>
        <w:spacing w:after="0" w:line="282" w:lineRule="auto"/>
        <w:tabs>
          <w:tab w:leader="none" w:pos="121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the applicable subscription agreements pertaining to Capital Commitments shall be deemed to be incorporated by reference into this Declaration.</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Custodians</w:t>
      </w:r>
    </w:p>
    <w:p>
      <w:pPr>
        <w:spacing w:after="0" w:line="229" w:lineRule="exact"/>
        <w:rPr>
          <w:sz w:val="20"/>
          <w:szCs w:val="20"/>
          <w:color w:val="auto"/>
        </w:rPr>
      </w:pPr>
    </w:p>
    <w:p>
      <w:pPr>
        <w:jc w:val="both"/>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u w:val="single" w:color="auto"/>
          <w:color w:val="auto"/>
        </w:rPr>
        <w:t>Appointment and Duties</w:t>
      </w:r>
      <w:r>
        <w:rPr>
          <w:rFonts w:ascii="Times New Roman" w:cs="Times New Roman" w:eastAsia="Times New Roman" w:hAnsi="Times New Roman"/>
          <w:sz w:val="18"/>
          <w:szCs w:val="18"/>
          <w:color w:val="auto"/>
        </w:rPr>
        <w:t>. The Trustees may employ a custodian or custodians, meeting the qualifications for custodians for portfolio securities of investment companies contained in the 1940 Act, as custodian with respect to the assets of the Trust. Any custodian shall have authority as agent of the Trust as determined by the custodian agreement or agreements, but subject to such restrictions, limitations and other requirements, if any, as may be contained in the By-Laws of the Trust and the 1940 Act, including without limitation authority:</w:t>
      </w:r>
    </w:p>
    <w:p>
      <w:pPr>
        <w:spacing w:after="0" w:line="72" w:lineRule="exact"/>
        <w:rPr>
          <w:sz w:val="20"/>
          <w:szCs w:val="20"/>
          <w:color w:val="auto"/>
        </w:rPr>
      </w:pPr>
    </w:p>
    <w:p>
      <w:pPr>
        <w:ind w:left="1200" w:hanging="213"/>
        <w:spacing w:after="0"/>
        <w:tabs>
          <w:tab w:leader="none" w:pos="12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hold the securities owned by the Trust and deliver the same upon written order;</w:t>
      </w:r>
    </w:p>
    <w:p>
      <w:pPr>
        <w:spacing w:after="0" w:line="225" w:lineRule="exact"/>
        <w:rPr>
          <w:rFonts w:ascii="Times New Roman" w:cs="Times New Roman" w:eastAsia="Times New Roman" w:hAnsi="Times New Roman"/>
          <w:sz w:val="18"/>
          <w:szCs w:val="18"/>
          <w:color w:val="auto"/>
        </w:rPr>
      </w:pPr>
    </w:p>
    <w:p>
      <w:pPr>
        <w:ind w:right="120" w:firstLine="987"/>
        <w:spacing w:after="0" w:line="282" w:lineRule="auto"/>
        <w:tabs>
          <w:tab w:leader="none" w:pos="125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receive any receipt for any moneys due to the Trust and deposit the same in its own banking department (if a bank) or elsewhere as the Trustees may direct;</w:t>
      </w:r>
    </w:p>
    <w:p>
      <w:pPr>
        <w:spacing w:after="0" w:line="161" w:lineRule="exact"/>
        <w:rPr>
          <w:rFonts w:ascii="Times New Roman" w:cs="Times New Roman" w:eastAsia="Times New Roman" w:hAnsi="Times New Roman"/>
          <w:sz w:val="18"/>
          <w:szCs w:val="18"/>
          <w:color w:val="auto"/>
        </w:rPr>
      </w:pPr>
    </w:p>
    <w:p>
      <w:pPr>
        <w:ind w:left="1300" w:hanging="313"/>
        <w:spacing w:after="0"/>
        <w:tabs>
          <w:tab w:leader="none" w:pos="13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disburse such funds upon orders or vouchers;</w:t>
      </w:r>
    </w:p>
    <w:p>
      <w:pPr>
        <w:spacing w:after="0" w:line="225" w:lineRule="exact"/>
        <w:rPr>
          <w:rFonts w:ascii="Times New Roman" w:cs="Times New Roman" w:eastAsia="Times New Roman" w:hAnsi="Times New Roman"/>
          <w:sz w:val="18"/>
          <w:szCs w:val="18"/>
          <w:color w:val="auto"/>
        </w:rPr>
      </w:pPr>
    </w:p>
    <w:p>
      <w:pPr>
        <w:ind w:left="1300" w:hanging="313"/>
        <w:spacing w:after="0"/>
        <w:tabs>
          <w:tab w:leader="none" w:pos="13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authorized by the Trustees, to keep the books and accounts of the Trust and furnish clerical and accounting services; and</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authorized by the Trustees, to compute the net income or net asset value of the Trust;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upon such basis of compensation as may be agreed upon between the Trustees and the custodian.</w:t>
      </w:r>
    </w:p>
    <w:p>
      <w:pPr>
        <w:spacing w:after="0" w:line="225"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The Trustees may also authorize each custodian to employ one or more sub-custodians from time to time to perform such of the acts and services of the custodian and upon such terms and conditions, as may be agreed upon between the custodian and such sub-custodian and approved by the Trustees, provided that in every case such sub-custodian shall meet the qualifications for custodians contained in the 1940 Act.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80"/>
          </w:cols>
          <w:pgMar w:left="440" w:top="270" w:right="479" w:bottom="1440" w:gutter="0" w:footer="0" w:header="0"/>
        </w:sectPr>
      </w:pPr>
    </w:p>
    <w:bookmarkStart w:id="127" w:name="page128"/>
    <w:bookmarkEnd w:id="127"/>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8.2 </w:t>
      </w:r>
      <w:r>
        <w:rPr>
          <w:rFonts w:ascii="Times New Roman" w:cs="Times New Roman" w:eastAsia="Times New Roman" w:hAnsi="Times New Roman"/>
          <w:sz w:val="18"/>
          <w:szCs w:val="18"/>
          <w:u w:val="single" w:color="auto"/>
          <w:color w:val="auto"/>
        </w:rPr>
        <w:t>Central Certificate System</w:t>
      </w:r>
      <w:r>
        <w:rPr>
          <w:rFonts w:ascii="Times New Roman" w:cs="Times New Roman" w:eastAsia="Times New Roman" w:hAnsi="Times New Roman"/>
          <w:sz w:val="18"/>
          <w:szCs w:val="18"/>
          <w:color w:val="auto"/>
        </w:rPr>
        <w:t>. Subject to such rules, regulations and orders as the Commission may adopt, the Trustees may direct the custodian to deposit all or any part of the securities owned by the Trust in a system for the central handling of securities established by a national securities exchange or a national securities association registered with the Commission under the Securities Exchange Act of 1934, as amended, or such other Person as may be permitted by the Commission, or otherwise in accordance with the 1940 Act, pursuant to which system all securities of any particular class of any issuer deposited within the system are treated as fungible and may be transferred or pledged by bookkeeping entry without physical delivery of such securities, provided that all such deposits shall be subject to withdrawal only upon the order of the Trust.</w:t>
      </w:r>
    </w:p>
    <w:p>
      <w:pPr>
        <w:spacing w:after="0" w:line="39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11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Redemption</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9.1 </w:t>
      </w:r>
      <w:r>
        <w:rPr>
          <w:rFonts w:ascii="Times New Roman" w:cs="Times New Roman" w:eastAsia="Times New Roman" w:hAnsi="Times New Roman"/>
          <w:sz w:val="18"/>
          <w:szCs w:val="18"/>
          <w:u w:val="single" w:color="auto"/>
          <w:color w:val="auto"/>
        </w:rPr>
        <w:t>Redemptions</w:t>
      </w:r>
      <w:r>
        <w:rPr>
          <w:rFonts w:ascii="Times New Roman" w:cs="Times New Roman" w:eastAsia="Times New Roman" w:hAnsi="Times New Roman"/>
          <w:sz w:val="18"/>
          <w:szCs w:val="18"/>
          <w:color w:val="auto"/>
        </w:rPr>
        <w:t>. Holders of Shares of the Trust shall not be entitled to require the Trust to repurchase or redeem Shares of the Trust.</w:t>
      </w:r>
    </w:p>
    <w:p>
      <w:pPr>
        <w:spacing w:after="0" w:line="225"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9.2 </w:t>
      </w:r>
      <w:r>
        <w:rPr>
          <w:rFonts w:ascii="Times New Roman" w:cs="Times New Roman" w:eastAsia="Times New Roman" w:hAnsi="Times New Roman"/>
          <w:sz w:val="18"/>
          <w:szCs w:val="18"/>
          <w:u w:val="single" w:color="auto"/>
          <w:color w:val="auto"/>
        </w:rPr>
        <w:t>Disclosure of Holding</w:t>
      </w:r>
      <w:r>
        <w:rPr>
          <w:rFonts w:ascii="Times New Roman" w:cs="Times New Roman" w:eastAsia="Times New Roman" w:hAnsi="Times New Roman"/>
          <w:sz w:val="18"/>
          <w:szCs w:val="18"/>
          <w:color w:val="auto"/>
        </w:rPr>
        <w:t>. The holders of Shares or other securities of the Trust shall, upon demand, disclose to the Trustees in writing such information with respect to direct and indirect ownership of Shares or other securities of the Trust as the Trustees deem necessary to comply with the provisions of the Code, the 1940 Act or other applicable laws or regulations, or to comply with the requirements of any other taxing or regulatory authority.</w:t>
      </w:r>
    </w:p>
    <w:p>
      <w:pPr>
        <w:spacing w:after="0" w:line="180"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9.3 </w:t>
      </w:r>
      <w:r>
        <w:rPr>
          <w:rFonts w:ascii="Times New Roman" w:cs="Times New Roman" w:eastAsia="Times New Roman" w:hAnsi="Times New Roman"/>
          <w:sz w:val="18"/>
          <w:szCs w:val="18"/>
          <w:u w:val="single" w:color="auto"/>
          <w:color w:val="auto"/>
        </w:rPr>
        <w:t>Redemption by Trust</w:t>
      </w:r>
      <w:r>
        <w:rPr>
          <w:rFonts w:ascii="Times New Roman" w:cs="Times New Roman" w:eastAsia="Times New Roman" w:hAnsi="Times New Roman"/>
          <w:sz w:val="18"/>
          <w:szCs w:val="18"/>
          <w:color w:val="auto"/>
        </w:rPr>
        <w:t>. Each Share is subject to redemption (out of the assets of the Trust) by the Trust at the redemption price equal to the then current net asset value per Share of the Trust determined in accordance with Section 10.1 at any time if the Trustees determine in their sole discretion that a Shareholder has breached any of its representations or warranties contained in such Shareholder’s subscription agreement with the Trust, and upon such redemption the holders of the Shares so redeemed shall have no further right with respect thereto other than to receive payment of such redemption price.</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Net Asset Value and Distributions</w:t>
      </w:r>
    </w:p>
    <w:p>
      <w:pPr>
        <w:spacing w:after="0" w:line="229"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Net Asset Value</w:t>
      </w:r>
      <w:r>
        <w:rPr>
          <w:rFonts w:ascii="Times New Roman" w:cs="Times New Roman" w:eastAsia="Times New Roman" w:hAnsi="Times New Roman"/>
          <w:sz w:val="18"/>
          <w:szCs w:val="18"/>
          <w:color w:val="auto"/>
        </w:rPr>
        <w:t>. The net asset value of each outstanding Share of the Trust shall be determined at such time or times on such days as the Trustees may determine, in accordance with the 1940 Act. The method of determination of net asset value shall be determined by the Trustees. The power and duty to make the net asset value calculations may be delegated by the Trustees.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Distributions to Shareholders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4" w:lineRule="auto"/>
        <w:tabs>
          <w:tab w:leader="none" w:pos="123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Trustees may from time to time distribute ratably among the Shareholders of any class of Shares, or any series of any such class, in accordance with the number of outstanding full and fractional Shares of such class or any series of such class, such proportion of the net profits, surplus (including paid-in surplus), capital or assets held by the Trust as the Trustees may deem proper or as may otherwise be determined in accordance with this Declaration. Any such distribution may be made in cash or property (including without limitation any type of obligations of the Trust or any assets thereof) or Shares of any class or series or any combination thereof, and the Trustees may distribute ratably among the Shareholders of any class of shares or series of any such class, in accordance with the number of outstanding full and fractional Shares of such class or any series of such class, additional Shares of any class or series in such manner, at such times and on such terms as the Trustees may deem proper or as may otherwise be determined in accordance with this Declaration. The Trustees may cause the Trust to enter into a distribution reinvestment program with terms and conditions as agreed to by the Trustees from time to time.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0"/>
          </w:cols>
          <w:pgMar w:left="440" w:top="270" w:right="479" w:bottom="1440" w:gutter="0" w:footer="0" w:header="0"/>
        </w:sectPr>
      </w:pPr>
    </w:p>
    <w:bookmarkStart w:id="128" w:name="page129"/>
    <w:bookmarkEnd w:id="128"/>
    <w:p>
      <w:pPr>
        <w:ind w:right="220" w:firstLine="987"/>
        <w:spacing w:after="0" w:line="282" w:lineRule="auto"/>
        <w:tabs>
          <w:tab w:leader="none" w:pos="124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Distributions pursuant to this Section 10.2 may be among the Shareholders of record of the applicable class or series of Shares at the time of declaring a distribution or among the Shareholders of record at such later date as the Trustees shall determine and specify.</w:t>
      </w:r>
    </w:p>
    <w:p>
      <w:pPr>
        <w:spacing w:after="0" w:line="161" w:lineRule="exact"/>
        <w:rPr>
          <w:rFonts w:ascii="Times New Roman" w:cs="Times New Roman" w:eastAsia="Times New Roman" w:hAnsi="Times New Roman"/>
          <w:sz w:val="18"/>
          <w:szCs w:val="18"/>
          <w:color w:val="auto"/>
        </w:rPr>
      </w:pPr>
    </w:p>
    <w:p>
      <w:pPr>
        <w:ind w:right="60" w:firstLine="987"/>
        <w:spacing w:after="0" w:line="266" w:lineRule="auto"/>
        <w:tabs>
          <w:tab w:leader="none" w:pos="123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Trustees may always retain from the net profits such amount as they may deem necessary to pay the debts or expenses of the Trust or to meet obligations of the Trust, or as they otherwise may deem desirable to use in the conduct of its affairs or to retain for future requirements or extensions of the business.</w:t>
      </w:r>
    </w:p>
    <w:p>
      <w:pPr>
        <w:spacing w:after="0" w:line="175" w:lineRule="exact"/>
        <w:rPr>
          <w:rFonts w:ascii="Times New Roman" w:cs="Times New Roman" w:eastAsia="Times New Roman" w:hAnsi="Times New Roman"/>
          <w:sz w:val="18"/>
          <w:szCs w:val="18"/>
          <w:color w:val="auto"/>
        </w:rPr>
      </w:pPr>
    </w:p>
    <w:p>
      <w:pPr>
        <w:jc w:val="both"/>
        <w:ind w:right="160" w:firstLine="987"/>
        <w:spacing w:after="0" w:line="266" w:lineRule="auto"/>
        <w:tabs>
          <w:tab w:leader="none" w:pos="124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Inasmuch as the computation of net income and gains for Federal income tax purposes may vary from the computation thereof on the books, the above provisions shall be interpreted to give the Trustees the power in their discretion to distribute for any fiscal year as ordinary dividends and as capital gains distributions, respectively, additional amounts sufficient to enable the Trust to avoid or reduce liability for taxes.</w:t>
      </w:r>
    </w:p>
    <w:p>
      <w:pPr>
        <w:spacing w:after="0" w:line="176" w:lineRule="exact"/>
        <w:rPr>
          <w:sz w:val="20"/>
          <w:szCs w:val="20"/>
          <w:color w:val="auto"/>
        </w:rPr>
      </w:pPr>
    </w:p>
    <w:p>
      <w:pPr>
        <w:ind w:right="60" w:firstLine="440"/>
        <w:spacing w:after="0" w:line="277" w:lineRule="auto"/>
        <w:rPr>
          <w:sz w:val="20"/>
          <w:szCs w:val="20"/>
          <w:color w:val="auto"/>
        </w:rPr>
      </w:pPr>
      <w:r>
        <w:rPr>
          <w:rFonts w:ascii="Times New Roman" w:cs="Times New Roman" w:eastAsia="Times New Roman" w:hAnsi="Times New Roman"/>
          <w:sz w:val="17"/>
          <w:szCs w:val="17"/>
          <w:color w:val="auto"/>
        </w:rPr>
        <w:t xml:space="preserve">Section 10.3 </w:t>
      </w:r>
      <w:r>
        <w:rPr>
          <w:rFonts w:ascii="Times New Roman" w:cs="Times New Roman" w:eastAsia="Times New Roman" w:hAnsi="Times New Roman"/>
          <w:sz w:val="17"/>
          <w:szCs w:val="17"/>
          <w:u w:val="single" w:color="auto"/>
          <w:color w:val="auto"/>
        </w:rPr>
        <w:t>Power to Modify Foregoing Procedures</w:t>
      </w:r>
      <w:r>
        <w:rPr>
          <w:rFonts w:ascii="Times New Roman" w:cs="Times New Roman" w:eastAsia="Times New Roman" w:hAnsi="Times New Roman"/>
          <w:sz w:val="17"/>
          <w:szCs w:val="17"/>
          <w:color w:val="auto"/>
        </w:rPr>
        <w:t>. Notwithstanding any of the foregoing provisions of this Article X, the Trustees may prescribe, in their absolute discretion except as may be required by the 1940 Act, such other bases and times for determining the per share asset value of the Trust’s Shares or net income, or the declaration and payment of dividends and distributions as they may deem necessary or desirable for any reason, including to enable the Trust to comply with any provision of the 1940 Act, or any securities exchange or association registered under the Securities Exchange Act of 1934, as amended, or any order of exemption issued by the Commission, all as in effect now or hereafter amended or modified.</w:t>
      </w:r>
    </w:p>
    <w:p>
      <w:pPr>
        <w:spacing w:after="0" w:line="38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11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Shareholders</w:t>
      </w:r>
    </w:p>
    <w:p>
      <w:pPr>
        <w:spacing w:after="0" w:line="229"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11.1 </w:t>
      </w:r>
      <w:r>
        <w:rPr>
          <w:rFonts w:ascii="Times New Roman" w:cs="Times New Roman" w:eastAsia="Times New Roman" w:hAnsi="Times New Roman"/>
          <w:sz w:val="18"/>
          <w:szCs w:val="18"/>
          <w:u w:val="single" w:color="auto"/>
          <w:color w:val="auto"/>
        </w:rPr>
        <w:t>Meetings of Shareholders</w:t>
      </w:r>
      <w:r>
        <w:rPr>
          <w:rFonts w:ascii="Times New Roman" w:cs="Times New Roman" w:eastAsia="Times New Roman" w:hAnsi="Times New Roman"/>
          <w:sz w:val="18"/>
          <w:szCs w:val="18"/>
          <w:color w:val="auto"/>
        </w:rPr>
        <w:t>. A special meeting of the Shareholders may be called at any time by a majority of the Trustees or the Chief Executive Officer and shall be called by any Trustee for any proper purpose upon written request of Shareholders of the Trust holding in the aggregate not less than thirty-three and one-third percent (33</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5"/>
          <w:szCs w:val="15"/>
          <w:color w:val="auto"/>
        </w:rPr>
        <w:t>3</w:t>
      </w:r>
      <w:r>
        <w:rPr>
          <w:rFonts w:ascii="Times New Roman" w:cs="Times New Roman" w:eastAsia="Times New Roman" w:hAnsi="Times New Roman"/>
          <w:sz w:val="18"/>
          <w:szCs w:val="18"/>
          <w:color w:val="auto"/>
        </w:rPr>
        <w:t>%) of the outstanding Shares of the Trust, such request specifying the purpose or purposes for which such meeting is to be called, provided that in the case of a meeting called by any Trustee at the request of Shareholders for the purpose of electing Trustees or removing the Adviser, written request of Shareholders of the Trust holding in the aggregate not less than fifty-one percent (51%) of the outstanding Shares of the Trust or class or series of Shares having voting rights on the matter shall be required to elect a Trustee or to remove the Adviser. For a special Shareholder meeting to be called for a proper purpose (as used in the preceding sentence), it is not a requirement that such purpose relate to a matter on which Shareholders are entitled to vote, provided that if such meeting is called for a purpose for which Shareholders are not entitled to vote, no vote will be taken at such meeting. Any shareholder meeting, including a special meeting, shall be held within or without the State of Delaware on such day and at such time as the Trustees shall designate.</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11.2 </w:t>
      </w:r>
      <w:r>
        <w:rPr>
          <w:rFonts w:ascii="Times New Roman" w:cs="Times New Roman" w:eastAsia="Times New Roman" w:hAnsi="Times New Roman"/>
          <w:sz w:val="18"/>
          <w:szCs w:val="18"/>
          <w:u w:val="single" w:color="auto"/>
          <w:color w:val="auto"/>
        </w:rPr>
        <w:t>Voting</w:t>
      </w:r>
      <w:r>
        <w:rPr>
          <w:rFonts w:ascii="Times New Roman" w:cs="Times New Roman" w:eastAsia="Times New Roman" w:hAnsi="Times New Roman"/>
          <w:sz w:val="18"/>
          <w:szCs w:val="18"/>
          <w:color w:val="auto"/>
        </w:rPr>
        <w:t>. Shareholders shall have no power to vote on any matter except matters on which a vote of Shareholders is required by the</w:t>
      </w:r>
    </w:p>
    <w:p>
      <w:pPr>
        <w:spacing w:after="0" w:line="27"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1940 Act, this Declaration or resolution of the Trustees or, after an Exchange Listing, by any applicable stock exchange. This Declaration expressly provides that no matter for which voting, consent or other approval is required by the Delaware Statutory Trust Statute in the absence of a contrary provision in the Declaration shall require any vote. Except as otherwise provided herein, any matter required to be submitted to Shareholders and affecting one or more classes or series of Shares shall require approval by the required vote of all of the affected classes and series of Shares voting together as a single class; provided, however, that as to any matter with respect to which a separate vote of any class or series of Shares is required by the 1940 Act, such requirement as to a separate vote by that class or series of Shares shall apply in addition to a vote of all of the affected classes and series voting together as a single class. Shareholders of a particular class or series of Shares shall not be entitled to vote on any matter that affects only one or more other classes or series of Shares. Each whole Share shall be entitled to one vote as to any matter on which it is entitled to vote and each fractional Share shall be entitled to a proportionate fractional vote. There shall be no cumulative voting in the election or removal of Trustees. Except as provided in Section 11.1, Trustees shall be elected by a plurality of votes.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129" w:name="page130"/>
    <w:bookmarkEnd w:id="129"/>
    <w:p>
      <w:pPr>
        <w:ind w:firstLine="44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11.3 </w:t>
      </w:r>
      <w:r>
        <w:rPr>
          <w:rFonts w:ascii="Times New Roman" w:cs="Times New Roman" w:eastAsia="Times New Roman" w:hAnsi="Times New Roman"/>
          <w:sz w:val="18"/>
          <w:szCs w:val="18"/>
          <w:u w:val="single" w:color="auto"/>
          <w:color w:val="auto"/>
        </w:rPr>
        <w:t>Record Date; Notice of Meeting; Postponement and Adjournment</w:t>
      </w:r>
      <w:r>
        <w:rPr>
          <w:rFonts w:ascii="Times New Roman" w:cs="Times New Roman" w:eastAsia="Times New Roman" w:hAnsi="Times New Roman"/>
          <w:sz w:val="18"/>
          <w:szCs w:val="18"/>
          <w:color w:val="auto"/>
        </w:rPr>
        <w:t>. The Trustees may fix in advance a date up to one hundred and twenty (120) days (or such other number of days as the Board of Trustees shall determine) before the date of any Shareholders’ meeting as a record date for the determination of the Shareholders entitled to notice of, and to vote at, any such meeting. Notice of all meetings of Shareholders, stating the time, place and purposes of the meeting, shall be given by the Trustees to each Shareholder of record entitled to vote thereat at least 10 days and not more than 90 days (or such longer period as the Trustees may determine) before the meeting or otherwise in compliance with applicable law. Only the business stated in the notice of the meeting shall be considered at such meeting. Prior to the date upon which any meeting of Shareholders is to be held, the Board of Trustees may postpone such meeting one or more times for any reason and for such period of time as the Board of Trustees shall determine by giving notice to each Shareholder entitled to vote at the meeting so postponed of the place, date and hour at which such meeting will be held. Such notice shall be given not fewer than two (2) days before the date of such meeting and otherwise in accordance with Sections 6.9 and 11.8 and this Section 11.3. Any Shareholders’ meeting may be adjourned by the chairman of the meeting one or more times for any reason, including the failure of a quorum to be present at the meeting with respect to any proposal or the failure of any proposal to receive sufficient votes for approval. No Shareholder vote shall be required for any adjournment. A Shareholders’ meeting may be adjourned by the chairman of the meeting as to one or more proposals regardless of whether action has been taken on other matters. No notice of adjournment of a meeting to another time or place need be given to Shareholders if such time and place are announced at the meeting at which the adjournment is taken or notice is given to persons present at the meeting unless the adjourned meeting is not held within 120 days (or such longer period as the Trustees may determine) after the record date. Any adjourned meeting may be held at such time and place as determined by the chairman of the meeting if such time and place are announced at the meeting at which the adjournment is taken or otherwise by the Board of Trustees. Any business that might have been transacted at the original meeting may be transacted at any adjourned meeting. The Shareholders of record entitled to vote at a Shareholders’ meeting shall be deemed the Shareholders of record at any meeting that has been postponed or reconvened after one or more adjournments, unless the Trustees have fixed a new record date. If, after a postponement or adjournment, a new record date is fixed for the postponed or adjourned meeting, the secretary shall give notice of the postponed or adjourned meeting to Shareholders of record entitled to vote at such meeting. If a quorum is present with respect to any one or more proposals, the chairman of the meeting may, but shall not be required to, cause a vote to be taken with respect to any such proposal or proposals which vote can be certified as final and effective notwithstanding the adjournment of the meeting with respect to any other proposal or proposals. In the absence of fraud, any irregularities in the notice of any meeting or the nonreceipt of any such notice by any of the Shareholders shall not invalidate any action otherwise properly taken at any such meeting.</w:t>
      </w:r>
    </w:p>
    <w:p>
      <w:pPr>
        <w:spacing w:after="0" w:line="204"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11.4 </w:t>
      </w:r>
      <w:r>
        <w:rPr>
          <w:rFonts w:ascii="Times New Roman" w:cs="Times New Roman" w:eastAsia="Times New Roman" w:hAnsi="Times New Roman"/>
          <w:sz w:val="18"/>
          <w:szCs w:val="18"/>
          <w:u w:val="single" w:color="auto"/>
          <w:color w:val="auto"/>
        </w:rPr>
        <w:t>Quorum and Required Vote</w:t>
      </w:r>
      <w:r>
        <w:rPr>
          <w:rFonts w:ascii="Times New Roman" w:cs="Times New Roman" w:eastAsia="Times New Roman" w:hAnsi="Times New Roman"/>
          <w:sz w:val="18"/>
          <w:szCs w:val="18"/>
          <w:color w:val="auto"/>
        </w:rPr>
        <w:t>. (a) Unless otherwise required by the 1940 Act, the holders of one third of the Shares entitled to vote on any matter at a meeting present in person or by proxy shall constitute a quorum at such meeting of the Shareholders for purposes of conducting business on such matter. The absence from any meeting, in person or by proxy, of a quorum of Shareholders for action upon any given matter shall not prevent action at such meeting upon any other matter or matters which may properly come before the meeting, if there shall be present thereat, in person or by proxy, a quorum of Shareholders in respect of such other matters.</w:t>
      </w:r>
    </w:p>
    <w:p>
      <w:pPr>
        <w:spacing w:after="0" w:line="183" w:lineRule="exact"/>
        <w:rPr>
          <w:sz w:val="20"/>
          <w:szCs w:val="20"/>
          <w:color w:val="auto"/>
        </w:rPr>
      </w:pPr>
    </w:p>
    <w:p>
      <w:pPr>
        <w:ind w:right="20" w:firstLine="987"/>
        <w:spacing w:after="0" w:line="277" w:lineRule="auto"/>
        <w:tabs>
          <w:tab w:leader="none" w:pos="1246"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any provision of applicable law, this Declaration or a resolution of the Trustees specifying a greater or a lesser vote requirement for the transaction of any item of business at any meeting of Shareholders, (i) the affirmative vote of a majority of the Shares present in person or represented by proxy and entitled to vote on the subject matter shall be the act of the Shareholders with respect to such matter, and (ii) where a separate vote of one or more classes or series of Shares is required on any matter, the affirmative vote of a majority of the Shares of such class or series of Shares present in person or represented by proxy at the meeting shall be the act of the Shareholders of such class or series with respect to such matter.</w:t>
      </w:r>
    </w:p>
    <w:p>
      <w:pPr>
        <w:spacing w:after="0" w:line="168"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11.5 </w:t>
      </w:r>
      <w:r>
        <w:rPr>
          <w:rFonts w:ascii="Times New Roman" w:cs="Times New Roman" w:eastAsia="Times New Roman" w:hAnsi="Times New Roman"/>
          <w:sz w:val="18"/>
          <w:szCs w:val="18"/>
          <w:u w:val="single" w:color="auto"/>
          <w:color w:val="auto"/>
        </w:rPr>
        <w:t>Proxies, etc.</w:t>
      </w:r>
      <w:r>
        <w:rPr>
          <w:rFonts w:ascii="Times New Roman" w:cs="Times New Roman" w:eastAsia="Times New Roman" w:hAnsi="Times New Roman"/>
          <w:sz w:val="18"/>
          <w:szCs w:val="18"/>
          <w:color w:val="auto"/>
        </w:rPr>
        <w:t xml:space="preserve"> At any meeting of Shareholders, any holder of Shares entitled to vote thereat may vote by properly executed or authorized proxy, provided that no proxy shall be voted at any meeting unless it shall have been placed on file with the Secretary, or with such other officer or agent of the Trust as the Secretary may direct, for verification prior to the time at which such vote shall be taken. Pursuant to a resolution of a majority of the Trustees, proxies may be solicited in the name of one or more Trustees or one or more of the officers or employees of the Trust. No proxy shall be valid after the expiration of 11 months from the date thereof, unless otherwise provided in the proxy. Only Shareholders of record shall be entitled to vote. Each full Share shall be entitled to one vote and fractional Shares shall be entitled to a vote of such fraction. When any Share is held jointly by several persons, any one of them may vote at any meeting in person or by proxy in respect of such Share, but if</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130" w:name="page131"/>
    <w:bookmarkEnd w:id="130"/>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more than one of them shall be present at such meeting in person or by proxy, and such joint owners or their proxies so present disagree as to any vote to be cast, such vote shall not be received in respect of such Share. A proxy purporting to be executed or authorized by or on behalf of a Shareholder shall be deemed valid unless challenged at or prior to its exercise and the burden of proving invalidity shall rest on the challenger. If the holder of any such Share is a minor or a person of unsound mind, and subject to guardianship or to the legal control of any other person as regards the charge or management of such Share, he may vote by his guardian or such other person appointed or having such control, and such vote may be given in person or by proxy.</w:t>
      </w:r>
    </w:p>
    <w:p>
      <w:pPr>
        <w:spacing w:after="0" w:line="187"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11.6 </w:t>
      </w:r>
      <w:r>
        <w:rPr>
          <w:rFonts w:ascii="Times New Roman" w:cs="Times New Roman" w:eastAsia="Times New Roman" w:hAnsi="Times New Roman"/>
          <w:sz w:val="18"/>
          <w:szCs w:val="18"/>
          <w:u w:val="single" w:color="auto"/>
          <w:color w:val="auto"/>
        </w:rPr>
        <w:t>Reports</w:t>
      </w:r>
      <w:r>
        <w:rPr>
          <w:rFonts w:ascii="Times New Roman" w:cs="Times New Roman" w:eastAsia="Times New Roman" w:hAnsi="Times New Roman"/>
          <w:sz w:val="18"/>
          <w:szCs w:val="18"/>
          <w:color w:val="auto"/>
        </w:rPr>
        <w:t>. The Trustees shall cause to be prepared at least annually and more frequently to the extent and in the form required by law, regulation or any exchange on which Trust Shares are listed a report of operations containing a balance sheet and statement of income and undistributed income of the Trust prepared in conformity with generally accepted accounting principles and an opinion of an independent public accountant on such financial statements. Copies of such reports shall be mailed to all Shareholders of record within the time required by the 1940 Act, and in any event within a reasonable period preceding the meeting of Shareholders. The Trustees shall, in addition, furnish to the Shareholders at least semi-annually to the extent required by law, interim reports containing an unaudited balance sheet of the Trust as of the end of such period and an unaudited statement of income and surplus for the period from the beginning of the current fiscal year to the end of such period.</w:t>
      </w:r>
    </w:p>
    <w:p>
      <w:pPr>
        <w:spacing w:after="0" w:line="189"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11.7 </w:t>
      </w:r>
      <w:r>
        <w:rPr>
          <w:rFonts w:ascii="Times New Roman" w:cs="Times New Roman" w:eastAsia="Times New Roman" w:hAnsi="Times New Roman"/>
          <w:sz w:val="18"/>
          <w:szCs w:val="18"/>
          <w:u w:val="single" w:color="auto"/>
          <w:color w:val="auto"/>
        </w:rPr>
        <w:t>Inspection of Records</w:t>
      </w:r>
      <w:r>
        <w:rPr>
          <w:rFonts w:ascii="Times New Roman" w:cs="Times New Roman" w:eastAsia="Times New Roman" w:hAnsi="Times New Roman"/>
          <w:sz w:val="18"/>
          <w:szCs w:val="18"/>
          <w:color w:val="auto"/>
        </w:rPr>
        <w:t>. No Shareholder shall have any right to inspect any account, book or document of the Trust that is not publicly available, except as conferred by the Trustees. The books and records of the Trust may be kept at such place or places as the Board of Trustees or the officers of the Trust may from time to time determine, except as otherwise required by law.</w:t>
      </w:r>
    </w:p>
    <w:p>
      <w:pPr>
        <w:spacing w:after="0" w:line="176" w:lineRule="exact"/>
        <w:rPr>
          <w:sz w:val="20"/>
          <w:szCs w:val="20"/>
          <w:color w:val="auto"/>
        </w:rPr>
      </w:pPr>
    </w:p>
    <w:p>
      <w:pPr>
        <w:ind w:right="2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11.8 </w:t>
      </w:r>
      <w:r>
        <w:rPr>
          <w:rFonts w:ascii="Times New Roman" w:cs="Times New Roman" w:eastAsia="Times New Roman" w:hAnsi="Times New Roman"/>
          <w:sz w:val="18"/>
          <w:szCs w:val="18"/>
          <w:u w:val="single" w:color="auto"/>
          <w:color w:val="auto"/>
        </w:rPr>
        <w:t>Delivery by Electronic Transmission or Otherwise</w:t>
      </w:r>
      <w:r>
        <w:rPr>
          <w:rFonts w:ascii="Times New Roman" w:cs="Times New Roman" w:eastAsia="Times New Roman" w:hAnsi="Times New Roman"/>
          <w:sz w:val="18"/>
          <w:szCs w:val="18"/>
          <w:color w:val="auto"/>
        </w:rPr>
        <w:t>. Notwithstanding any provision in this Declaration to the contrary, to the fullest extent permitted by law, any notice, proxy, vote, consent, report, instrument or writing of any kind or any signature referenced in, or contemplated by, this Declaration or the By-laws may, in the sole discretion of the Trustees, be given, granted or otherwise delivered by electronic transmission (within the meaning of the Delaware Statutory Trust Statute), including via the internet, by a document publicly filed with the Securities and Exchange Commission or in any other manner permitted by applicable law.</w:t>
      </w:r>
    </w:p>
    <w:p>
      <w:pPr>
        <w:spacing w:after="0" w:line="183"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11.9 </w:t>
      </w:r>
      <w:r>
        <w:rPr>
          <w:rFonts w:ascii="Times New Roman" w:cs="Times New Roman" w:eastAsia="Times New Roman" w:hAnsi="Times New Roman"/>
          <w:sz w:val="18"/>
          <w:szCs w:val="18"/>
          <w:u w:val="single" w:color="auto"/>
          <w:color w:val="auto"/>
        </w:rPr>
        <w:t>Shareholder Action by Written Consent</w:t>
      </w:r>
      <w:r>
        <w:rPr>
          <w:rFonts w:ascii="Times New Roman" w:cs="Times New Roman" w:eastAsia="Times New Roman" w:hAnsi="Times New Roman"/>
          <w:sz w:val="18"/>
          <w:szCs w:val="18"/>
          <w:color w:val="auto"/>
        </w:rPr>
        <w:t>. Any action required or permitted to be taken at any meeting of the Shareholders may be taken without a meeting, without a prior notice and without a vote if the consent setting forth the action to be taken is given in writing or by electronic transmission by the Shareholders having not less than the minimum number of votes that would be necessary to authorize or take such action at a meeting at which all Shareholders entitled to vote thereon were present and voted.</w:t>
      </w:r>
    </w:p>
    <w:p>
      <w:pPr>
        <w:spacing w:after="0" w:line="180"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11.10 </w:t>
      </w:r>
      <w:r>
        <w:rPr>
          <w:rFonts w:ascii="Times New Roman" w:cs="Times New Roman" w:eastAsia="Times New Roman" w:hAnsi="Times New Roman"/>
          <w:sz w:val="18"/>
          <w:szCs w:val="18"/>
          <w:u w:val="single" w:color="auto"/>
          <w:color w:val="auto"/>
        </w:rPr>
        <w:t>Meetings by Remote Communication</w:t>
      </w:r>
      <w:r>
        <w:rPr>
          <w:rFonts w:ascii="Times New Roman" w:cs="Times New Roman" w:eastAsia="Times New Roman" w:hAnsi="Times New Roman"/>
          <w:sz w:val="18"/>
          <w:szCs w:val="18"/>
          <w:color w:val="auto"/>
        </w:rPr>
        <w:t>. The Trustees may provide for meetings by remote communication as provided in the Bylaws or as otherwise determined by the Trustees.</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XII</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Wind Down; Amendment; Mergers, Etc.</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12.1 </w:t>
      </w:r>
      <w:r>
        <w:rPr>
          <w:rFonts w:ascii="Times New Roman" w:cs="Times New Roman" w:eastAsia="Times New Roman" w:hAnsi="Times New Roman"/>
          <w:sz w:val="18"/>
          <w:szCs w:val="18"/>
          <w:u w:val="single" w:color="auto"/>
          <w:color w:val="auto"/>
        </w:rPr>
        <w:t>Wind Down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987"/>
        <w:spacing w:after="0" w:line="254" w:lineRule="auto"/>
        <w:tabs>
          <w:tab w:leader="none" w:pos="123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Trust has not consummated an Exchange Listing within the 10-year anniversary of the Effective Date, subject to up to two one-year extensions if requested by the Adviser and approved by a majority of the Board of Trustees, including a majority of the Trustees who are not “interested persons,” as that term is defined in the 1940 Act, then the Board (subject to any necessary Shareholder approvals and applicable requirements of the 1940 Act) will dissolve the Trust and, within a reasonable period of time, wind up and liquidate the Trust in an orderly manner, and all of the powers of the Trustees under this Declaration shall continue until the affairs of the Trust shall have been wound up as contemplated by Section 3808(e) of the Delaware Statutory Trust Statute. The Trustees may, to the extent they deem appropriate, adopt a plan of liquidation at any time preceding the anticipated dissolution date, which plan of liquidation may set forth the terms and conditions for implementing the dissolution and liquidation of the Trust under this Article XII. Shareholders of the Trust shall not be entitled to vote on the adoption of any such plan or the dissolution and liquidation of the Trust under this Article XII except to the extent required by the 1940 Act or contemplated by Section 12.1(b) hereof.</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131" w:name="page132"/>
    <w:bookmarkEnd w:id="131"/>
    <w:p>
      <w:pPr>
        <w:ind w:right="20" w:firstLine="987"/>
        <w:spacing w:after="0" w:line="261" w:lineRule="auto"/>
        <w:tabs>
          <w:tab w:leader="none" w:pos="124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After the winding up and liquidation of the Trust, including the distribution to the Shareholders of any assets of the Trust, a majority of the Trustees shall execute and lodge among the records of the Trust an instrument in writing setting forth the fact of such termination and shall execute and file a certificate of cancellation with the Secretary of State of the State of Delaware. Upon termination of the Trust, the Trustees shall thereupon be discharged from all further liabilities and duties hereunder, and the rights and interests of all Shareholders shall thereupon cease.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12.2 </w:t>
      </w:r>
      <w:r>
        <w:rPr>
          <w:rFonts w:ascii="Times New Roman" w:cs="Times New Roman" w:eastAsia="Times New Roman" w:hAnsi="Times New Roman"/>
          <w:sz w:val="18"/>
          <w:szCs w:val="18"/>
          <w:u w:val="single" w:color="auto"/>
          <w:color w:val="auto"/>
        </w:rPr>
        <w:t>Amendment Procedure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40" w:hanging="253"/>
        <w:spacing w:after="0"/>
        <w:tabs>
          <w:tab w:leader="none" w:pos="124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Trustees may, without Shareholder vote, amend or otherwise supplement this Declaration. Shareholders shall only have the right to</w:t>
      </w:r>
    </w:p>
    <w:p>
      <w:pPr>
        <w:spacing w:after="0" w:line="38" w:lineRule="exact"/>
        <w:rPr>
          <w:rFonts w:ascii="Times New Roman" w:cs="Times New Roman" w:eastAsia="Times New Roman" w:hAnsi="Times New Roman"/>
          <w:sz w:val="17"/>
          <w:szCs w:val="17"/>
          <w:color w:val="auto"/>
        </w:rPr>
      </w:pPr>
    </w:p>
    <w:p>
      <w:pPr>
        <w:ind w:right="24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vote: (i) on any amendment to this Section 12.2(a), (ii) on any amendment that would adversely affect the powers, preferences or special rights of the Shares as determined by the Trustees in good faith and (iii) on any amendment submitted to them by the Trustees.</w:t>
      </w:r>
    </w:p>
    <w:p>
      <w:pPr>
        <w:spacing w:after="0" w:line="181" w:lineRule="exact"/>
        <w:rPr>
          <w:rFonts w:ascii="Times New Roman" w:cs="Times New Roman" w:eastAsia="Times New Roman" w:hAnsi="Times New Roman"/>
          <w:sz w:val="17"/>
          <w:szCs w:val="17"/>
          <w:color w:val="auto"/>
        </w:rPr>
      </w:pPr>
    </w:p>
    <w:p>
      <w:pPr>
        <w:ind w:right="80" w:firstLine="987"/>
        <w:spacing w:after="0" w:line="258" w:lineRule="auto"/>
        <w:tabs>
          <w:tab w:leader="none" w:pos="124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Declaration, in connection with an Exchange Listing, the Trustees may, without the approval or vote of the Shareholders, amend or supplement this Declaration in any manner, including, without limitation to classify the Board of Trustees, to permit annual meetings of Shareholders, to impose advance notice provisions for the bringing of Shareholder nominations or proposals, to impose super-majority approval for certain types of transactions, to impose “control share” type provisions and to otherwise add provisions that may be deemed adverse to Shareholders.</w:t>
      </w:r>
    </w:p>
    <w:p>
      <w:pPr>
        <w:spacing w:after="0" w:line="183" w:lineRule="exact"/>
        <w:rPr>
          <w:rFonts w:ascii="Times New Roman" w:cs="Times New Roman" w:eastAsia="Times New Roman" w:hAnsi="Times New Roman"/>
          <w:sz w:val="18"/>
          <w:szCs w:val="18"/>
          <w:color w:val="auto"/>
        </w:rPr>
      </w:pPr>
    </w:p>
    <w:p>
      <w:pPr>
        <w:ind w:firstLine="987"/>
        <w:spacing w:after="0" w:line="282" w:lineRule="auto"/>
        <w:tabs>
          <w:tab w:leader="none" w:pos="123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duly adopted by the Board of Trustees and, if required, the Shareholders as aforesaid, shall become effective at the time of such adoption or at such other time as may be designated by the Board of Trustees or Shareholders, as the case may be.</w:t>
      </w:r>
    </w:p>
    <w:p>
      <w:pPr>
        <w:spacing w:after="0" w:line="161" w:lineRule="exact"/>
        <w:rPr>
          <w:rFonts w:ascii="Times New Roman" w:cs="Times New Roman" w:eastAsia="Times New Roman" w:hAnsi="Times New Roman"/>
          <w:sz w:val="18"/>
          <w:szCs w:val="18"/>
          <w:color w:val="auto"/>
        </w:rPr>
      </w:pPr>
    </w:p>
    <w:p>
      <w:pPr>
        <w:ind w:right="280" w:firstLine="987"/>
        <w:spacing w:after="0" w:line="282" w:lineRule="auto"/>
        <w:tabs>
          <w:tab w:leader="none" w:pos="124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to this Declaration that adversely affects the Delaware Trustee shall require its consent, which consent shall not be unreasonably withheld.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12.3 </w:t>
      </w:r>
      <w:r>
        <w:rPr>
          <w:rFonts w:ascii="Times New Roman" w:cs="Times New Roman" w:eastAsia="Times New Roman" w:hAnsi="Times New Roman"/>
          <w:sz w:val="18"/>
          <w:szCs w:val="18"/>
          <w:u w:val="single" w:color="auto"/>
          <w:color w:val="auto"/>
        </w:rPr>
        <w:t>[Intentionally omitted]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12.4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Without approval or vote by Shareholders, the Trustees may cause to be organized or assist in organizing one or more corporations, trusts, partnerships, associations or other organizations to take over all of the Trust Property or to carry on any business in which the Trust shall directly or indirectly have any interest and to sell, convey and transfer all or a portion of the Trust Property to any such corporation, trust, limited liability company, association or organization in exchange for the shares or securities thereof, or otherwise, and to lend money to, subscribe for the shares or securities of and enter into any contracts with any such corporation, trust, limited liability company, partnership, association or organization, or any corporation, partnership, trust, limited liability company, association or organization in which the Trust holds or is about to acquire shares or any other interests.</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12.5 </w:t>
      </w:r>
      <w:r>
        <w:rPr>
          <w:rFonts w:ascii="Times New Roman" w:cs="Times New Roman" w:eastAsia="Times New Roman" w:hAnsi="Times New Roman"/>
          <w:sz w:val="18"/>
          <w:szCs w:val="18"/>
          <w:u w:val="single" w:color="auto"/>
          <w:color w:val="auto"/>
        </w:rPr>
        <w:t>Merger, Consolidation, Incorporation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87"/>
        <w:spacing w:after="0" w:line="254" w:lineRule="auto"/>
        <w:tabs>
          <w:tab w:leader="none" w:pos="1236"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else herein, the Trustees may, in their sole discretion and without Shareholder approval unless such approval is required by the 1940 Act or, after an Exchange Listing, the applicable stock exchange rules, or if such transaction is reasonably anticipated to result in a material dilution of the net asset value per Share of the Trust, (i) cause the Trust to convert into or merge, reorganize or consolidate with or into one or more trusts, partnerships, limited liability companies, business development companies, associations, corporations or other business entities (or a series of any of the foregoing to the extent permitted by law) (including trusts, partnerships, limited liability companies, associations, corporations or other business entities created by the Trustees to accomplish such conversion, merger or consolidation the governing documents of which shall have such terms as the Trustees determine in their sole discretion) and that, in any case, is formed, organized or existing under the laws of the United States or of a state, commonwealth, possession or colony of the United States, (ii) cause the</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80"/>
          </w:cols>
          <w:pgMar w:left="440" w:top="270" w:right="479" w:bottom="1440" w:gutter="0" w:footer="0" w:header="0"/>
        </w:sectPr>
      </w:pPr>
    </w:p>
    <w:bookmarkStart w:id="132" w:name="page133"/>
    <w:bookmarkEnd w:id="132"/>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Shares to be exchanged under or pursuant to any state or federal statute to the extent permitted by law, (iii) cause the Trust to incorporate under the laws of a state, commonwealth, possession or colony of the United States, (iv) sell or convey all or substantially all of the assets of the Trust to another trust, partnership, limited liability company, association, corporation or other business entity (or a series of any of the foregoing to the extent permitted by law) (including a trust, partnership, limited liability company, association, corporation or other business entity created by the Trustees to accomplish such sale and conveyance) that, in any case, is formed, organized or existing under the laws of the United States or of a state, commonwealth, possession or colony of the United States for adequate consideration as determined by the Trustees, which may include the assumption of all outstanding obligations, taxes and other liabilities, accrued or contingent of the Trust, and which may include shares of beneficial interest, stock or other ownership interest of such trust, partnership, limited liability company, association, corporation or other business entity (or series thereof) or (v) at any time, sell or convert into money all or any part of the assets of the Trust. Any agreement of merger, reorganization, consolidation, exchange or conversion or certificate of merger, certificate of conversion or other applicable certificate may be signed by any Trustee or an authorized officer of the Trust and facsimile signatures conveyed by electronic or telecommunication means shall be valid.</w:t>
      </w:r>
    </w:p>
    <w:p>
      <w:pPr>
        <w:spacing w:after="0" w:line="192" w:lineRule="exact"/>
        <w:rPr>
          <w:sz w:val="20"/>
          <w:szCs w:val="20"/>
          <w:color w:val="auto"/>
        </w:rPr>
      </w:pPr>
    </w:p>
    <w:p>
      <w:pPr>
        <w:ind w:right="300" w:firstLine="987"/>
        <w:spacing w:after="0" w:line="261" w:lineRule="auto"/>
        <w:tabs>
          <w:tab w:leader="none" w:pos="124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and in accordance with the provisions of Section 3815(f) of the Act, and notwithstanding anything to the contrary contained in this Declaration, an agreement of merger or consolidation approved by the Trustees in accordance with this Section 12.5 may affect any amendment to the Declaration or effect the adoption of a new declaration of the Trust or change the name of the Trust if the Trust is the surviving or resulting entity in the merger or consolidation.</w:t>
      </w:r>
    </w:p>
    <w:p>
      <w:pPr>
        <w:spacing w:after="0" w:line="17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else herein, the Trustees may, without Shareholder approval unless such approval is required by the</w:t>
      </w:r>
    </w:p>
    <w:p>
      <w:pPr>
        <w:spacing w:after="0" w:line="2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1940 Act, create one or more statutory or business trusts, limited liability companies, limited partnerships or other entities or associations to which all or any part of the assets, liabilities, profits or losses of the Trust may be transferred and may provide for the conversion of Shares in the Trust into beneficial or ownership interests in any such newly created trust or trusts, limited liability companies, limited partnerships or other entities or associations, or any series or classes thereof.</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Delaware Trustee</w:t>
      </w:r>
    </w:p>
    <w:p>
      <w:pPr>
        <w:spacing w:after="0" w:line="229" w:lineRule="exact"/>
        <w:rPr>
          <w:sz w:val="20"/>
          <w:szCs w:val="20"/>
          <w:color w:val="auto"/>
        </w:rPr>
      </w:pPr>
    </w:p>
    <w:p>
      <w:pPr>
        <w:jc w:val="both"/>
        <w:ind w:right="220" w:firstLine="440"/>
        <w:spacing w:after="0" w:line="281" w:lineRule="auto"/>
        <w:rPr>
          <w:sz w:val="20"/>
          <w:szCs w:val="20"/>
          <w:color w:val="auto"/>
        </w:rPr>
      </w:pPr>
      <w:r>
        <w:rPr>
          <w:rFonts w:ascii="Times New Roman" w:cs="Times New Roman" w:eastAsia="Times New Roman" w:hAnsi="Times New Roman"/>
          <w:sz w:val="17"/>
          <w:szCs w:val="17"/>
          <w:color w:val="auto"/>
        </w:rPr>
        <w:t>The trustee, pursuant to Section 3807 of the Delaware Statutory Trust Statute, of the Trust in the State of Delaware shall be SMC-CAS, LLC, a Delaware limited liability company, and any successor trustee appointed in accordance with Section 13.6 of this Declaration. The street address of the principal office of SMC-CAS, LLC is, Farmers Bank Building, Suite 1410, 301 North Market Street, Wilmington, Delaware 19801. Any reference to “Trustee” or “Board of Trustees” in this Declaration and the Bylaws of the Trust shall not be deemed to include or refer to the Delaware Trustee.</w:t>
      </w:r>
    </w:p>
    <w:p>
      <w:pPr>
        <w:spacing w:after="0" w:line="164"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13.1 </w:t>
      </w:r>
      <w:r>
        <w:rPr>
          <w:rFonts w:ascii="Times New Roman" w:cs="Times New Roman" w:eastAsia="Times New Roman" w:hAnsi="Times New Roman"/>
          <w:sz w:val="18"/>
          <w:szCs w:val="18"/>
          <w:u w:val="single" w:color="auto"/>
          <w:color w:val="auto"/>
        </w:rPr>
        <w:t>Purpose of Appointment</w:t>
      </w:r>
      <w:r>
        <w:rPr>
          <w:rFonts w:ascii="Times New Roman" w:cs="Times New Roman" w:eastAsia="Times New Roman" w:hAnsi="Times New Roman"/>
          <w:sz w:val="18"/>
          <w:szCs w:val="18"/>
          <w:color w:val="auto"/>
        </w:rPr>
        <w:t>. The Delaware Trustee is appointed to serve as the trustee of the Trust in the State of Delaware for the sole purpose of satisfying the requirements of Section 3807(a) of the Delaware Statutory Trust Statute that the Trust have at least one trustee with a principal place of business in the State of Delaware. It is understood and agreed by the parties hereto that the Delaware Trustee shall have none of the duties, obligations or liabilities of any other Person, including, without limitation, the Board of Trustees. The Delaware Trustee shall satisfy the requirements of Section 3807(a) of the Delaware Statutory Trust Statute.</w:t>
      </w:r>
    </w:p>
    <w:p>
      <w:pPr>
        <w:spacing w:after="0" w:line="183"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13.2 </w:t>
      </w:r>
      <w:r>
        <w:rPr>
          <w:rFonts w:ascii="Times New Roman" w:cs="Times New Roman" w:eastAsia="Times New Roman" w:hAnsi="Times New Roman"/>
          <w:sz w:val="18"/>
          <w:szCs w:val="18"/>
          <w:u w:val="single" w:color="auto"/>
          <w:color w:val="auto"/>
        </w:rPr>
        <w:t>Duties</w:t>
      </w:r>
      <w:r>
        <w:rPr>
          <w:rFonts w:ascii="Times New Roman" w:cs="Times New Roman" w:eastAsia="Times New Roman" w:hAnsi="Times New Roman"/>
          <w:sz w:val="18"/>
          <w:szCs w:val="18"/>
          <w:color w:val="auto"/>
        </w:rPr>
        <w:t>. The duties of the Delaware Trustee shall be limited to (i) accepting legal process served on the Trust in the State of Delaware and (ii) the execution of any certificates required to be filed with the Delaware Secretary of State, which the Delaware Trustee is required to execute under Section 3811 of the Delaware Statutory Trust Statute. Except for the purpose of the foregoing sentence, the Delaware Trustee shall not be deemed a trustee, shall not be a member of the Board of Trustees and shall have no management responsibilities or owe any fiduciary duties to the Trust or the Shareholders. To the extent that, at law or in equity, the Delaware Trustee has duties (including fiduciary duties) and liabilities relating thereto to the Trust or the Shareholders, it is hereby understood and agreed by the other parties hereto that such duties and liabilities are replaced by the duties and liabilities of the Delaware Trustee expressly set forth in this Declaration. The Delaware Trustee shall have no liability for the acts or omissions of any other Person, including, without limitation, the Board of Trustees and the Adviser.</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0" w:right="459" w:bottom="1440" w:gutter="0" w:footer="0" w:header="0"/>
        </w:sectPr>
      </w:pPr>
    </w:p>
    <w:bookmarkStart w:id="133" w:name="page134"/>
    <w:bookmarkEnd w:id="133"/>
    <w:p>
      <w:pPr>
        <w:jc w:val="both"/>
        <w:ind w:right="36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13.3 </w:t>
      </w:r>
      <w:r>
        <w:rPr>
          <w:rFonts w:ascii="Times New Roman" w:cs="Times New Roman" w:eastAsia="Times New Roman" w:hAnsi="Times New Roman"/>
          <w:sz w:val="18"/>
          <w:szCs w:val="18"/>
          <w:u w:val="single" w:color="auto"/>
          <w:color w:val="auto"/>
        </w:rPr>
        <w:t>Removal</w:t>
      </w:r>
      <w:r>
        <w:rPr>
          <w:rFonts w:ascii="Times New Roman" w:cs="Times New Roman" w:eastAsia="Times New Roman" w:hAnsi="Times New Roman"/>
          <w:sz w:val="18"/>
          <w:szCs w:val="18"/>
          <w:color w:val="auto"/>
        </w:rPr>
        <w:t>. The Delaware Trustee may be removed by the Board of Trustees upon 30 days’ prior written notice to the Delaware Trustee. The Delaware Trustee may resign upon 30 days’ prior written notice to the Board of Trustees. No resignation or removal of the Delaware Trustee shall be effective except upon the appointment of a successor Delaware Trustee appointed by the Board of Trustees or a court of competent jurisdiction. If no successor Delaware Trustee has been appointed within such 30 day period, the Delaware Trustee may, at the expense of the Trust, petition a court of competent jurisdiction to appoint a successor Delaware Trustee.</w:t>
      </w:r>
    </w:p>
    <w:p>
      <w:pPr>
        <w:spacing w:after="0" w:line="183"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13.4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Any Person into which the Delaware Trustee may be merged or with which it may be consolidated, or any Person resulting from any merger or consolidation to which the Delaware Trustee shall be a party, or any Person which succeeds to all or substantially all of the corporate trust business of the Delaware Trustee, shall be the successor Delaware Trustee under this Declaration without the execution, delivery or filing of any paper or instrument or further act to be done on the part of the parties hereto, except as may be required by applicable law.</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13.5 </w:t>
      </w:r>
      <w:r>
        <w:rPr>
          <w:rFonts w:ascii="Times New Roman" w:cs="Times New Roman" w:eastAsia="Times New Roman" w:hAnsi="Times New Roman"/>
          <w:sz w:val="18"/>
          <w:szCs w:val="18"/>
          <w:u w:val="single" w:color="auto"/>
          <w:color w:val="auto"/>
        </w:rPr>
        <w:t>Liability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320" w:firstLine="987"/>
        <w:spacing w:after="0" w:line="266" w:lineRule="auto"/>
        <w:tabs>
          <w:tab w:leader="none" w:pos="1236"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Delaware Trustee shall be entitled to all of the same rights, protections, indemnities and immunities under this Declaration and with respect to the Trust and the Shareholders as the Board of Trustees. No amendment or waiver of any provision of this Declaration that adversely affects the Delaware Trustee shall be effective against it without its prior written consent.</w:t>
      </w:r>
    </w:p>
    <w:p>
      <w:pPr>
        <w:spacing w:after="0" w:line="175" w:lineRule="exact"/>
        <w:rPr>
          <w:rFonts w:ascii="Times New Roman" w:cs="Times New Roman" w:eastAsia="Times New Roman" w:hAnsi="Times New Roman"/>
          <w:sz w:val="18"/>
          <w:szCs w:val="18"/>
          <w:color w:val="auto"/>
        </w:rPr>
      </w:pPr>
    </w:p>
    <w:p>
      <w:pPr>
        <w:jc w:val="both"/>
        <w:ind w:right="20" w:firstLine="987"/>
        <w:spacing w:after="0" w:line="261" w:lineRule="auto"/>
        <w:tabs>
          <w:tab w:leader="none" w:pos="1246"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Delaware Trustee shall not be liable for supervising or monitoring the performance, duties and obligations of any other Person, including, without limitation, the Board of Trustees or the Adviser or the Trust under this Declaration or any related document. The Delaware Trustee shall not be personally liable under any circumstances, except for its own willful misconduct, bad faith or gross negligence. In particular, but not by way of limitation:</w:t>
      </w:r>
    </w:p>
    <w:p>
      <w:pPr>
        <w:spacing w:after="0" w:line="85"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Delaware Trustee shall not be personally liable for any error of judgment made in good faith;</w:t>
      </w:r>
    </w:p>
    <w:p>
      <w:pPr>
        <w:spacing w:after="0" w:line="130" w:lineRule="exact"/>
        <w:rPr>
          <w:rFonts w:ascii="Times New Roman" w:cs="Times New Roman" w:eastAsia="Times New Roman" w:hAnsi="Times New Roman"/>
          <w:sz w:val="18"/>
          <w:szCs w:val="18"/>
          <w:color w:val="auto"/>
        </w:rPr>
      </w:pPr>
    </w:p>
    <w:p>
      <w:pPr>
        <w:ind w:left="1420" w:right="40" w:hanging="439"/>
        <w:spacing w:after="0" w:line="261" w:lineRule="auto"/>
        <w:tabs>
          <w:tab w:leader="none" w:pos="142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Declaration shall require the Delaware Trustee to expend or risk its personal funds or otherwise incur any financial liability in the performance of its rights or powers hereunder, if the Delaware Trustee shall have reasonable grounds for believing that the payment of such funds or adequate indemnity against such risk or liability is not reasonably assured or provided to it;</w:t>
      </w:r>
    </w:p>
    <w:p>
      <w:pPr>
        <w:spacing w:after="0" w:line="85" w:lineRule="exact"/>
        <w:rPr>
          <w:rFonts w:ascii="Times New Roman" w:cs="Times New Roman" w:eastAsia="Times New Roman" w:hAnsi="Times New Roman"/>
          <w:sz w:val="18"/>
          <w:szCs w:val="18"/>
          <w:color w:val="auto"/>
        </w:rPr>
      </w:pPr>
    </w:p>
    <w:p>
      <w:pPr>
        <w:ind w:left="1420" w:right="360" w:hanging="439"/>
        <w:spacing w:after="0" w:line="282" w:lineRule="auto"/>
        <w:tabs>
          <w:tab w:leader="none" w:pos="142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no circumstances shall the Delaware Trustee be personally liable for any representation, warranty, covenant, agreement or indebtedness of the Trust;</w:t>
      </w:r>
    </w:p>
    <w:p>
      <w:pPr>
        <w:spacing w:after="0" w:line="67" w:lineRule="exact"/>
        <w:rPr>
          <w:rFonts w:ascii="Times New Roman" w:cs="Times New Roman" w:eastAsia="Times New Roman" w:hAnsi="Times New Roman"/>
          <w:sz w:val="18"/>
          <w:szCs w:val="18"/>
          <w:color w:val="auto"/>
        </w:rPr>
      </w:pPr>
    </w:p>
    <w:p>
      <w:pPr>
        <w:ind w:left="1420" w:right="140" w:hanging="439"/>
        <w:spacing w:after="0" w:line="282" w:lineRule="auto"/>
        <w:tabs>
          <w:tab w:leader="none" w:pos="14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Delaware Trustee shall not be personally responsible for or in respect of the validity or sufficiency of this Declaration or for the due execution hereof by any other party hereto;</w:t>
      </w:r>
    </w:p>
    <w:p>
      <w:pPr>
        <w:spacing w:after="0" w:line="67" w:lineRule="exact"/>
        <w:rPr>
          <w:rFonts w:ascii="Times New Roman" w:cs="Times New Roman" w:eastAsia="Times New Roman" w:hAnsi="Times New Roman"/>
          <w:sz w:val="18"/>
          <w:szCs w:val="18"/>
          <w:color w:val="auto"/>
        </w:rPr>
      </w:pPr>
    </w:p>
    <w:p>
      <w:pPr>
        <w:ind w:left="1420" w:right="100" w:hanging="439"/>
        <w:spacing w:after="0" w:line="254" w:lineRule="auto"/>
        <w:tabs>
          <w:tab w:leader="none" w:pos="14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Delaware Trustee shall incur no liability to anyone in acting upon any signature, instrument, notice, resolution, request, consent, order, certificate, report, opinion, bond or other document or paper reasonably believed by it to be genuine and reasonably believed by it to be signed by the proper party or parties. The Delaware Trustee may accept a certified copy of a resolution of the board of directors or other governing body of any corporate party as conclusive evidence that such resolution has been duly adopted by such body and that the same is in full force and effect. As to any fact or matter the manner of ascertainment of which is not specifically prescribed herein, the Delaware Trustee may for all purposes hereof rely on a certificate or resolution, signed by the Board of Trustees or an officer of the Trust as to such fact or matter, and such certificate shall constitute full protection to the Delaware Trustee for any action taken or omitted to be taken by it in good faith in reliance thereon;</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134" w:name="page135"/>
    <w:bookmarkEnd w:id="134"/>
    <w:p>
      <w:pPr>
        <w:ind w:left="1420" w:right="160" w:hanging="439"/>
        <w:spacing w:after="0" w:line="256" w:lineRule="auto"/>
        <w:tabs>
          <w:tab w:leader="none" w:pos="14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exercise or administration of the Trust hereunder, the Delaware Trustee (A) may act directly or through agents or attorneys pursuant to agreements entered into with any of them, and the Delaware Trustee shall not be liable for the default or misconduct of such agents or attorneys if such agents or attorneys shall have been selected by the Delaware Trustee in good faith and (B) may consult with counsel, accountants and other skilled persons to be selected by it in good faith and employed by it, and it shall not be liable for anything done, suffered or omitted in good faith by it in accordance with the advice or opinion of any such counsel, accountants or other skilled persons;</w:t>
      </w:r>
    </w:p>
    <w:p>
      <w:pPr>
        <w:spacing w:after="0" w:line="92" w:lineRule="exact"/>
        <w:rPr>
          <w:rFonts w:ascii="Times New Roman" w:cs="Times New Roman" w:eastAsia="Times New Roman" w:hAnsi="Times New Roman"/>
          <w:sz w:val="18"/>
          <w:szCs w:val="18"/>
          <w:color w:val="auto"/>
        </w:rPr>
      </w:pPr>
    </w:p>
    <w:p>
      <w:pPr>
        <w:jc w:val="both"/>
        <w:ind w:left="1420" w:right="40" w:hanging="439"/>
        <w:spacing w:after="0" w:line="266" w:lineRule="auto"/>
        <w:tabs>
          <w:tab w:leader="none" w:pos="14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accepting and performing its express duties hereunder, the Delaware Trustee acts solely as Delaware Trustee hereunder and not in its individual capacity, and all persons having any claim against the Delaware Trustee by reason of the transactions contemplated by this Declaration shall look only to the Trust for payment or satisfaction thereof; and</w:t>
      </w:r>
    </w:p>
    <w:p>
      <w:pPr>
        <w:spacing w:after="0" w:line="81" w:lineRule="exact"/>
        <w:rPr>
          <w:rFonts w:ascii="Times New Roman" w:cs="Times New Roman" w:eastAsia="Times New Roman" w:hAnsi="Times New Roman"/>
          <w:sz w:val="18"/>
          <w:szCs w:val="18"/>
          <w:color w:val="auto"/>
        </w:rPr>
      </w:pPr>
    </w:p>
    <w:p>
      <w:pPr>
        <w:ind w:left="1420" w:right="60" w:hanging="439"/>
        <w:spacing w:after="0" w:line="258" w:lineRule="auto"/>
        <w:tabs>
          <w:tab w:leader="none" w:pos="14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Delaware Trustee shall incur no liability if, by reason of any provision of any present or future law or regulation thereunder, or by any force majeure event, including but not limited to natural disaster, act of war or terrorism, or other circumstances beyond its reasonable control, the Delaware Trustee shall be prevented or forbidden from doing or performing any act or thing which the terms of this Declaration provide shall or may be done or performed, or by reason of any exercise of, or failure to exercise, any discretion provided for in this Declaration.</w:t>
      </w:r>
    </w:p>
    <w:p>
      <w:pPr>
        <w:spacing w:after="0" w:line="183" w:lineRule="exact"/>
        <w:rPr>
          <w:sz w:val="20"/>
          <w:szCs w:val="20"/>
          <w:color w:val="auto"/>
        </w:rPr>
      </w:pPr>
    </w:p>
    <w:p>
      <w:pPr>
        <w:ind w:right="4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13.6 </w:t>
      </w: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 In the event of the appointment of a successor Delaware Trustee, such successor shall cause an amendment to the certificate of trust of the Trust to be filed with the Secretary of State of Delaware in accordance with Section 3810 of the Delaware Statutory Trust Statute, indicating the change of the Delaware Trustee’s identity.</w:t>
      </w:r>
    </w:p>
    <w:p>
      <w:pPr>
        <w:spacing w:after="0" w:line="176"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13.7 </w:t>
      </w:r>
      <w:r>
        <w:rPr>
          <w:rFonts w:ascii="Times New Roman" w:cs="Times New Roman" w:eastAsia="Times New Roman" w:hAnsi="Times New Roman"/>
          <w:sz w:val="18"/>
          <w:szCs w:val="18"/>
          <w:u w:val="single" w:color="auto"/>
          <w:color w:val="auto"/>
        </w:rPr>
        <w:t>Compensation and Reimbursement of Expenses</w:t>
      </w:r>
      <w:r>
        <w:rPr>
          <w:rFonts w:ascii="Times New Roman" w:cs="Times New Roman" w:eastAsia="Times New Roman" w:hAnsi="Times New Roman"/>
          <w:sz w:val="18"/>
          <w:szCs w:val="18"/>
          <w:color w:val="auto"/>
        </w:rPr>
        <w:t>. The Trust hereby agrees to (i) compensate the Delaware Trustee in accordance with a separate fee agreement with the Delaware Trustee, (ii) reimburse the Delaware Trustee for all reasonable expenses (including reasonable fees and expenses of counsel and other experts) and (iii) indemnify, defend and hold harmless the Delaware Trustee and any of the officers, directors, employees and agents of the Delaware Trustee (the “Indemnified Persons”) from and against any and all losses, damages, liabilities, claims, actions, suits, costs, expenses, disbursements (including the reasonable fees and expenses of counsel), taxes and penalties of any kind and nature whatsoever (collectively, “Expenses”) to the extent that such Expenses arise out of or are imposed upon or asserted at any time against such Indemnified Persons with respect to the performance of any duties contemplated by this Declaration, the creation, operation or termination of the Trust or the transactions contemplated hereby; provided, however, that the Trust shall not be required to indemnify any Indemnified Person for any Expenses that are a result of the willful misconduct, bad faith or gross negligence of such Indemnified Person. To the fullest extent permitted by law, Expenses to be incurred by an Indemnified Person shall, from time to time, be advanced by, or on behalf of, the Trust prior to the final disposition of any matter upon receipt by the Trust of an undertaking by, or on behalf of, such Indemnified Person to repay such amount if it shall be determined that the Indemnified Person is not entitled to be indemnified under this Declaration.</w:t>
      </w:r>
    </w:p>
    <w:p>
      <w:pPr>
        <w:spacing w:after="0" w:line="200" w:lineRule="exact"/>
        <w:rPr>
          <w:sz w:val="20"/>
          <w:szCs w:val="20"/>
          <w:color w:val="auto"/>
        </w:rPr>
      </w:pPr>
    </w:p>
    <w:p>
      <w:pPr>
        <w:spacing w:after="0" w:line="202"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ARTICLE XIV</w:t>
      </w:r>
    </w:p>
    <w:p>
      <w:pPr>
        <w:spacing w:after="0" w:line="11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9"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14.1 </w:t>
      </w:r>
      <w:r>
        <w:rPr>
          <w:rFonts w:ascii="Times New Roman" w:cs="Times New Roman" w:eastAsia="Times New Roman" w:hAnsi="Times New Roman"/>
          <w:sz w:val="18"/>
          <w:szCs w:val="18"/>
          <w:u w:val="single" w:color="auto"/>
          <w:color w:val="auto"/>
        </w:rPr>
        <w:t>Power of Attorney</w:t>
      </w:r>
      <w:r>
        <w:rPr>
          <w:rFonts w:ascii="Times New Roman" w:cs="Times New Roman" w:eastAsia="Times New Roman" w:hAnsi="Times New Roman"/>
          <w:sz w:val="18"/>
          <w:szCs w:val="18"/>
          <w:color w:val="auto"/>
        </w:rPr>
        <w:t>. By execution of a counterpart to this Declaration or execution of a subscription agreement with the Trust, each Shareholder agrees to be bound by the terms of this Declaration and hereby appoints the Trustees and each officer of the Trust (and any substitute or successor Trustees or any substitute or successor officer of the Trust) (and, if appointed, any liquidator of the Trust), each acting individually, as the true and lawful representative and attorney-in-fact of such Shareholder, in such Shareholder’s name, place and stead:</w:t>
      </w:r>
    </w:p>
    <w:p>
      <w:pPr>
        <w:spacing w:after="0" w:line="72" w:lineRule="exact"/>
        <w:rPr>
          <w:sz w:val="20"/>
          <w:szCs w:val="20"/>
          <w:color w:val="auto"/>
        </w:rPr>
      </w:pPr>
    </w:p>
    <w:p>
      <w:pPr>
        <w:ind w:right="200" w:firstLine="987"/>
        <w:spacing w:after="0" w:line="266" w:lineRule="auto"/>
        <w:tabs>
          <w:tab w:leader="none" w:pos="1236"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complete or correct, on behalf of such Shareholder, all documents to be executed by such Shareholder in connection with such Shareholder’s subscription for Shares or other securities in, and admission to, the Trust, including, without limitation, filling in or amending amounts, dates, and other pertinent information; and</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80"/>
          </w:cols>
          <w:pgMar w:left="440" w:top="270" w:right="479" w:bottom="1440" w:gutter="0" w:footer="0" w:header="0"/>
        </w:sectPr>
      </w:pPr>
    </w:p>
    <w:bookmarkStart w:id="135" w:name="page136"/>
    <w:bookmarkEnd w:id="135"/>
    <w:p>
      <w:pPr>
        <w:ind w:left="4" w:right="20" w:firstLine="987"/>
        <w:spacing w:after="0" w:line="255" w:lineRule="auto"/>
        <w:tabs>
          <w:tab w:leader="none" w:pos="125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make, execute, sign, acknowledge, swear to and file: (i) any and all instruments, certificates, and other documents that may be deemed necessary or desirable to effect the termination and winding up of the Trust; (ii) any instrument, agreement or document of any kind necessary or desirable to accomplish the business, purpose and objectives of the Trust, or required by any applicable federal, state or local law; (iii) any counterparts of this Declaration to be entered into pursuant to any agreements to which such Shareholder is a signatory; (iv) any duly adopted amendment to and/or restatement of this Declaration; and (v) all other filings with agencies of the Federal government, or any state or local government, or of any other jurisdiction, which any Trustee considers necessary or desirable to carry out the purposes of this Declaration, and the business of the Trust created hereunder.</w:t>
      </w:r>
    </w:p>
    <w:p>
      <w:pPr>
        <w:spacing w:after="0" w:line="189" w:lineRule="exact"/>
        <w:rPr>
          <w:sz w:val="20"/>
          <w:szCs w:val="20"/>
          <w:color w:val="auto"/>
        </w:rPr>
      </w:pPr>
    </w:p>
    <w:p>
      <w:pPr>
        <w:jc w:val="both"/>
        <w:ind w:left="4" w:right="200" w:firstLine="991"/>
        <w:spacing w:after="0" w:line="289" w:lineRule="auto"/>
        <w:rPr>
          <w:sz w:val="20"/>
          <w:szCs w:val="20"/>
          <w:color w:val="auto"/>
        </w:rPr>
      </w:pPr>
      <w:r>
        <w:rPr>
          <w:rFonts w:ascii="Times New Roman" w:cs="Times New Roman" w:eastAsia="Times New Roman" w:hAnsi="Times New Roman"/>
          <w:sz w:val="17"/>
          <w:szCs w:val="17"/>
          <w:color w:val="auto"/>
        </w:rPr>
        <w:t>The power of attorney granted by each Shareholder pursuant to this Section 14.1 is coupled with an interest, is irrevocable, shall survive the transfer of the whole or any part of a Shareholder’s interest in the Trust (and shall be binding on the transferee thereof) and shall survive, and shall not be affected by, the subsequent death, disability, incapacity, incompetence, termination, bankruptcy, insolvency or dissolution of such Shareholder.</w:t>
      </w:r>
    </w:p>
    <w:p>
      <w:pPr>
        <w:spacing w:after="0" w:line="15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14.2 </w:t>
      </w:r>
      <w:r>
        <w:rPr>
          <w:rFonts w:ascii="Times New Roman" w:cs="Times New Roman" w:eastAsia="Times New Roman" w:hAnsi="Times New Roman"/>
          <w:sz w:val="18"/>
          <w:szCs w:val="18"/>
          <w:u w:val="single" w:color="auto"/>
          <w:color w:val="auto"/>
        </w:rPr>
        <w:t>Filing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00" w:firstLine="987"/>
        <w:spacing w:after="0" w:line="255" w:lineRule="auto"/>
        <w:tabs>
          <w:tab w:leader="none" w:pos="12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Declaration and any amendment or supplement hereto shall be filed in such places as may be required or as the Trustees deem appropriate. Each amendment or supplement shall be accompanied by a certificate signed and acknowledged by a Trustee or duly authorized officer stating that such action was duly taken in a manner provided herein, and shall, upon insertion in the Trust’s minute book, be conclusive evidence of all amendments contained therein. A restated Declaration, containing the original Declaration and all amendments and supplements theretofore made, may be executed from time to time by a duly authorized officer and shall, upon insertion in the Trust’s minute book, be conclusive evidence of all amendments and supplements contained therein and may thereafter be referred to in lieu of the original Declaration and the various amendments and supplements thereto.</w:t>
      </w:r>
    </w:p>
    <w:p>
      <w:pPr>
        <w:spacing w:after="0" w:line="188" w:lineRule="exact"/>
        <w:rPr>
          <w:rFonts w:ascii="Times New Roman" w:cs="Times New Roman" w:eastAsia="Times New Roman" w:hAnsi="Times New Roman"/>
          <w:sz w:val="18"/>
          <w:szCs w:val="18"/>
          <w:color w:val="auto"/>
        </w:rPr>
      </w:pPr>
    </w:p>
    <w:p>
      <w:pPr>
        <w:ind w:left="4" w:right="640" w:firstLine="987"/>
        <w:spacing w:after="0" w:line="282" w:lineRule="auto"/>
        <w:tabs>
          <w:tab w:leader="none" w:pos="125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Trustees hereby ratify the previous filing of the Certificate of Trust with the Office of the Secretary of State of the State of Delaware in accordance with the Delaware Statutory Trust Statute.</w:t>
      </w:r>
    </w:p>
    <w:p>
      <w:pPr>
        <w:spacing w:after="0" w:line="162" w:lineRule="exact"/>
        <w:rPr>
          <w:sz w:val="20"/>
          <w:szCs w:val="20"/>
          <w:color w:val="auto"/>
        </w:rPr>
      </w:pPr>
    </w:p>
    <w:p>
      <w:pPr>
        <w:jc w:val="both"/>
        <w:ind w:left="4" w:right="280" w:firstLine="440"/>
        <w:spacing w:after="0" w:line="272" w:lineRule="auto"/>
        <w:rPr>
          <w:sz w:val="20"/>
          <w:szCs w:val="20"/>
          <w:color w:val="auto"/>
        </w:rPr>
      </w:pPr>
      <w:r>
        <w:rPr>
          <w:rFonts w:ascii="Times New Roman" w:cs="Times New Roman" w:eastAsia="Times New Roman" w:hAnsi="Times New Roman"/>
          <w:sz w:val="17"/>
          <w:szCs w:val="17"/>
          <w:color w:val="auto"/>
        </w:rPr>
        <w:t xml:space="preserve">Section 14.3 </w:t>
      </w: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The trust set forth in this instrument is made in the State of Delaware, and the Trust and this Declaration, and the rights and obligations of the Trustees and Shareholders hereunder, are to be governed by and construed and administered according to the Delaware Statutory Trust Statute and the laws of said State; provided, however, that there shall not be applicable to the Trust, the Trustees or this Declaration</w:t>
      </w:r>
    </w:p>
    <w:p>
      <w:pPr>
        <w:spacing w:after="0" w:line="2" w:lineRule="exact"/>
        <w:rPr>
          <w:sz w:val="20"/>
          <w:szCs w:val="20"/>
          <w:color w:val="auto"/>
        </w:rPr>
      </w:pPr>
    </w:p>
    <w:p>
      <w:pPr>
        <w:ind w:left="4" w:hanging="4"/>
        <w:spacing w:after="0" w:line="251" w:lineRule="auto"/>
        <w:tabs>
          <w:tab w:leader="none" w:pos="249"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Sections 3540 and 3561 of Title 12 of the Delaware Code or (b) any provisions of the laws (statutory or common) of the State of Delaware (other than the Delaware Statutory Trust Statute) pertaining to trusts which relate to or regulate: (i) the filing with any court or governmental body or agency of trustee accounts or schedules of trustee fees and charges, (ii) affirmative requirements to post bonds for trustees, officers, agents or employees of a trust, (iii) the necessity for obtaining court or other governmental approval concerning the acquisition, holding or disposition of real or personal property, (iv) fees or other sums payable to trustees, officers, agents or employees of a trust, (v) the allocation of receipts and expenditures to income or principal, (vi) restrictions or limitations on the permissible nature, amount or concentration of trust investments or requirements relating to the titling, storage or other manner of holding of trust assets, or (vii) the establishment of fiduciary or other standards or responsibilities or limitations on the acts or powers of trustees, which are inconsistent with the limitations or liabilities or authorities and powers of the Trustees set forth or referenced in this Declaration. The Trust shall be of the type commonly called a “statutory trust”, and without limiting the provisions hereof, the Trust may exercise all powers which are ordinarily exercised by such a trust under Delaware law. The Trust specifically reserves the right to exercise any of the powers or privileges afforded to trusts or actions that may be engaged in by trusts under the Delaware Statutory Trust Statute, and the absence of a specific reference herein to any such power, privilege or action shall not imply that the Trust may not exercise such power or privilege or take such actions.</w:t>
      </w:r>
    </w:p>
    <w:p>
      <w:pPr>
        <w:spacing w:after="0" w:line="192" w:lineRule="exact"/>
        <w:rPr>
          <w:sz w:val="20"/>
          <w:szCs w:val="20"/>
          <w:color w:val="auto"/>
        </w:rPr>
      </w:pPr>
    </w:p>
    <w:p>
      <w:pPr>
        <w:jc w:val="both"/>
        <w:ind w:left="4" w:right="420" w:firstLine="440"/>
        <w:spacing w:after="0" w:line="289" w:lineRule="auto"/>
        <w:rPr>
          <w:sz w:val="20"/>
          <w:szCs w:val="20"/>
          <w:color w:val="auto"/>
        </w:rPr>
      </w:pPr>
      <w:r>
        <w:rPr>
          <w:rFonts w:ascii="Times New Roman" w:cs="Times New Roman" w:eastAsia="Times New Roman" w:hAnsi="Times New Roman"/>
          <w:sz w:val="17"/>
          <w:szCs w:val="17"/>
          <w:color w:val="auto"/>
        </w:rPr>
        <w:t xml:space="preserve">Section 14.4 </w:t>
      </w:r>
      <w:r>
        <w:rPr>
          <w:rFonts w:ascii="Times New Roman" w:cs="Times New Roman" w:eastAsia="Times New Roman" w:hAnsi="Times New Roman"/>
          <w:sz w:val="17"/>
          <w:szCs w:val="17"/>
          <w:u w:val="single" w:color="auto"/>
          <w:color w:val="auto"/>
        </w:rPr>
        <w:t>Exclusive Delaware Jurisdiction</w:t>
      </w:r>
      <w:r>
        <w:rPr>
          <w:rFonts w:ascii="Times New Roman" w:cs="Times New Roman" w:eastAsia="Times New Roman" w:hAnsi="Times New Roman"/>
          <w:sz w:val="17"/>
          <w:szCs w:val="17"/>
          <w:color w:val="auto"/>
        </w:rPr>
        <w:t>. Each Trustee, each officer and, except as otherwise agreed in writing by the Trust, the Adviser and/or affiliates of the Adviser, each Person legally or beneficially owning a Share or an interest in a Share of the Trust (whether through a broker, dealer, bank, trust company or clearing corporation or an agent of any of the foregoing or otherwise), to the fullest extent permitted by law,</w:t>
      </w:r>
    </w:p>
    <w:p>
      <w:pPr>
        <w:spacing w:after="0" w:line="9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4"/>
          </w:cols>
          <w:pgMar w:left="436" w:top="270" w:right="459" w:bottom="1440" w:gutter="0" w:footer="0" w:header="0"/>
        </w:sectPr>
      </w:pPr>
    </w:p>
    <w:bookmarkStart w:id="136" w:name="page137"/>
    <w:bookmarkEnd w:id="136"/>
    <w:p>
      <w:pPr>
        <w:ind w:left="4"/>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including Section 3804(e) of the Delaware Statutory Trust Statute, (i) irrevocably agrees that any claims, suits, actions or proceedings asserting a claim governed by the internal affairs (or similar) doctrine or arising out of or relating in any way to the Trust, the Delaware Statutory Trust Statute, this Declaration or the Bylaws (including, without limitation, any claims, suits, actions or proceedings to interpret, apply or enforce (A) the provisions of this Declaration or the Bylaws, or (B) the duties (including fiduciary duties), obligations or liabilities of the Trust to the Shareholders or the Trustees, or of officers or the Trustees to the Trust, to the Shareholders or each other, or (C) the rights or powers of, or restrictions on, the Trust, the officers, the Trustees or the Shareholders, or (D) any provision of the Delaware Statutory Trust Statute or other laws of the State of Delaware pertaining to trusts made applicable to the Trust pursuant to Section 3809 of the Delaware Statutory Trust Statute, or (E) any other instrument, document, agreement or certificate contemplated by any provision of the Delaware Statutory Trust Statute, the Declaration or the Bylaws relating in any way to the Trust (regardless, in each case, of whether such claims, suits, actions or proceedings (x) sound in contract, tort, fraud or otherwise, (y) are based on common law, statutory, equitable, legal or other grounds, or (z) are derivative or direct claims)), shall be exclusively brought in the Court of Chancery of the State of Delaware or, if such court does not have subject matter jurisdiction thereof, any other court in the State of Delaware with subject matter jurisdiction; provided, however, that the Federal District Courts of the United States of America shall, to the fullest extent permitted by law, be the sole and exclusive forum for the resolution of any complaint asserting a cause of action arising under the 1940 Act, the Securities Act of 1933, as amended, and the Securities Exchange Act of 1934, as amended, (ii) irrevocably submits to the exclusive jurisdiction of such courts in connection with any such claim, suit, action or proceeding, (iii) irrevocably agrees not to, and waives any right to, assert in any such claim, suit, action or proceeding that (A) it is not personally subject to the jurisdiction of such courts or any other court to which proceedings in such courts may be appealed, (B) such claim, suit, action or proceeding is brought in an inconvenient forum, or (C) the venue of such claim, suit, action or proceeding is improper, (iv) consents to process being served in any such claim, suit, action or proceeding by mailing, certified mail, return receipt requested, a copy thereof to such party at the address in effect for notices hereunder, and agrees that such service shall constitute good and sufficient service of process and notice thereof; provided, nothing in clause (iv) hereof shall affect or limit any right to serve process in any other manner permitted by law, and (v) irrevocably waives any and all right to trial by jury in any such claim, suit, action or proceeding.</w:t>
      </w:r>
    </w:p>
    <w:p>
      <w:pPr>
        <w:spacing w:after="0" w:line="188" w:lineRule="exact"/>
        <w:rPr>
          <w:sz w:val="20"/>
          <w:szCs w:val="20"/>
          <w:color w:val="auto"/>
        </w:rPr>
      </w:pPr>
    </w:p>
    <w:p>
      <w:pPr>
        <w:ind w:left="4"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14.5 </w:t>
      </w:r>
      <w:r>
        <w:rPr>
          <w:rFonts w:ascii="Times New Roman" w:cs="Times New Roman" w:eastAsia="Times New Roman" w:hAnsi="Times New Roman"/>
          <w:sz w:val="18"/>
          <w:szCs w:val="18"/>
          <w:u w:val="single" w:color="auto"/>
          <w:color w:val="auto"/>
        </w:rPr>
        <w:t>Other Agreements</w:t>
      </w:r>
      <w:r>
        <w:rPr>
          <w:rFonts w:ascii="Times New Roman" w:cs="Times New Roman" w:eastAsia="Times New Roman" w:hAnsi="Times New Roman"/>
          <w:sz w:val="18"/>
          <w:szCs w:val="18"/>
          <w:color w:val="auto"/>
        </w:rPr>
        <w:t>. Consistent with applicable law (including the 1940 Act), the Trust, the Adviser and/or affiliates of the Adviser may negotiate agreements (“Side Letters”) with certain Shareholders that will result in different investment terms than the terms applicable to other Shareholders and that may have the effect of establishing rights under, or altering or supplementing the terms of, this Declaration or disclosure contained in any offering document of the Shares. As a result of such Side Letters, certain Shareholders may receive additional benefits which other Shareholders will not receive. Unless agreed otherwise in the Side Letter, in general, the Trust, the Adviser and affiliates of the Adviser will not be required to notify any or all of the other Shareholders of any such Side Letters or any of the rights and/or terms or provisions thereof, nor will the Trust, the Adviser or affiliates of the Adviser be required to offer such additional and/or different rights and/or terms to any or all of the other Shareholders. The Trust, the Adviser and/or affiliates of the Adviser may enter into such Side Letters with any Shareholder as each may determine in its sole discretion at any time. The other Shareholders will have no recourse against the Trust, the Trustees, the Adviser and/or any of their affiliates in the event certain investors receive additional and/or different rights and/or terms as a result of Side Letters. Any such exceptions or departures contained in any Side Letter with a Shareholder shall govern with respect to such Shareholder notwithstanding the provisions of this Declaration (including with respect to amendments to this Declaration) or any applicable subscription agreements. For the avoidance of doubt, no contractual arrangement established between a Shareholder and the Adviser or one of its affiliates pursuant to a broader strategic relationship between such Shareholder and the Adviser or one of its affiliates shall be considered a “Side Letter”.</w:t>
      </w:r>
    </w:p>
    <w:p>
      <w:pPr>
        <w:spacing w:after="0" w:line="197" w:lineRule="exact"/>
        <w:rPr>
          <w:sz w:val="20"/>
          <w:szCs w:val="20"/>
          <w:color w:val="auto"/>
        </w:rPr>
      </w:pPr>
    </w:p>
    <w:p>
      <w:pPr>
        <w:ind w:left="4" w:right="4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14.6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Declaration may be simultaneously executed in several counterparts, each of which shall be deemed to be an original, and such counterparts, together, shall constitute one and the same instrument, which shall be sufficiently evidenced by any such original counterpart.</w:t>
      </w:r>
    </w:p>
    <w:p>
      <w:pPr>
        <w:spacing w:after="0" w:line="176" w:lineRule="exact"/>
        <w:rPr>
          <w:sz w:val="20"/>
          <w:szCs w:val="20"/>
          <w:color w:val="auto"/>
        </w:rPr>
      </w:pPr>
    </w:p>
    <w:p>
      <w:pPr>
        <w:ind w:left="4" w:firstLine="440"/>
        <w:spacing w:after="0" w:line="276" w:lineRule="auto"/>
        <w:rPr>
          <w:sz w:val="20"/>
          <w:szCs w:val="20"/>
          <w:color w:val="auto"/>
        </w:rPr>
      </w:pPr>
      <w:r>
        <w:rPr>
          <w:rFonts w:ascii="Times New Roman" w:cs="Times New Roman" w:eastAsia="Times New Roman" w:hAnsi="Times New Roman"/>
          <w:sz w:val="17"/>
          <w:szCs w:val="17"/>
          <w:color w:val="auto"/>
        </w:rPr>
        <w:t xml:space="preserve">Section 14.7 </w:t>
      </w:r>
      <w:r>
        <w:rPr>
          <w:rFonts w:ascii="Times New Roman" w:cs="Times New Roman" w:eastAsia="Times New Roman" w:hAnsi="Times New Roman"/>
          <w:sz w:val="17"/>
          <w:szCs w:val="17"/>
          <w:u w:val="single" w:color="auto"/>
          <w:color w:val="auto"/>
        </w:rPr>
        <w:t>Reliance by Third Parties</w:t>
      </w:r>
      <w:r>
        <w:rPr>
          <w:rFonts w:ascii="Times New Roman" w:cs="Times New Roman" w:eastAsia="Times New Roman" w:hAnsi="Times New Roman"/>
          <w:sz w:val="17"/>
          <w:szCs w:val="17"/>
          <w:color w:val="auto"/>
        </w:rPr>
        <w:t>. Any certificate executed by an individual who, according to the records of the Trust, or of any recording office in which this Declaration may be recorded, appears to be a Trustee hereunder, certifying to: (a) the number or identity of Trustees or Shareholders,</w:t>
      </w:r>
    </w:p>
    <w:p>
      <w:pPr>
        <w:spacing w:after="0" w:line="1" w:lineRule="exact"/>
        <w:rPr>
          <w:sz w:val="20"/>
          <w:szCs w:val="20"/>
          <w:color w:val="auto"/>
        </w:rPr>
      </w:pPr>
    </w:p>
    <w:p>
      <w:pPr>
        <w:ind w:left="4" w:right="620" w:hanging="4"/>
        <w:spacing w:after="0" w:line="260" w:lineRule="auto"/>
        <w:tabs>
          <w:tab w:leader="none" w:pos="259"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Trust, (c) the due authorization of the execution of any instrument or writing, (d) the form of any vote passed at a meeting of Trustees or Shareholders, (e) the fact that the number of Trustees or Shareholders present at any meeting or</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4"/>
          </w:cols>
          <w:pgMar w:left="436" w:top="270" w:right="459" w:bottom="1440" w:gutter="0" w:footer="0" w:header="0"/>
        </w:sectPr>
      </w:pPr>
    </w:p>
    <w:bookmarkStart w:id="137" w:name="page138"/>
    <w:bookmarkEnd w:id="137"/>
    <w:p>
      <w:pPr>
        <w:ind w:right="1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executing any written instrument satisfies the requirements of this Declaration, (f) the form of any By-Laws adopted by or the identity of any officers elected by the Trustees, or (g) the existence of any fact or facts which in any manner relate to the affairs of the Trust, shall be conclusive evidence as to the matters so certified in favor of any person dealing with the Trustees and their successors.</w:t>
      </w:r>
    </w:p>
    <w:p>
      <w:pPr>
        <w:spacing w:after="0" w:line="176" w:lineRule="exact"/>
        <w:rPr>
          <w:sz w:val="20"/>
          <w:szCs w:val="20"/>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14.8 </w:t>
      </w:r>
      <w:r>
        <w:rPr>
          <w:rFonts w:ascii="Times New Roman" w:cs="Times New Roman" w:eastAsia="Times New Roman" w:hAnsi="Times New Roman"/>
          <w:sz w:val="18"/>
          <w:szCs w:val="18"/>
          <w:u w:val="single" w:color="auto"/>
          <w:color w:val="auto"/>
        </w:rPr>
        <w:t>Provisions in Conflict with Law or Regulation</w:t>
      </w:r>
      <w:r>
        <w:rPr>
          <w:rFonts w:ascii="Times New Roman" w:cs="Times New Roman" w:eastAsia="Times New Roman" w:hAnsi="Times New Roman"/>
          <w:sz w:val="18"/>
          <w:szCs w:val="18"/>
          <w:color w:val="auto"/>
        </w:rPr>
        <w:t>. (a) The provisions of this Declaration are severable, and if the Trustees shall determine, with the advice of counsel, that any of such provisions is in conflict with the 1940 Act, the regulated investment company provisions of the Internal Revenue Code or with other applicable laws and regulations, the conflicting provision shall be deemed never to have constituted a part of this Declaration; provided, however, that such determination shall not affect any of the remaining provisions of this Declaration or render invalid or improper any action taken or omitted prior to such determination.</w:t>
      </w:r>
    </w:p>
    <w:p>
      <w:pPr>
        <w:spacing w:after="0" w:line="183" w:lineRule="exact"/>
        <w:rPr>
          <w:sz w:val="20"/>
          <w:szCs w:val="20"/>
          <w:color w:val="auto"/>
        </w:rPr>
      </w:pPr>
    </w:p>
    <w:p>
      <w:pPr>
        <w:ind w:firstLine="987"/>
        <w:spacing w:after="0" w:line="266" w:lineRule="auto"/>
        <w:tabs>
          <w:tab w:leader="none" w:pos="124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provision of this Declaration shall be held invalid or unenforceable in any jurisdiction, such invalidity or unenforceability shall attach only to such provision in such jurisdiction and shall not in any manner affect such provision in any other jurisdiction or any other provision of this Declaration in any jurisdiction.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70" w:right="45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undersigned have caused this Declaration to be executed as of the day and year first above written.</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Joshua Easterly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17145</wp:posOffset>
            </wp:positionV>
            <wp:extent cx="279463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Joshua Easterly, as Trustee</w:t>
      </w:r>
    </w:p>
    <w:p>
      <w:pPr>
        <w:spacing w:after="0" w:line="24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Jennifer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17145</wp:posOffset>
            </wp:positionV>
            <wp:extent cx="279463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Jennifer Gordon, as Trustee</w:t>
      </w:r>
    </w:p>
    <w:p>
      <w:pPr>
        <w:spacing w:after="0" w:line="24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David Stiepleman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17145</wp:posOffset>
            </wp:positionV>
            <wp:extent cx="279463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David Stiepleman, as Trustee</w:t>
      </w:r>
    </w:p>
    <w:p>
      <w:pPr>
        <w:spacing w:after="0" w:line="24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Richard Higginbotham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17145</wp:posOffset>
            </wp:positionV>
            <wp:extent cx="279463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Richard Higginbotham, as Trustee</w:t>
      </w:r>
    </w:p>
    <w:p>
      <w:pPr>
        <w:spacing w:after="0" w:line="24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Judy Slotkin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17145</wp:posOffset>
            </wp:positionV>
            <wp:extent cx="27946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Judy Slotkin, as Trustee</w:t>
      </w:r>
    </w:p>
    <w:p>
      <w:pPr>
        <w:spacing w:after="0" w:line="24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Hurley Doddy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17145</wp:posOffset>
            </wp:positionV>
            <wp:extent cx="279463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Hurley Doddy, as Trustee</w:t>
      </w:r>
    </w:p>
    <w:p>
      <w:pPr>
        <w:spacing w:after="0" w:line="24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Ronald Tanemura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17145</wp:posOffset>
            </wp:positionV>
            <wp:extent cx="279463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Ronald Tanemura, as Trustee</w:t>
      </w:r>
    </w:p>
    <w:p>
      <w:pPr>
        <w:spacing w:after="0" w:line="24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SMC-CAS, LLC, as</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Delaware Trustee</w:t>
      </w:r>
    </w:p>
    <w:p>
      <w:pPr>
        <w:spacing w:after="0" w:line="220" w:lineRule="exact"/>
        <w:rPr>
          <w:sz w:val="20"/>
          <w:szCs w:val="20"/>
          <w:color w:val="auto"/>
        </w:rPr>
      </w:pPr>
    </w:p>
    <w:p>
      <w:pPr>
        <w:ind w:left="6180"/>
        <w:spacing w:after="0"/>
        <w:tabs>
          <w:tab w:leader="none" w:pos="6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 Anthony Shippam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4141470</wp:posOffset>
            </wp:positionH>
            <wp:positionV relativeFrom="paragraph">
              <wp:posOffset>17145</wp:posOffset>
            </wp:positionV>
            <wp:extent cx="257175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Name: C. Anthony Shippam</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Title: Manager, SMC-CAS, LLC, Delaware Trustee</w:t>
      </w:r>
    </w:p>
    <w:p>
      <w:pPr>
        <w:spacing w:after="0" w:line="153"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300"/>
          </w:cols>
          <w:pgMar w:left="880" w:top="270" w:right="71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b w:val="1"/>
          <w:bCs w:val="1"/>
          <w:u w:val="single" w:color="auto"/>
          <w:color w:val="auto"/>
        </w:rPr>
        <w:t>SIXTH STREET LENDING PARTNERS</w:t>
      </w:r>
    </w:p>
    <w:p>
      <w:pPr>
        <w:spacing w:after="0" w:line="23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u w:val="single" w:color="auto"/>
          <w:color w:val="auto"/>
        </w:rPr>
        <w:t>BY-LAWS</w:t>
      </w:r>
    </w:p>
    <w:p>
      <w:pPr>
        <w:sectPr>
          <w:pgSz w:w="11900" w:h="16838" w:orient="portrait"/>
          <w:cols w:equalWidth="0" w:num="1">
            <w:col w:w="10020"/>
          </w:cols>
          <w:pgMar w:left="1440" w:top="117" w:right="439" w:bottom="1440" w:gutter="0" w:footer="0" w:header="0"/>
        </w:sectPr>
      </w:pPr>
    </w:p>
    <w:bookmarkStart w:id="140" w:name="page141"/>
    <w:bookmarkEnd w:id="140"/>
    <w:tbl>
      <w:tblPr>
        <w:tblLayout w:type="fixed"/>
        <w:tblInd w:w="0" w:type="dxa"/>
        <w:tblCellMar>
          <w:top w:w="0" w:type="dxa"/>
          <w:left w:w="0" w:type="dxa"/>
          <w:bottom w:w="0" w:type="dxa"/>
          <w:right w:w="0" w:type="dxa"/>
        </w:tblCellMar>
      </w:tblPr>
      <w:tr>
        <w:trPr>
          <w:trHeight w:val="207"/>
        </w:trPr>
        <w:tc>
          <w:tcPr>
            <w:tcW w:w="76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6940" w:type="dxa"/>
            <w:vAlign w:val="bottom"/>
            <w:gridSpan w:val="4"/>
          </w:tcPr>
          <w:p>
            <w:pPr>
              <w:jc w:val="right"/>
              <w:ind w:right="4470"/>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412"/>
        </w:trPr>
        <w:tc>
          <w:tcPr>
            <w:tcW w:w="7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4180" w:type="dxa"/>
            <w:vAlign w:val="bottom"/>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479"/>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 Shareholder Meetings</w:t>
            </w:r>
          </w:p>
        </w:tc>
        <w:tc>
          <w:tcPr>
            <w:tcW w:w="6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Chairman</w:t>
            </w:r>
          </w:p>
        </w:tc>
        <w:tc>
          <w:tcPr>
            <w:tcW w:w="6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Inspectors of Election</w:t>
            </w:r>
          </w:p>
        </w:tc>
        <w:tc>
          <w:tcPr>
            <w:tcW w:w="6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Records at Shareholder Meetings</w:t>
            </w:r>
          </w:p>
        </w:tc>
        <w:tc>
          <w:tcPr>
            <w:tcW w:w="6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Nomination of Trustees</w:t>
            </w:r>
          </w:p>
        </w:tc>
        <w:tc>
          <w:tcPr>
            <w:tcW w:w="6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24"/>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Meetings by Remote Communications</w:t>
            </w:r>
          </w:p>
        </w:tc>
        <w:tc>
          <w:tcPr>
            <w:tcW w:w="6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38"/>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ARTICLE</w:t>
            </w:r>
          </w:p>
        </w:tc>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II Trustees</w:t>
            </w:r>
          </w:p>
        </w:tc>
        <w:tc>
          <w:tcPr>
            <w:tcW w:w="6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24"/>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Regular Meetings</w:t>
            </w:r>
          </w:p>
        </w:tc>
        <w:tc>
          <w:tcPr>
            <w:tcW w:w="6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24"/>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Chairman</w:t>
            </w:r>
          </w:p>
        </w:tc>
        <w:tc>
          <w:tcPr>
            <w:tcW w:w="6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38"/>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ARTICLE</w:t>
            </w:r>
          </w:p>
        </w:tc>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III Officers</w:t>
            </w:r>
          </w:p>
        </w:tc>
        <w:tc>
          <w:tcPr>
            <w:tcW w:w="6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24"/>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Officers of the Trust</w:t>
            </w:r>
          </w:p>
        </w:tc>
        <w:tc>
          <w:tcPr>
            <w:tcW w:w="6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24"/>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3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Election and Tenure</w:t>
            </w:r>
          </w:p>
        </w:tc>
        <w:tc>
          <w:tcPr>
            <w:tcW w:w="6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24"/>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Removal of Officers</w:t>
            </w:r>
          </w:p>
        </w:tc>
        <w:tc>
          <w:tcPr>
            <w:tcW w:w="6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24"/>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3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Bonds and Surety</w:t>
            </w:r>
          </w:p>
        </w:tc>
        <w:tc>
          <w:tcPr>
            <w:tcW w:w="6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24"/>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Executive Officer</w:t>
            </w:r>
          </w:p>
        </w:tc>
        <w:tc>
          <w:tcPr>
            <w:tcW w:w="6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24"/>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Secretary</w:t>
            </w:r>
          </w:p>
        </w:tc>
        <w:tc>
          <w:tcPr>
            <w:tcW w:w="6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24"/>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Treasurer</w:t>
            </w:r>
          </w:p>
        </w:tc>
        <w:tc>
          <w:tcPr>
            <w:tcW w:w="6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24"/>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Officers and Duties</w:t>
            </w:r>
          </w:p>
        </w:tc>
        <w:tc>
          <w:tcPr>
            <w:tcW w:w="6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37"/>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Committees</w:t>
            </w:r>
          </w:p>
        </w:tc>
        <w:tc>
          <w:tcPr>
            <w:tcW w:w="6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24"/>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3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Appointment</w:t>
            </w:r>
          </w:p>
        </w:tc>
        <w:tc>
          <w:tcPr>
            <w:tcW w:w="6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24"/>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3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Powers</w:t>
            </w:r>
          </w:p>
        </w:tc>
        <w:tc>
          <w:tcPr>
            <w:tcW w:w="6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w:t>
            </w:r>
          </w:p>
        </w:tc>
      </w:tr>
    </w:tbl>
    <w:p>
      <w:pPr>
        <w:jc w:val="right"/>
        <w:spacing w:after="0"/>
        <w:rPr>
          <w:sz w:val="20"/>
          <w:szCs w:val="20"/>
          <w:color w:val="auto"/>
        </w:rPr>
        <w:sectPr>
          <w:pgSz w:w="11900" w:h="16838" w:orient="portrait"/>
          <w:cols w:equalWidth="0" w:num="1">
            <w:col w:w="11020"/>
          </w:cols>
          <w:pgMar w:left="440" w:top="25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141" w:name="page142"/>
    <w:bookmarkEnd w:id="141"/>
    <w:tbl>
      <w:tblPr>
        <w:tblLayout w:type="fixed"/>
        <w:tblInd w:w="0" w:type="dxa"/>
        <w:tblCellMar>
          <w:top w:w="0" w:type="dxa"/>
          <w:left w:w="0" w:type="dxa"/>
          <w:bottom w:w="0" w:type="dxa"/>
          <w:right w:w="0" w:type="dxa"/>
        </w:tblCellMar>
      </w:tblPr>
      <w:tr>
        <w:trPr>
          <w:trHeight w:val="248"/>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Miscellaneous</w:t>
            </w:r>
          </w:p>
        </w:tc>
        <w:tc>
          <w:tcPr>
            <w:tcW w:w="3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38"/>
        </w:trPr>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6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Depositories</w:t>
            </w:r>
          </w:p>
        </w:tc>
        <w:tc>
          <w:tcPr>
            <w:tcW w:w="3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24"/>
        </w:trPr>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6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Signatures</w:t>
            </w:r>
          </w:p>
        </w:tc>
        <w:tc>
          <w:tcPr>
            <w:tcW w:w="3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24"/>
        </w:trPr>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6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Seal</w:t>
            </w:r>
          </w:p>
        </w:tc>
        <w:tc>
          <w:tcPr>
            <w:tcW w:w="3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38"/>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Stock Transfers</w:t>
            </w:r>
          </w:p>
        </w:tc>
        <w:tc>
          <w:tcPr>
            <w:tcW w:w="3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24"/>
        </w:trPr>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6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Transfer Agents, Registrars and the Like</w:t>
            </w:r>
          </w:p>
        </w:tc>
        <w:tc>
          <w:tcPr>
            <w:tcW w:w="3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24"/>
        </w:trPr>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6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Transfer of Shares</w:t>
            </w:r>
          </w:p>
        </w:tc>
        <w:tc>
          <w:tcPr>
            <w:tcW w:w="3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24"/>
        </w:trPr>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6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Registered Shareholders</w:t>
            </w:r>
          </w:p>
        </w:tc>
        <w:tc>
          <w:tcPr>
            <w:tcW w:w="3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38"/>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Amendment of By-Laws</w:t>
            </w:r>
          </w:p>
        </w:tc>
        <w:tc>
          <w:tcPr>
            <w:tcW w:w="3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24"/>
        </w:trPr>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6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Amendment and Repeal of By-Laws</w:t>
            </w:r>
          </w:p>
        </w:tc>
        <w:tc>
          <w:tcPr>
            <w:tcW w:w="3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bl>
    <w:p>
      <w:pPr>
        <w:jc w:val="right"/>
        <w:spacing w:after="0"/>
        <w:rPr>
          <w:sz w:val="20"/>
          <w:szCs w:val="20"/>
          <w:color w:val="auto"/>
        </w:rPr>
        <w:sectPr>
          <w:pgSz w:w="11900" w:h="16838" w:orient="portrait"/>
          <w:cols w:equalWidth="0" w:num="1">
            <w:col w:w="10960"/>
          </w:cols>
          <w:pgMar w:left="440" w:top="378"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142" w:name="page143"/>
    <w:bookmarkEnd w:id="142"/>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SIXTH STREET LENDING PARTNERS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BY-LAWS</w:t>
      </w:r>
    </w:p>
    <w:p>
      <w:pPr>
        <w:spacing w:after="0" w:line="229" w:lineRule="exact"/>
        <w:rPr>
          <w:sz w:val="20"/>
          <w:szCs w:val="20"/>
          <w:color w:val="auto"/>
        </w:rPr>
      </w:pPr>
    </w:p>
    <w:p>
      <w:pPr>
        <w:ind w:right="200" w:firstLine="991"/>
        <w:spacing w:after="0" w:line="266" w:lineRule="auto"/>
        <w:rPr>
          <w:sz w:val="20"/>
          <w:szCs w:val="20"/>
          <w:color w:val="auto"/>
        </w:rPr>
      </w:pPr>
      <w:r>
        <w:rPr>
          <w:rFonts w:ascii="Times New Roman" w:cs="Times New Roman" w:eastAsia="Times New Roman" w:hAnsi="Times New Roman"/>
          <w:sz w:val="18"/>
          <w:szCs w:val="18"/>
          <w:color w:val="auto"/>
        </w:rPr>
        <w:t>These By-Laws are made and adopted pursuant to Section 3.8 of the Amended and Restated Declaration of Trust governing Sixth Street Lending Partners dated as of June 8</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2022, as from time to time amended (hereinafter called the “Declaration”). All words and terms capitalized in these By-Laws shall have the meaning or meanings set forth for such words or terms in the Declaration.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Shareholder Meetings</w:t>
      </w:r>
    </w:p>
    <w:p>
      <w:pPr>
        <w:spacing w:after="0" w:line="225"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Chairman</w:t>
      </w:r>
      <w:r>
        <w:rPr>
          <w:rFonts w:ascii="Times New Roman" w:cs="Times New Roman" w:eastAsia="Times New Roman" w:hAnsi="Times New Roman"/>
          <w:sz w:val="18"/>
          <w:szCs w:val="18"/>
          <w:color w:val="auto"/>
        </w:rPr>
        <w:t>. The Chairman, if any, shall act as chairperson at all meetings of the Shareholders; in the Chairman’s absence, the Trustee or Trustees present at each meeting may elect a temporary chairperson for the meeting, who may be one of themselves.</w:t>
      </w:r>
    </w:p>
    <w:p>
      <w:pPr>
        <w:spacing w:after="0" w:line="162"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Inspectors of Election</w:t>
      </w:r>
      <w:r>
        <w:rPr>
          <w:rFonts w:ascii="Times New Roman" w:cs="Times New Roman" w:eastAsia="Times New Roman" w:hAnsi="Times New Roman"/>
          <w:sz w:val="18"/>
          <w:szCs w:val="18"/>
          <w:color w:val="auto"/>
        </w:rPr>
        <w:t>. In advance of any meeting of Shareholders, the Trustees may appoint Inspectors of Election to act at the meeting or any adjournment thereof. If Inspectors of Election are not so appointed, the Chairman, if any, of any meeting of Shareholders may appoint Inspectors of Election of the meeting. The number of Inspectors of Election shall be either one or three as determined by the Chairman of the meeting. In case any person appointed as Inspector of Election fails to appear or fails or refuses to act, the vacancy may be filled by appointment made by the Trustees in advance of the convening of the meeting or at the meeting by the person acting as Chairman. The Inspectors of Election shall determine the number of Shares outstanding, the Shares represented at the meeting, the existence of a quorum, the authenticity, validity and effect of proxies, shall receive votes, ballots or consents, shall hear and determine all challenges and questions in any way arising in connection with the right to vote, shall count and tabulate all votes or consents, determine the results, and do such other acts as may be proper to conduct the election or vote with fairness to all Shareholders. If there are three Inspectors of Election, the decision, act or certificate of a majority is effective in all respects as the decision, act or certificate of all. On request of the Chairman, if any, of the meeting, the Inspectors of Election shall make a report in writing of any challenge or question or matter determined by them and shall execute a certificate of any facts found by them.</w:t>
      </w:r>
    </w:p>
    <w:p>
      <w:pPr>
        <w:spacing w:after="0" w:line="192" w:lineRule="exact"/>
        <w:rPr>
          <w:sz w:val="20"/>
          <w:szCs w:val="20"/>
          <w:color w:val="auto"/>
        </w:rPr>
      </w:pPr>
    </w:p>
    <w:p>
      <w:pPr>
        <w:ind w:right="40" w:firstLine="991"/>
        <w:spacing w:after="0" w:line="254"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Records at Shareholder Meetings</w:t>
      </w:r>
      <w:r>
        <w:rPr>
          <w:rFonts w:ascii="Times New Roman" w:cs="Times New Roman" w:eastAsia="Times New Roman" w:hAnsi="Times New Roman"/>
          <w:sz w:val="18"/>
          <w:szCs w:val="18"/>
          <w:color w:val="auto"/>
        </w:rPr>
        <w:t>. The officer of the Trust who has charge of the Share ledger of the Trust shall prepare and make, at least ten (10) days before every meeting of the Shareholders, a complete list of the Shareholders of record entitled to vote at the meeting, arranged in alphabetical order, and showing the address of each Shareholder and the number of Shares registered in the name of each Shareholder. Such list shall be open to the examination of any Shareholder, for any purpose germane to the meeting as determined by the Trustees, during ordinary business hours, for a period of at least ten (10) days prior to the meeting (i) on a reasonably accessible electronic network, provided that the information required to gain access to such list is provided to the Shareholders, or (ii) during ordinary business hours, at the principal place of business of the Trust. In the event that the Trust determines to make the list available on an electronic network, the Trust may take reasonable steps to ensure that such information is available only to Shareholders of the Trust.</w:t>
      </w:r>
    </w:p>
    <w:p>
      <w:pPr>
        <w:sectPr>
          <w:pgSz w:w="11900" w:h="16838" w:orient="portrait"/>
          <w:cols w:equalWidth="0" w:num="1">
            <w:col w:w="10980"/>
          </w:cols>
          <w:pgMar w:left="440" w:top="266" w:right="479" w:bottom="1440" w:gutter="0" w:footer="0" w:header="0"/>
        </w:sectPr>
      </w:pPr>
    </w:p>
    <w:bookmarkStart w:id="143" w:name="page144"/>
    <w:bookmarkEnd w:id="143"/>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1.4 </w:t>
      </w:r>
      <w:r>
        <w:rPr>
          <w:rFonts w:ascii="Times New Roman" w:cs="Times New Roman" w:eastAsia="Times New Roman" w:hAnsi="Times New Roman"/>
          <w:sz w:val="18"/>
          <w:szCs w:val="18"/>
          <w:u w:val="single" w:color="auto"/>
          <w:color w:val="auto"/>
        </w:rPr>
        <w:t>Nomination of Trustees</w:t>
      </w:r>
      <w:r>
        <w:rPr>
          <w:rFonts w:ascii="Times New Roman" w:cs="Times New Roman" w:eastAsia="Times New Roman" w:hAnsi="Times New Roman"/>
          <w:sz w:val="18"/>
          <w:szCs w:val="18"/>
          <w:color w:val="auto"/>
        </w:rPr>
        <w:t>. Nominations of persons for election to the Board of Trustees at a special meeting may be made only</w:t>
      </w:r>
    </w:p>
    <w:p>
      <w:pPr>
        <w:spacing w:after="0" w:line="27" w:lineRule="exact"/>
        <w:rPr>
          <w:sz w:val="20"/>
          <w:szCs w:val="20"/>
          <w:color w:val="auto"/>
        </w:rPr>
      </w:pPr>
    </w:p>
    <w:p>
      <w:pPr>
        <w:ind w:left="4" w:right="20" w:hanging="4"/>
        <w:spacing w:after="0" w:line="260" w:lineRule="auto"/>
        <w:tabs>
          <w:tab w:leader="none" w:pos="259"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notice of the meeting, (2) by the Board of Trustees or (3) provided that the Board of Trustees has determined that trustees will be elected at the meeting, by a Shareholder who is entitled to vote at the meeting.</w:t>
      </w:r>
    </w:p>
    <w:p>
      <w:pPr>
        <w:spacing w:after="0" w:line="181" w:lineRule="exact"/>
        <w:rPr>
          <w:sz w:val="20"/>
          <w:szCs w:val="20"/>
          <w:color w:val="auto"/>
        </w:rPr>
      </w:pPr>
    </w:p>
    <w:p>
      <w:pPr>
        <w:ind w:left="4" w:firstLine="991"/>
        <w:spacing w:after="0" w:line="254"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Meetings by Remote Communications</w:t>
      </w:r>
      <w:r>
        <w:rPr>
          <w:rFonts w:ascii="Times New Roman" w:cs="Times New Roman" w:eastAsia="Times New Roman" w:hAnsi="Times New Roman"/>
          <w:sz w:val="18"/>
          <w:szCs w:val="18"/>
          <w:color w:val="auto"/>
        </w:rPr>
        <w:t>. The Trustees may, in their sole discretion, determine that a meeting of Shareholders may be held partly or solely by means of remote communications and to the extent so authorized, Shareholders and proxyholders not physically present at a meeting of Shareholders may, by means of remote communications: (a) participate in a meeting of Shareholders; and (b) be deemed present in person and vote at a meeting of Shareholders whether such meeting is to be held at a designated place or solely by means of remote communications. In connection with any such meeting, the Trust may implement such measures as the Trustees deem to be reasonable to verify that each person deemed present and permitted to vote at the meeting by means of remote communications is a Shareholder or proxyholder and to provide such Shareholders and proxyholders a reasonable opportunity to participate in the meeting and to vote on matters submitted to the Shareholders. If any Shareholder or proxyholder votes or takes other action at the meeting by means of remote communications, a record of such vote or other action shall be maintained by the Trust.</w:t>
      </w:r>
    </w:p>
    <w:p>
      <w:pPr>
        <w:spacing w:after="0" w:line="200" w:lineRule="exact"/>
        <w:rPr>
          <w:sz w:val="20"/>
          <w:szCs w:val="20"/>
          <w:color w:val="auto"/>
        </w:rPr>
      </w:pPr>
    </w:p>
    <w:p>
      <w:pPr>
        <w:spacing w:after="0" w:line="204"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ARTICLE II</w:t>
      </w:r>
    </w:p>
    <w:p>
      <w:pPr>
        <w:spacing w:after="0" w:line="117"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u w:val="single" w:color="auto"/>
          <w:color w:val="auto"/>
        </w:rPr>
        <w:t>Trustees</w:t>
      </w:r>
    </w:p>
    <w:p>
      <w:pPr>
        <w:spacing w:after="0" w:line="225" w:lineRule="exact"/>
        <w:rPr>
          <w:sz w:val="20"/>
          <w:szCs w:val="20"/>
          <w:color w:val="auto"/>
        </w:rPr>
      </w:pPr>
    </w:p>
    <w:p>
      <w:pPr>
        <w:ind w:left="4" w:right="1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Regular Meetings</w:t>
      </w:r>
      <w:r>
        <w:rPr>
          <w:rFonts w:ascii="Times New Roman" w:cs="Times New Roman" w:eastAsia="Times New Roman" w:hAnsi="Times New Roman"/>
          <w:sz w:val="18"/>
          <w:szCs w:val="18"/>
          <w:color w:val="auto"/>
        </w:rPr>
        <w:t>. Meetings of the Trustees shall be held from time to time upon the call of the Chairman, if any, the President, the Secretary or any two Trustees. Regular meetings of the Trustees may be held without call or notice and shall generally be held quarterly. Neither the business to be transacted at, nor the purpose of, any meeting of the Board of Trustees need be stated in the notice or waiver of notice of such meeting, and no notice need be given of action proposed to be taken by unanimous written consent.</w:t>
      </w:r>
    </w:p>
    <w:p>
      <w:pPr>
        <w:spacing w:after="0" w:line="180" w:lineRule="exact"/>
        <w:rPr>
          <w:sz w:val="20"/>
          <w:szCs w:val="20"/>
          <w:color w:val="auto"/>
        </w:rPr>
      </w:pPr>
    </w:p>
    <w:p>
      <w:pPr>
        <w:ind w:left="4" w:right="40" w:firstLine="991"/>
        <w:spacing w:after="0" w:line="258"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Chairman</w:t>
      </w:r>
      <w:r>
        <w:rPr>
          <w:rFonts w:ascii="Times New Roman" w:cs="Times New Roman" w:eastAsia="Times New Roman" w:hAnsi="Times New Roman"/>
          <w:sz w:val="18"/>
          <w:szCs w:val="18"/>
          <w:color w:val="auto"/>
        </w:rPr>
        <w:t>. The Trustees shall have the power to appoint a Chairman from among the members of the Board of Trustees. Such appointment shall be by majority vote of the Trustees. Such Chairman shall serve until his or her successor is appointed or until his or her earlier death, resignation or removal. When present he or she shall preside at the meetings of the Shareholders and of the Trustees. The Chairman shall, subject to the control of the Trustees, perform such other powers and duties as may be from time to time assigned to him or her by the Trustees or prescribed by the Declaration or these By-Laws, consistent with his or her position. The Chairman need not be a Shareholder.</w:t>
      </w:r>
    </w:p>
    <w:p>
      <w:pPr>
        <w:spacing w:after="0" w:line="116"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4"/>
          </w:cols>
          <w:pgMar w:left="436" w:top="270" w:right="519" w:bottom="1440" w:gutter="0" w:footer="0" w:header="0"/>
        </w:sectPr>
      </w:pPr>
    </w:p>
    <w:bookmarkStart w:id="144" w:name="page145"/>
    <w:bookmarkEnd w:id="144"/>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Officers</w:t>
      </w:r>
    </w:p>
    <w:p>
      <w:pPr>
        <w:spacing w:after="0" w:line="225" w:lineRule="exact"/>
        <w:rPr>
          <w:sz w:val="20"/>
          <w:szCs w:val="20"/>
          <w:color w:val="auto"/>
        </w:rPr>
      </w:pPr>
    </w:p>
    <w:p>
      <w:pPr>
        <w:ind w:right="160" w:firstLine="991"/>
        <w:spacing w:after="0" w:line="258"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Officers of the Trust</w:t>
      </w:r>
      <w:r>
        <w:rPr>
          <w:rFonts w:ascii="Times New Roman" w:cs="Times New Roman" w:eastAsia="Times New Roman" w:hAnsi="Times New Roman"/>
          <w:sz w:val="18"/>
          <w:szCs w:val="18"/>
          <w:color w:val="auto"/>
        </w:rPr>
        <w:t>. The officers of the Trust shall consist of a President, a Secretary, a Treasurer and such other officers or assistant officers as may be elected or authorized by the Trustees. Subject to any applicable provisions of the Declaration, the compensation of the officers and Trustees shall be fixed from time to time by the Trustees or, in the case of officers, by any Committee or officer upon whom such power may be conferred by the Trustees. No officer shall be prevented from receiving such compensation as such officer by reason of the fact that he or she is also a Trustee. Any two or more of the offices may be held by the same Person. No officer of the Trust need be a Trustee.</w:t>
      </w:r>
    </w:p>
    <w:p>
      <w:pPr>
        <w:spacing w:after="0" w:line="183" w:lineRule="exact"/>
        <w:rPr>
          <w:sz w:val="20"/>
          <w:szCs w:val="20"/>
          <w:color w:val="auto"/>
        </w:rPr>
      </w:pPr>
    </w:p>
    <w:p>
      <w:pPr>
        <w:ind w:right="2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Election and Tenure</w:t>
      </w:r>
      <w:r>
        <w:rPr>
          <w:rFonts w:ascii="Times New Roman" w:cs="Times New Roman" w:eastAsia="Times New Roman" w:hAnsi="Times New Roman"/>
          <w:sz w:val="18"/>
          <w:szCs w:val="18"/>
          <w:color w:val="auto"/>
        </w:rPr>
        <w:t>. At the initial organization meeting, the Trustees shall elect the Chairman, if any, Chief Executive Officer, Secretary, Treasurer and such other officers as the Trustees shall deem necessary or appropriate in order to carry out the business of the Trust. Such officers shall serve at the pleasure of the Trustees or until their successors have been duly elected and qualified. The Trustees may fill any vacancy in office or add any additional officers at any time.</w:t>
      </w:r>
    </w:p>
    <w:p>
      <w:pPr>
        <w:spacing w:after="0" w:line="180"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Removal of Officers</w:t>
      </w:r>
      <w:r>
        <w:rPr>
          <w:rFonts w:ascii="Times New Roman" w:cs="Times New Roman" w:eastAsia="Times New Roman" w:hAnsi="Times New Roman"/>
          <w:sz w:val="18"/>
          <w:szCs w:val="18"/>
          <w:color w:val="auto"/>
        </w:rPr>
        <w:t>. Any officer may be removed at any time, with or without cause, by action of a majority of the Trustees. This provision shall not prevent the making of a contract of employment for a definite term with any officer and shall have no effect upon any cause of action which any officer may have as a result of removal in breach of a contract of employment. Any officer may resign at any time by notice in writing signed by such officer and delivered or mailed to the Chairman, if any, President or Secretary, and such resignation shall take effect immediately upon receipt by the Chairman, if any, President or Secretary, or at a later date according to the terms of such notice in writing.</w:t>
      </w:r>
    </w:p>
    <w:p>
      <w:pPr>
        <w:spacing w:after="0" w:line="183" w:lineRule="exact"/>
        <w:rPr>
          <w:sz w:val="20"/>
          <w:szCs w:val="20"/>
          <w:color w:val="auto"/>
        </w:rPr>
      </w:pPr>
    </w:p>
    <w:p>
      <w:pPr>
        <w:ind w:right="3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Bonds and Surety</w:t>
      </w:r>
      <w:r>
        <w:rPr>
          <w:rFonts w:ascii="Times New Roman" w:cs="Times New Roman" w:eastAsia="Times New Roman" w:hAnsi="Times New Roman"/>
          <w:sz w:val="18"/>
          <w:szCs w:val="18"/>
          <w:color w:val="auto"/>
        </w:rPr>
        <w:t>. Any officer may be required by the Trustees to be bonded for the faithful performance of such officer’s duties in such amount and with such sureties as the Trustees may determine.</w:t>
      </w:r>
    </w:p>
    <w:p>
      <w:pPr>
        <w:spacing w:after="0" w:line="162"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Chief Executive Officer</w:t>
      </w:r>
      <w:r>
        <w:rPr>
          <w:rFonts w:ascii="Times New Roman" w:cs="Times New Roman" w:eastAsia="Times New Roman" w:hAnsi="Times New Roman"/>
          <w:sz w:val="18"/>
          <w:szCs w:val="18"/>
          <w:color w:val="auto"/>
        </w:rPr>
        <w:t>. The Chief Executive Officer, subject to the control of the Trustees, shall have general supervision, direction and control of the business of the Trust and of its employees and shall exercise such general powers of management as are usually vested in the office of Chief Executive Officer of a corporation. Unless otherwise directed by the Trustees, the Chief Executive Officer shall have full authority and power, on behalf of all of the Trustees, to attend and to act and to vote, on behalf of the Trust, at any meetings of business organizations in which the Trust holds an interest, or to confer such powers upon any other persons by executing any proxies duly authorizing such persons. The Chief Executive Officer shall have such further authorities and duties as the Trustees shall from time to time determine. In the absence or disability of the Chief Executive Officer, the Board of Trustees may by resolution delegate the powers and duties of the Chief Executive Officer to any other officer or to any Trustee, or to any other person whom it may select. Such delegatee shall perform all of the duties of the Chief Executive Officer, and when so acting shall have all the powers of and be subject to all of the restrictions upon the Chief Executive Officer.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145" w:name="page146"/>
    <w:bookmarkEnd w:id="145"/>
    <w:p>
      <w:pPr>
        <w:ind w:right="180"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3.6 </w:t>
      </w:r>
      <w:r>
        <w:rPr>
          <w:rFonts w:ascii="Times New Roman" w:cs="Times New Roman" w:eastAsia="Times New Roman" w:hAnsi="Times New Roman"/>
          <w:sz w:val="18"/>
          <w:szCs w:val="18"/>
          <w:u w:val="single" w:color="auto"/>
          <w:color w:val="auto"/>
        </w:rPr>
        <w:t>Secretary</w:t>
      </w:r>
      <w:r>
        <w:rPr>
          <w:rFonts w:ascii="Times New Roman" w:cs="Times New Roman" w:eastAsia="Times New Roman" w:hAnsi="Times New Roman"/>
          <w:sz w:val="18"/>
          <w:szCs w:val="18"/>
          <w:color w:val="auto"/>
        </w:rPr>
        <w:t>. The Secretary shall maintain the minutes of all meetings of, and record all votes of, Shareholders, Trustees and the Executive Committee, if any. The Secretary shall be custodian of the seal of the Trust, if any, and the Secretary (and any other person so authorized by the Trustees) shall affix the seal, or if permitted, facsimile thereof, to any instrument executed by the Trust which would be sealed by a Delaware business corporation executing the same or a similar instrument and shall attest the seal and the signature or signatures of the officer or officers executing such instrument on behalf of the Trust. The Secretary shall also perform any other duties commonly incident to such office in a Delaware business corporation and shall have such other authorities and duties as the Trustees shall from time to time determine.</w:t>
      </w:r>
    </w:p>
    <w:p>
      <w:pPr>
        <w:spacing w:after="0" w:line="187"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u w:val="single" w:color="auto"/>
          <w:color w:val="auto"/>
        </w:rPr>
        <w:t>Treasurer</w:t>
      </w:r>
      <w:r>
        <w:rPr>
          <w:rFonts w:ascii="Times New Roman" w:cs="Times New Roman" w:eastAsia="Times New Roman" w:hAnsi="Times New Roman"/>
          <w:sz w:val="18"/>
          <w:szCs w:val="18"/>
          <w:color w:val="auto"/>
        </w:rPr>
        <w:t>. Except as otherwise directed by the Trustees, the Treasurer shall have the general supervision of the monies, funds, securities, notes receivable and other valuable papers and documents of the Trust, and shall have and exercise under the supervision of the Trustees and of the Chief Executive Officer all powers and duties normally incident to the office. The Treasurer may endorse for deposit or collection all notes, checks and other instruments payable to the Trust or to its order. The Treasurer shall deposit all funds of the Trust in such depositories as the Trustees shall designate. The Treasurer shall be responsible for such disbursement of the funds of the Trust as may be ordered by the Trustees or the Chief Executive Officer. The Treasurer shall keep accurate account of the books of the Trust’s transactions which shall be the property of the Trust, and which together with all other property of the Trust in the Treasurer’s possession, shall be subject at all times to the inspection and control of the Trustees. Unless the Trustees shall otherwise determine, the Treasurer shall be the principal accounting officer of the Trust and shall also be the principal financial officer of the Trust. The Treasurer shall have such other duties and authorities as the Trustees shall from time to time determine. Notwithstanding anything to the contrary herein contained, the Trustees may authorize any adviser, administrator, manager or transfer agent to maintain bank accounts and deposit and disburse funds of any series of the Trust on behalf of such series.</w:t>
      </w:r>
    </w:p>
    <w:p>
      <w:pPr>
        <w:spacing w:after="0" w:line="192"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u w:val="single" w:color="auto"/>
          <w:color w:val="auto"/>
        </w:rPr>
        <w:t>Other Officers and Duties</w:t>
      </w:r>
      <w:r>
        <w:rPr>
          <w:rFonts w:ascii="Times New Roman" w:cs="Times New Roman" w:eastAsia="Times New Roman" w:hAnsi="Times New Roman"/>
          <w:sz w:val="18"/>
          <w:szCs w:val="18"/>
          <w:color w:val="auto"/>
        </w:rPr>
        <w:t>. The Trustees may elect such other officers and assistant officers as they shall from time to time determine to be necessary or desirable in order to conduct the business of the Trust. Assistant officers shall act generally in the absence of the officer whom they assist and shall assist that officer in the duties of the office. Each officer, employee and agent of the Trust shall have such other duties and authority as may be conferred upon such person by the Trustees or delegated to such person by the President.</w:t>
      </w:r>
    </w:p>
    <w:p>
      <w:pPr>
        <w:spacing w:after="0" w:line="39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ARTICLE IV</w:t>
      </w:r>
    </w:p>
    <w:p>
      <w:pPr>
        <w:spacing w:after="0" w:line="11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u w:val="single" w:color="auto"/>
          <w:color w:val="auto"/>
        </w:rPr>
        <w:t>Committees</w:t>
      </w:r>
    </w:p>
    <w:p>
      <w:pPr>
        <w:spacing w:after="0" w:line="225" w:lineRule="exact"/>
        <w:rPr>
          <w:sz w:val="20"/>
          <w:szCs w:val="20"/>
          <w:color w:val="auto"/>
        </w:rPr>
      </w:pPr>
    </w:p>
    <w:p>
      <w:pPr>
        <w:ind w:right="680" w:firstLine="991"/>
        <w:spacing w:after="0" w:line="282"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Appointment</w:t>
      </w:r>
      <w:r>
        <w:rPr>
          <w:rFonts w:ascii="Times New Roman" w:cs="Times New Roman" w:eastAsia="Times New Roman" w:hAnsi="Times New Roman"/>
          <w:sz w:val="18"/>
          <w:szCs w:val="18"/>
          <w:color w:val="auto"/>
        </w:rPr>
        <w:t>. The Board of Trustees may appoint from its members an Audit Committee, a Nominating Committee and other committees, composed of one or more trustees, to serve at the pleasure of the Board of Trustees.</w:t>
      </w:r>
    </w:p>
    <w:p>
      <w:pPr>
        <w:spacing w:after="0" w:line="162" w:lineRule="exact"/>
        <w:rPr>
          <w:sz w:val="20"/>
          <w:szCs w:val="20"/>
          <w:color w:val="auto"/>
        </w:rPr>
      </w:pPr>
    </w:p>
    <w:p>
      <w:pPr>
        <w:ind w:right="4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Powers</w:t>
      </w:r>
      <w:r>
        <w:rPr>
          <w:rFonts w:ascii="Times New Roman" w:cs="Times New Roman" w:eastAsia="Times New Roman" w:hAnsi="Times New Roman"/>
          <w:sz w:val="18"/>
          <w:szCs w:val="18"/>
          <w:color w:val="auto"/>
        </w:rPr>
        <w:t>. The Board of Trustees may delegate to committees appointed under Section 4.1 hereof any of the powers of the Board of Trustees, except as prohibited by law.</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146" w:name="page147"/>
    <w:bookmarkEnd w:id="146"/>
    <w:p>
      <w:pPr>
        <w:ind w:left="50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w:t>
      </w:r>
    </w:p>
    <w:p>
      <w:pPr>
        <w:spacing w:after="0" w:line="11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u w:val="single" w:color="auto"/>
          <w:color w:val="auto"/>
        </w:rPr>
        <w:t>Miscellaneous</w:t>
      </w:r>
    </w:p>
    <w:p>
      <w:pPr>
        <w:spacing w:after="0" w:line="225" w:lineRule="exact"/>
        <w:rPr>
          <w:sz w:val="20"/>
          <w:szCs w:val="20"/>
          <w:color w:val="auto"/>
        </w:rPr>
      </w:pPr>
    </w:p>
    <w:p>
      <w:pPr>
        <w:ind w:right="1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Depositories</w:t>
      </w:r>
      <w:r>
        <w:rPr>
          <w:rFonts w:ascii="Times New Roman" w:cs="Times New Roman" w:eastAsia="Times New Roman" w:hAnsi="Times New Roman"/>
          <w:sz w:val="18"/>
          <w:szCs w:val="18"/>
          <w:color w:val="auto"/>
        </w:rPr>
        <w:t>. In accordance with Section 8.1 of the Declaration, the funds of the Trust shall be deposited in such custodians as the Trustees shall designate and shall be drawn out on checks, drafts or other orders signed by such officer, officers, agent or agents (including the adviser, administrator or manager), as the Trustees may from time to time authorize.</w:t>
      </w:r>
    </w:p>
    <w:p>
      <w:pPr>
        <w:spacing w:after="0" w:line="176" w:lineRule="exact"/>
        <w:rPr>
          <w:sz w:val="20"/>
          <w:szCs w:val="20"/>
          <w:color w:val="auto"/>
        </w:rPr>
      </w:pPr>
    </w:p>
    <w:p>
      <w:pPr>
        <w:ind w:right="2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Signatures</w:t>
      </w:r>
      <w:r>
        <w:rPr>
          <w:rFonts w:ascii="Times New Roman" w:cs="Times New Roman" w:eastAsia="Times New Roman" w:hAnsi="Times New Roman"/>
          <w:sz w:val="18"/>
          <w:szCs w:val="18"/>
          <w:color w:val="auto"/>
        </w:rPr>
        <w:t>. All contracts and other instruments shall be executed on behalf of the Trust by its authorized officers, agent or agents, as provided in the Declaration or By-Laws or as the Trustees may from time to time provide by resolution.</w:t>
      </w:r>
    </w:p>
    <w:p>
      <w:pPr>
        <w:spacing w:after="0" w:line="162"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Seal</w:t>
      </w:r>
      <w:r>
        <w:rPr>
          <w:rFonts w:ascii="Times New Roman" w:cs="Times New Roman" w:eastAsia="Times New Roman" w:hAnsi="Times New Roman"/>
          <w:sz w:val="18"/>
          <w:szCs w:val="18"/>
          <w:color w:val="auto"/>
        </w:rPr>
        <w:t>. The Trust is not required to have any seal, and the adoption or use of a seal shall be purely ornamental and be of no legal effect. The seal, if any, of the Trust may be affixed to any instrument, and the seal and its attestation may be lithographed, engraved or otherwise printed on any document with the same force and effect as if it had been imprinted and affixed manually in the same manner and with the same force and effect as if done by a Delaware business corporation. The presence or absence of a seal shall have no effect on the validity, enforceability or binding nature of any document or instrument that is otherwise duly authorized, executed and delivered.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Stock Transfers</w:t>
      </w:r>
    </w:p>
    <w:p>
      <w:pPr>
        <w:spacing w:after="0" w:line="225" w:lineRule="exact"/>
        <w:rPr>
          <w:sz w:val="20"/>
          <w:szCs w:val="20"/>
          <w:color w:val="auto"/>
        </w:rPr>
      </w:pPr>
    </w:p>
    <w:p>
      <w:pPr>
        <w:ind w:right="100" w:firstLine="991"/>
        <w:spacing w:after="0" w:line="258"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Transfer Agents, Registrars and the Like</w:t>
      </w:r>
      <w:r>
        <w:rPr>
          <w:rFonts w:ascii="Times New Roman" w:cs="Times New Roman" w:eastAsia="Times New Roman" w:hAnsi="Times New Roman"/>
          <w:sz w:val="18"/>
          <w:szCs w:val="18"/>
          <w:color w:val="auto"/>
        </w:rPr>
        <w:t>. As provided in Section 6.7 of the Declaration, the Trustees shall have authority to employ and compensate such transfer agents and registrars with respect to the Shares of the Trust as the Trustees shall deem necessary or desirable. In addition, the Trustees shall have the power to employ and compensate such dividend disbursing agents, warrant agents and agents for the reinvestment of dividends as they shall deem necessary or desirable. Any of such agents shall have such power and authority as is delegated to any of them by the Trustees.</w:t>
      </w:r>
    </w:p>
    <w:p>
      <w:pPr>
        <w:spacing w:after="0" w:line="183"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Transfer of Shares</w:t>
      </w:r>
      <w:r>
        <w:rPr>
          <w:rFonts w:ascii="Times New Roman" w:cs="Times New Roman" w:eastAsia="Times New Roman" w:hAnsi="Times New Roman"/>
          <w:sz w:val="18"/>
          <w:szCs w:val="18"/>
          <w:color w:val="auto"/>
        </w:rPr>
        <w:t>. The Shares of the Trust shall not be transferrable except as permitted in the Declaration. The Trust, or its transfer agents, shall be authorized to refuse any transfer unless and until presentation of such evidence as may be reasonably required to show that the requested transfer is proper.</w:t>
      </w:r>
    </w:p>
    <w:p>
      <w:pPr>
        <w:spacing w:after="0" w:line="176" w:lineRule="exact"/>
        <w:rPr>
          <w:sz w:val="20"/>
          <w:szCs w:val="20"/>
          <w:color w:val="auto"/>
        </w:rPr>
      </w:pPr>
    </w:p>
    <w:p>
      <w:pPr>
        <w:ind w:right="6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Registered Shareholders</w:t>
      </w:r>
      <w:r>
        <w:rPr>
          <w:rFonts w:ascii="Times New Roman" w:cs="Times New Roman" w:eastAsia="Times New Roman" w:hAnsi="Times New Roman"/>
          <w:sz w:val="18"/>
          <w:szCs w:val="18"/>
          <w:color w:val="auto"/>
        </w:rPr>
        <w:t>. The Trust may deem and treat the holder of record of any Shares as the absolute owner thereof for all purposes and shall not be required to take any notice of any right or claim of right of any other person.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Amendment of By-Laws</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Amendment and Repeal of By-Laws</w:t>
      </w:r>
      <w:r>
        <w:rPr>
          <w:rFonts w:ascii="Times New Roman" w:cs="Times New Roman" w:eastAsia="Times New Roman" w:hAnsi="Times New Roman"/>
          <w:sz w:val="18"/>
          <w:szCs w:val="18"/>
          <w:color w:val="auto"/>
        </w:rPr>
        <w:t>. In accordance with Section 3.8 of the Declaration, the Trustees shall have the exclusive power to amend or repeal the By-Laws or adopt new By-Laws at any time. Action by the Trustees with respect to the By-Laws shall be taken by an affirmative vote of a majority of the Trustees. The Trustees shall in no event adopt By-Laws that are in conflict with the Declaration, and any apparent inconsistency shall be construed in favor of the related provisions in the Declaration.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CONFIDENTIAL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Sixth Street Lending Partners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Shares of Beneficial Interest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Subscription Agreement</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Common shares of beneficial interest, par value $0.001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Sixth Street Lending Partners.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are being offered to qualified investors pursuant to the confidential Private Placement Memorandum of the Company.</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Shares have not been registered under the Securities Act of 1933, as amended (the “</w:t>
      </w:r>
      <w:r>
        <w:rPr>
          <w:rFonts w:ascii="Times New Roman" w:cs="Times New Roman" w:eastAsia="Times New Roman" w:hAnsi="Times New Roman"/>
          <w:sz w:val="18"/>
          <w:szCs w:val="18"/>
          <w:u w:val="single" w:color="auto"/>
          <w:color w:val="auto"/>
        </w:rPr>
        <w:t>1933 Act</w:t>
      </w:r>
      <w:r>
        <w:rPr>
          <w:rFonts w:ascii="Times New Roman" w:cs="Times New Roman" w:eastAsia="Times New Roman" w:hAnsi="Times New Roman"/>
          <w:sz w:val="18"/>
          <w:szCs w:val="18"/>
          <w:color w:val="auto"/>
        </w:rPr>
        <w:t>”), the securities laws of any state or the securities laws of any other jurisdiction, nor is such registration contemplated. The Shares will be offered and sold under the exemption provided by Section 4(a)(2) of the 1933 Act, and other exemptions of similar import in the laws of the states and other jurisdictions where the offering will be made. The Company intends to register as a business development company under the Investment Company Act of 1940, as amended.</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distribution of this Subscription Agreement and the offer and sale of the Shares in certain jurisdictions may be restricted by law. This Subscription Agreement does not constitute an offer to sell or the solicitation of an offer to buy any Shares in any state or other jurisdiction where, or to or from any person to or from whom, such offer or solicitation is unlawful or not authorized. The Shares are offered subject to the right of the Company to reject any subscription in whole or in part.</w:t>
      </w:r>
    </w:p>
    <w:p>
      <w:pPr>
        <w:sectPr>
          <w:pgSz w:w="11900" w:h="16838" w:orient="portrait"/>
          <w:cols w:equalWidth="0" w:num="1">
            <w:col w:w="11020"/>
          </w:cols>
          <w:pgMar w:left="440" w:top="117" w:right="4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Sixth Street Lending Partners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Delaware Statutory Trust)</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SUBSCRIPTION AGREEMENT</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ARTICLE I</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Subscription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3" w:lineRule="auto"/>
        <w:tabs>
          <w:tab w:leader="none" w:pos="1236"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hereof, and in reliance upon the representations and warranties contained in this subscription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the undersigned (the “</w:t>
      </w:r>
      <w:r>
        <w:rPr>
          <w:rFonts w:ascii="Times New Roman" w:cs="Times New Roman" w:eastAsia="Times New Roman" w:hAnsi="Times New Roman"/>
          <w:sz w:val="18"/>
          <w:szCs w:val="18"/>
          <w:u w:val="single" w:color="auto"/>
          <w:color w:val="auto"/>
        </w:rPr>
        <w:t>Subscriber</w:t>
      </w:r>
      <w:r>
        <w:rPr>
          <w:rFonts w:ascii="Times New Roman" w:cs="Times New Roman" w:eastAsia="Times New Roman" w:hAnsi="Times New Roman"/>
          <w:sz w:val="18"/>
          <w:szCs w:val="18"/>
          <w:color w:val="auto"/>
        </w:rPr>
        <w:t>”) irrevocably subscribes for and agrees to purchase common shares of beneficial interest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Sixth Street Lending Partners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on the terms and conditions described herein, in the Company’s Private Placement Memorandum (together with any appendices and supplements thereto, the “</w:t>
      </w:r>
      <w:r>
        <w:rPr>
          <w:rFonts w:ascii="Times New Roman" w:cs="Times New Roman" w:eastAsia="Times New Roman" w:hAnsi="Times New Roman"/>
          <w:sz w:val="18"/>
          <w:szCs w:val="18"/>
          <w:u w:val="single" w:color="auto"/>
          <w:color w:val="auto"/>
        </w:rPr>
        <w:t>Memorandum</w:t>
      </w:r>
      <w:r>
        <w:rPr>
          <w:rFonts w:ascii="Times New Roman" w:cs="Times New Roman" w:eastAsia="Times New Roman" w:hAnsi="Times New Roman"/>
          <w:sz w:val="18"/>
          <w:szCs w:val="18"/>
          <w:color w:val="auto"/>
        </w:rPr>
        <w:t>”), in the Company’s Amended and Restated Declaration of Trust, substantially in the form attached hereto as Exhibit A (the “</w:t>
      </w:r>
      <w:r>
        <w:rPr>
          <w:rFonts w:ascii="Times New Roman" w:cs="Times New Roman" w:eastAsia="Times New Roman" w:hAnsi="Times New Roman"/>
          <w:sz w:val="18"/>
          <w:szCs w:val="18"/>
          <w:u w:val="single" w:color="auto"/>
          <w:color w:val="auto"/>
        </w:rPr>
        <w:t>Charter</w:t>
      </w:r>
      <w:r>
        <w:rPr>
          <w:rFonts w:ascii="Times New Roman" w:cs="Times New Roman" w:eastAsia="Times New Roman" w:hAnsi="Times New Roman"/>
          <w:sz w:val="18"/>
          <w:szCs w:val="18"/>
          <w:color w:val="auto"/>
        </w:rPr>
        <w:t>”), in the Company’s Bylaws, substantially in the form attached hereto as Exhibit B (the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in the Investment Advisory and Management Agreement between the Company and Sixth Street Lending Partners Advisers, LLC (the “</w:t>
      </w:r>
      <w:r>
        <w:rPr>
          <w:rFonts w:ascii="Times New Roman" w:cs="Times New Roman" w:eastAsia="Times New Roman" w:hAnsi="Times New Roman"/>
          <w:sz w:val="18"/>
          <w:szCs w:val="18"/>
          <w:u w:val="single" w:color="auto"/>
          <w:color w:val="auto"/>
        </w:rPr>
        <w:t>Adviser</w:t>
      </w:r>
      <w:r>
        <w:rPr>
          <w:rFonts w:ascii="Times New Roman" w:cs="Times New Roman" w:eastAsia="Times New Roman" w:hAnsi="Times New Roman"/>
          <w:sz w:val="18"/>
          <w:szCs w:val="18"/>
          <w:color w:val="auto"/>
        </w:rPr>
        <w:t>”), substantially in the form attached hereto as Exhibit C (the “</w:t>
      </w:r>
      <w:r>
        <w:rPr>
          <w:rFonts w:ascii="Times New Roman" w:cs="Times New Roman" w:eastAsia="Times New Roman" w:hAnsi="Times New Roman"/>
          <w:sz w:val="18"/>
          <w:szCs w:val="18"/>
          <w:u w:val="single" w:color="auto"/>
          <w:color w:val="auto"/>
        </w:rPr>
        <w:t>Advisory Agreement</w:t>
      </w:r>
      <w:r>
        <w:rPr>
          <w:rFonts w:ascii="Times New Roman" w:cs="Times New Roman" w:eastAsia="Times New Roman" w:hAnsi="Times New Roman"/>
          <w:sz w:val="18"/>
          <w:szCs w:val="18"/>
          <w:color w:val="auto"/>
        </w:rPr>
        <w:t>”) and in the Administration Agreement between the Company and the Adviser, substantially in the form attached hereto as Exhibit D (the “</w:t>
      </w:r>
      <w:r>
        <w:rPr>
          <w:rFonts w:ascii="Times New Roman" w:cs="Times New Roman" w:eastAsia="Times New Roman" w:hAnsi="Times New Roman"/>
          <w:sz w:val="18"/>
          <w:szCs w:val="18"/>
          <w:u w:val="single" w:color="auto"/>
          <w:color w:val="auto"/>
        </w:rPr>
        <w:t>Administration Agreement</w:t>
      </w:r>
      <w:r>
        <w:rPr>
          <w:rFonts w:ascii="Times New Roman" w:cs="Times New Roman" w:eastAsia="Times New Roman" w:hAnsi="Times New Roman"/>
          <w:sz w:val="18"/>
          <w:szCs w:val="18"/>
          <w:color w:val="auto"/>
        </w:rPr>
        <w:t>”). The Subscriber has received the Memorandum, the Charter, the Bylaws, the Advisory Agreement and the Administration Agreement. The Company expects to enter into separate subscription agreements (the “</w:t>
      </w:r>
      <w:r>
        <w:rPr>
          <w:rFonts w:ascii="Times New Roman" w:cs="Times New Roman" w:eastAsia="Times New Roman" w:hAnsi="Times New Roman"/>
          <w:sz w:val="18"/>
          <w:szCs w:val="18"/>
          <w:u w:val="single" w:color="auto"/>
          <w:color w:val="auto"/>
        </w:rPr>
        <w:t>Other Subscription Agreements,</w:t>
      </w:r>
      <w:r>
        <w:rPr>
          <w:rFonts w:ascii="Times New Roman" w:cs="Times New Roman" w:eastAsia="Times New Roman" w:hAnsi="Times New Roman"/>
          <w:sz w:val="18"/>
          <w:szCs w:val="18"/>
          <w:color w:val="auto"/>
        </w:rPr>
        <w:t>” and, together with this Agreement, the “</w:t>
      </w:r>
      <w:r>
        <w:rPr>
          <w:rFonts w:ascii="Times New Roman" w:cs="Times New Roman" w:eastAsia="Times New Roman" w:hAnsi="Times New Roman"/>
          <w:sz w:val="18"/>
          <w:szCs w:val="18"/>
          <w:u w:val="single" w:color="auto"/>
          <w:color w:val="auto"/>
        </w:rPr>
        <w:t>Subscription Agreements</w:t>
      </w:r>
      <w:r>
        <w:rPr>
          <w:rFonts w:ascii="Times New Roman" w:cs="Times New Roman" w:eastAsia="Times New Roman" w:hAnsi="Times New Roman"/>
          <w:sz w:val="18"/>
          <w:szCs w:val="18"/>
          <w:color w:val="auto"/>
        </w:rPr>
        <w:t>”) with other subscribers (the “</w:t>
      </w:r>
      <w:r>
        <w:rPr>
          <w:rFonts w:ascii="Times New Roman" w:cs="Times New Roman" w:eastAsia="Times New Roman" w:hAnsi="Times New Roman"/>
          <w:sz w:val="18"/>
          <w:szCs w:val="18"/>
          <w:u w:val="single" w:color="auto"/>
          <w:color w:val="auto"/>
        </w:rPr>
        <w:t>Other Subscribers,</w:t>
      </w:r>
      <w:r>
        <w:rPr>
          <w:rFonts w:ascii="Times New Roman" w:cs="Times New Roman" w:eastAsia="Times New Roman" w:hAnsi="Times New Roman"/>
          <w:sz w:val="18"/>
          <w:szCs w:val="18"/>
          <w:color w:val="auto"/>
        </w:rPr>
        <w:t>” and together with the Subscriber, the “</w:t>
      </w:r>
      <w:r>
        <w:rPr>
          <w:rFonts w:ascii="Times New Roman" w:cs="Times New Roman" w:eastAsia="Times New Roman" w:hAnsi="Times New Roman"/>
          <w:sz w:val="18"/>
          <w:szCs w:val="18"/>
          <w:u w:val="single" w:color="auto"/>
          <w:color w:val="auto"/>
        </w:rPr>
        <w:t>Subscribers</w:t>
      </w:r>
      <w:r>
        <w:rPr>
          <w:rFonts w:ascii="Times New Roman" w:cs="Times New Roman" w:eastAsia="Times New Roman" w:hAnsi="Times New Roman"/>
          <w:sz w:val="18"/>
          <w:szCs w:val="18"/>
          <w:color w:val="auto"/>
        </w:rPr>
        <w:t>”), providing for the sale of Shares to the Other Subscribers. This Agreement and the Other Subscription Agreements are separate agreements, and the sales of Shares to the undersigned and the Other Subscribers are to be separate sales. Capitalized terms used but not defined herein have the meanings ascribed to them in the Memorandum.</w:t>
      </w:r>
    </w:p>
    <w:p>
      <w:pPr>
        <w:spacing w:after="0" w:line="187" w:lineRule="exact"/>
        <w:rPr>
          <w:rFonts w:ascii="Times New Roman" w:cs="Times New Roman" w:eastAsia="Times New Roman" w:hAnsi="Times New Roman"/>
          <w:sz w:val="18"/>
          <w:szCs w:val="18"/>
          <w:color w:val="auto"/>
        </w:rPr>
      </w:pPr>
    </w:p>
    <w:p>
      <w:pPr>
        <w:ind w:right="40" w:firstLine="987"/>
        <w:spacing w:after="0" w:line="256" w:lineRule="auto"/>
        <w:tabs>
          <w:tab w:leader="none" w:pos="1246"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Subscriber agrees to purchase Shares for an aggregate purchase price equal to the amount set forth on the signature page hereof (the “Capital Commitment”), payable at such times and in such amounts as required by the Company, under the terms and subject to the conditions set forth herein. On each Capital Drawdown Date (as defined below), the Subscriber agrees to purchase from the Company, and the Company agrees to issue to the Subscriber, a number of Shares equal to the Drawdown Share Amount at an aggregate price equal to the Drawdown Purchase Price; provided, however, that in no circumstance will a Subscriber be required to purchase Shares for an amount in excess of its Unused Capital Commitment (as defined below).</w:t>
      </w:r>
    </w:p>
    <w:p>
      <w:pPr>
        <w:spacing w:after="0" w:line="18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Drawdown Purchase Price</w:t>
      </w:r>
      <w:r>
        <w:rPr>
          <w:rFonts w:ascii="Times New Roman" w:cs="Times New Roman" w:eastAsia="Times New Roman" w:hAnsi="Times New Roman"/>
          <w:sz w:val="18"/>
          <w:szCs w:val="18"/>
          <w:color w:val="auto"/>
        </w:rPr>
        <w:t>” shall mean, for each Capital Drawdown Date, an amount in U.S. dollars determined by multiplying (i) the aggregate amount of Capital Commitments being drawn down by the Company from all Subscribers on that Capital Drawdown Date, by (ii) a fraction, the numerator of which is the Unused Capital Commitment of the Subscriber and the denominator of which is the aggregate Unused Capital Commitments of all Subscribers that are not Defaulting Subscribers or Excluded Subscribers (as defined below).</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Drawdown Share Amount</w:t>
      </w:r>
      <w:r>
        <w:rPr>
          <w:rFonts w:ascii="Times New Roman" w:cs="Times New Roman" w:eastAsia="Times New Roman" w:hAnsi="Times New Roman"/>
          <w:sz w:val="18"/>
          <w:szCs w:val="18"/>
          <w:color w:val="auto"/>
        </w:rPr>
        <w:t>” shall mean, for each Capital Drawdown Date, a number of Shares determined by dividing (i) the Drawdown Purchase Price for that Capital Drawdown Date by (ii) the applicable Per Share NAV, with the resulting quotient adjusted down to the nearest whole number to avoid the issuance of fractional shares.</w:t>
      </w:r>
    </w:p>
    <w:p>
      <w:pPr>
        <w:sectPr>
          <w:pgSz w:w="11900" w:h="16838" w:orient="portrait"/>
          <w:cols w:equalWidth="0" w:num="1">
            <w:col w:w="10980"/>
          </w:cols>
          <w:pgMar w:left="440" w:top="270" w:right="479" w:bottom="1440" w:gutter="0" w:footer="0" w:header="0"/>
        </w:sectPr>
      </w:pPr>
    </w:p>
    <w:bookmarkStart w:id="149" w:name="page150"/>
    <w:bookmarkEnd w:id="149"/>
    <w:p>
      <w:pPr>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Per Share NAV</w:t>
      </w:r>
      <w:r>
        <w:rPr>
          <w:rFonts w:ascii="Times New Roman" w:cs="Times New Roman" w:eastAsia="Times New Roman" w:hAnsi="Times New Roman"/>
          <w:sz w:val="18"/>
          <w:szCs w:val="18"/>
          <w:color w:val="auto"/>
        </w:rPr>
        <w:t>” shall mean, for any Capital Drawdown Date or Catch-Up Date (as defined below), the Per Share NAV determined in accordance with the procedures set out in “</w:t>
      </w:r>
      <w:r>
        <w:rPr>
          <w:rFonts w:ascii="Times New Roman" w:cs="Times New Roman" w:eastAsia="Times New Roman" w:hAnsi="Times New Roman"/>
          <w:sz w:val="18"/>
          <w:szCs w:val="18"/>
          <w:i w:val="1"/>
          <w:iCs w:val="1"/>
          <w:color w:val="auto"/>
        </w:rPr>
        <w:t>II. Summary of Terms—Valuations</w:t>
      </w:r>
      <w:r>
        <w:rPr>
          <w:rFonts w:ascii="Times New Roman" w:cs="Times New Roman" w:eastAsia="Times New Roman" w:hAnsi="Times New Roman"/>
          <w:sz w:val="18"/>
          <w:szCs w:val="18"/>
          <w:color w:val="auto"/>
        </w:rPr>
        <w:t xml:space="preserve">” in the Memorandum (as those procedures may be changed from time to time in a manner consistent with the limitations of the 1940 Act (as defined below)) as of the last day of the Company’s fiscal quarter immediately preceding the Capital Drawdown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in the event that the Per Share NAV is less than zero as of the first Capital Drawdown Date that occurs immediately following the Initial Closing Date (as defined below), then solely for the purpose of such Capital Drawdown Date, the Per Share NAV shall be deemed to equal twenty-five dollars ($25).</w:t>
      </w:r>
    </w:p>
    <w:p>
      <w:pPr>
        <w:spacing w:after="0" w:line="18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Unused Capital Commitment</w:t>
      </w:r>
      <w:r>
        <w:rPr>
          <w:rFonts w:ascii="Times New Roman" w:cs="Times New Roman" w:eastAsia="Times New Roman" w:hAnsi="Times New Roman"/>
          <w:sz w:val="18"/>
          <w:szCs w:val="18"/>
          <w:color w:val="auto"/>
        </w:rPr>
        <w:t>” shall mean, with respect to a Subscriber, the amount of such Subscriber’s Capital Commitment as of any date reduced by the aggregate amount of contributions made by that Subscriber at all previous Capital Drawdown Dates and any Catch-Up Date pursuant to Section 1.01(b) and Section 1.02(b), respectively.</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Closings.</w:t>
      </w:r>
    </w:p>
    <w:p>
      <w:pPr>
        <w:spacing w:after="0" w:line="225" w:lineRule="exact"/>
        <w:rPr>
          <w:sz w:val="20"/>
          <w:szCs w:val="20"/>
          <w:color w:val="auto"/>
        </w:rPr>
      </w:pPr>
    </w:p>
    <w:p>
      <w:pPr>
        <w:ind w:right="20" w:firstLine="987"/>
        <w:spacing w:after="0" w:line="254" w:lineRule="auto"/>
        <w:tabs>
          <w:tab w:leader="none" w:pos="1236"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of this subscription agreement will take place at the offices of Simpson, Thacher &amp; Bartlett LLP, 900 G Street, N.W., Washington, D.C. 20001 on the date indicated by the Adviser on the signature page hereof (such date being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and the date on which the first closing of Subscription Agreements occurred being referred to herein as the “Initial Closing Date”). The Subscriber agrees to provide any information or documents reasonably requested by the Company or the Adviser in connection with this subscription, which may include information or documents requested in order to verify the truth and accuracy of the representations contained herein, or otherwise made, to the Company or the Adviser, including, but not limited to, the investor suitability questionnaire, attached as Appendix A (the “</w:t>
      </w:r>
      <w:r>
        <w:rPr>
          <w:rFonts w:ascii="Times New Roman" w:cs="Times New Roman" w:eastAsia="Times New Roman" w:hAnsi="Times New Roman"/>
          <w:sz w:val="18"/>
          <w:szCs w:val="18"/>
          <w:u w:val="single" w:color="auto"/>
          <w:color w:val="auto"/>
        </w:rPr>
        <w:t>Investor Suitability Questionnaire</w:t>
      </w:r>
      <w:r>
        <w:rPr>
          <w:rFonts w:ascii="Times New Roman" w:cs="Times New Roman" w:eastAsia="Times New Roman" w:hAnsi="Times New Roman"/>
          <w:sz w:val="18"/>
          <w:szCs w:val="18"/>
          <w:color w:val="auto"/>
        </w:rPr>
        <w:t>”). Promptly after the Closing Date, the Company will deliver to the Subscriber or its representative, if the Subscriber’s subscription has been accepted, a countersigned copy of this Agreement and other documents and instruments necessary to reflect the Subscriber’s status as an investor in the Company, including any documents and instruments to be delivered pursuant to this Agreement.</w:t>
      </w:r>
    </w:p>
    <w:p>
      <w:pPr>
        <w:spacing w:after="0" w:line="188" w:lineRule="exact"/>
        <w:rPr>
          <w:rFonts w:ascii="Times New Roman" w:cs="Times New Roman" w:eastAsia="Times New Roman" w:hAnsi="Times New Roman"/>
          <w:sz w:val="18"/>
          <w:szCs w:val="18"/>
          <w:color w:val="auto"/>
        </w:rPr>
      </w:pPr>
    </w:p>
    <w:p>
      <w:pPr>
        <w:ind w:firstLine="987"/>
        <w:spacing w:after="0" w:line="252" w:lineRule="auto"/>
        <w:tabs>
          <w:tab w:leader="none" w:pos="1246"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enter into Other Subscription Agreements with Other Subscribers after the Initial Closing Date, with any closing thereunder referred to as a “</w:t>
      </w:r>
      <w:r>
        <w:rPr>
          <w:rFonts w:ascii="Times New Roman" w:cs="Times New Roman" w:eastAsia="Times New Roman" w:hAnsi="Times New Roman"/>
          <w:sz w:val="18"/>
          <w:szCs w:val="18"/>
          <w:u w:val="single" w:color="auto"/>
          <w:color w:val="auto"/>
        </w:rPr>
        <w:t>Subsequent Closing</w:t>
      </w:r>
      <w:r>
        <w:rPr>
          <w:rFonts w:ascii="Times New Roman" w:cs="Times New Roman" w:eastAsia="Times New Roman" w:hAnsi="Times New Roman"/>
          <w:sz w:val="18"/>
          <w:szCs w:val="18"/>
          <w:color w:val="auto"/>
        </w:rPr>
        <w:t>” and any Other Subscriber whose subscription has been accepted at such Subsequent Closing referred to as a “</w:t>
      </w:r>
      <w:r>
        <w:rPr>
          <w:rFonts w:ascii="Times New Roman" w:cs="Times New Roman" w:eastAsia="Times New Roman" w:hAnsi="Times New Roman"/>
          <w:sz w:val="18"/>
          <w:szCs w:val="18"/>
          <w:u w:val="single" w:color="auto"/>
          <w:color w:val="auto"/>
        </w:rPr>
        <w:t>Subsequent Subscriber</w:t>
      </w:r>
      <w:r>
        <w:rPr>
          <w:rFonts w:ascii="Times New Roman" w:cs="Times New Roman" w:eastAsia="Times New Roman" w:hAnsi="Times New Roman"/>
          <w:sz w:val="18"/>
          <w:szCs w:val="18"/>
          <w:color w:val="auto"/>
        </w:rPr>
        <w:t>” (it being understood that for the purposes of this Section 1.02, the closing of this Agreement on the Closing Date shall be considered a Subsequent Closing and the Subscriber shall be considered a Subsequent Subscriber); provided, however, no Subsequent Closing may occur following the 12-month anniversary of the Initial Closing Date, which may be extended for an additional six (6) months by the Adviser. Notwithstanding the provisions of Sections 1.01(b) and 2.01, on a date to be determined by the Company that occurs on or following the Subsequent Closing but no later than the next succeeding Drawdown Date (the “</w:t>
      </w:r>
      <w:r>
        <w:rPr>
          <w:rFonts w:ascii="Times New Roman" w:cs="Times New Roman" w:eastAsia="Times New Roman" w:hAnsi="Times New Roman"/>
          <w:sz w:val="18"/>
          <w:szCs w:val="18"/>
          <w:u w:val="single" w:color="auto"/>
          <w:color w:val="auto"/>
        </w:rPr>
        <w:t>Catch-Up Date</w:t>
      </w:r>
      <w:r>
        <w:rPr>
          <w:rFonts w:ascii="Times New Roman" w:cs="Times New Roman" w:eastAsia="Times New Roman" w:hAnsi="Times New Roman"/>
          <w:sz w:val="18"/>
          <w:szCs w:val="18"/>
          <w:color w:val="auto"/>
        </w:rPr>
        <w:t>”), each Subsequent Subscriber shall be required to purchase from the Company a number of Shares with an aggregate purchase price necessary to ensure that, upon payment of the aggregate purchase price for such Shares by the Subsequent Subscriber on the Catch-Up Date, such Subsequent Subscriber’s Invested Percentage (as defined below) shall be equal to the Invested Percentage of all prior Subscribers (other than any Defaulting Subscribers or Excluded Subscribers) (the “</w:t>
      </w:r>
      <w:r>
        <w:rPr>
          <w:rFonts w:ascii="Times New Roman" w:cs="Times New Roman" w:eastAsia="Times New Roman" w:hAnsi="Times New Roman"/>
          <w:sz w:val="18"/>
          <w:szCs w:val="18"/>
          <w:u w:val="single" w:color="auto"/>
          <w:color w:val="auto"/>
        </w:rPr>
        <w:t>Catch-Up Purchase Price</w:t>
      </w:r>
      <w:r>
        <w:rPr>
          <w:rFonts w:ascii="Times New Roman" w:cs="Times New Roman" w:eastAsia="Times New Roman" w:hAnsi="Times New Roman"/>
          <w:sz w:val="18"/>
          <w:szCs w:val="18"/>
          <w:color w:val="auto"/>
        </w:rPr>
        <w:t>”). Upon payment of the Catch-Up Purchase Price by the Subscriber on the Catch-Up Date, the Company shall issue to each such Subsequent Subscriber a number of Shares determined by dividing (x) the Catch-Up Purchase Price by (y) the Per Share NAV as of the Catch-Up Date (as appropriately adjusted to reflect revenues and expenses accrued as of the Catch-Up Date and the Subscriber’s pro rata portion of the Fund’s initial organizational expenses, in each case, in a manner consistent with the 1940 Act). For the avoidance of doubt, in the event that the Catch-Up Date and a Capital Drawdown Date occur on the same calendar day, the Catch-Up Date (and the application of the provisions of this Section 1.02(b)) shall be deemed to have occurred immediately prior to the relevant Capital Drawdown Date.</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150" w:name="page151"/>
    <w:bookmarkEnd w:id="150"/>
    <w:p>
      <w:pPr>
        <w:ind w:right="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Invested Percentage</w:t>
      </w:r>
      <w:r>
        <w:rPr>
          <w:rFonts w:ascii="Times New Roman" w:cs="Times New Roman" w:eastAsia="Times New Roman" w:hAnsi="Times New Roman"/>
          <w:sz w:val="18"/>
          <w:szCs w:val="18"/>
          <w:color w:val="auto"/>
        </w:rPr>
        <w:t>” means, with respect to a Subscriber, the quotient determined by dividing (i) the aggregate amount of contributions made by such Subscriber pursuant to Section 1.01(b) and this Section 1.02(b) by (ii) such Subscriber’s Capital Commitment.</w:t>
      </w:r>
    </w:p>
    <w:p>
      <w:pPr>
        <w:spacing w:after="0" w:line="162" w:lineRule="exact"/>
        <w:rPr>
          <w:sz w:val="20"/>
          <w:szCs w:val="20"/>
          <w:color w:val="auto"/>
        </w:rPr>
      </w:pPr>
    </w:p>
    <w:p>
      <w:pPr>
        <w:jc w:val="both"/>
        <w:ind w:right="40" w:firstLine="987"/>
        <w:spacing w:after="0" w:line="261" w:lineRule="auto"/>
        <w:tabs>
          <w:tab w:leader="none" w:pos="1236"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each Capital Drawdown Date following any Subsequent Closing, all Subscribers, including Subsequent Subscribers, shall purchase Shares in accordance with the provisions of Section 1.01(b);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that notwithstanding the foregoing, the definition of Drawdown Share Amount and the provisions of Section 2.01(b), nothing in this Agreement shall prohibit the Company from issuing Shares to Subsequent Subscribers whose subscriptions are accepted after the Closing Date at a per share price greater than the Per Share NAV.</w:t>
      </w:r>
    </w:p>
    <w:p>
      <w:pPr>
        <w:spacing w:after="0" w:line="179" w:lineRule="exact"/>
        <w:rPr>
          <w:rFonts w:ascii="Times New Roman" w:cs="Times New Roman" w:eastAsia="Times New Roman" w:hAnsi="Times New Roman"/>
          <w:sz w:val="18"/>
          <w:szCs w:val="18"/>
          <w:color w:val="auto"/>
        </w:rPr>
      </w:pPr>
    </w:p>
    <w:p>
      <w:pPr>
        <w:ind w:right="120" w:firstLine="987"/>
        <w:spacing w:after="0" w:line="261" w:lineRule="auto"/>
        <w:tabs>
          <w:tab w:leader="none" w:pos="1246"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Subscriber is permitted by the Company to make an additional capital commitment to purchase Shares on a date after its initial subscription has been accepted, such Subscriber will be required to enter into a separate subscription agreement with the Company, it being understood and agreed that such separate subscription agreement will be considered to be an Other Subscription Agreement for the purposes of this Agreement.</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u w:val="single" w:color="auto"/>
          <w:color w:val="auto"/>
        </w:rPr>
        <w:t>ARTICLE II</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Capital Drawdowns.</w:t>
      </w:r>
    </w:p>
    <w:p>
      <w:pPr>
        <w:spacing w:after="0" w:line="225" w:lineRule="exact"/>
        <w:rPr>
          <w:sz w:val="20"/>
          <w:szCs w:val="20"/>
          <w:color w:val="auto"/>
        </w:rPr>
      </w:pPr>
    </w:p>
    <w:p>
      <w:pPr>
        <w:jc w:val="both"/>
        <w:ind w:firstLine="987"/>
        <w:spacing w:after="0" w:line="312" w:lineRule="auto"/>
        <w:tabs>
          <w:tab w:leader="none" w:pos="1236"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Section 2.01(f), purchases of Shares will take place on dates selected by the Company in its sole discretion (each, a “</w:t>
      </w:r>
      <w:r>
        <w:rPr>
          <w:rFonts w:ascii="Times New Roman" w:cs="Times New Roman" w:eastAsia="Times New Roman" w:hAnsi="Times New Roman"/>
          <w:sz w:val="17"/>
          <w:szCs w:val="17"/>
          <w:u w:val="single" w:color="auto"/>
          <w:color w:val="auto"/>
        </w:rPr>
        <w:t>Capital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Drawdown Date</w:t>
      </w:r>
      <w:r>
        <w:rPr>
          <w:rFonts w:ascii="Times New Roman" w:cs="Times New Roman" w:eastAsia="Times New Roman" w:hAnsi="Times New Roman"/>
          <w:sz w:val="17"/>
          <w:szCs w:val="17"/>
          <w:color w:val="auto"/>
        </w:rPr>
        <w:t>,” and the initial Capital Drawdown Date, the “</w:t>
      </w:r>
      <w:r>
        <w:rPr>
          <w:rFonts w:ascii="Times New Roman" w:cs="Times New Roman" w:eastAsia="Times New Roman" w:hAnsi="Times New Roman"/>
          <w:sz w:val="17"/>
          <w:szCs w:val="17"/>
          <w:u w:val="single" w:color="auto"/>
          <w:color w:val="auto"/>
        </w:rPr>
        <w:t>Effective Date</w:t>
      </w:r>
      <w:r>
        <w:rPr>
          <w:rFonts w:ascii="Times New Roman" w:cs="Times New Roman" w:eastAsia="Times New Roman" w:hAnsi="Times New Roman"/>
          <w:sz w:val="17"/>
          <w:szCs w:val="17"/>
          <w:color w:val="auto"/>
        </w:rPr>
        <w:t>”) and shall be made in accordance with the provisions of Section 1.01(b).</w:t>
      </w:r>
    </w:p>
    <w:p>
      <w:pPr>
        <w:spacing w:after="0" w:line="139" w:lineRule="exact"/>
        <w:rPr>
          <w:rFonts w:ascii="Times New Roman" w:cs="Times New Roman" w:eastAsia="Times New Roman" w:hAnsi="Times New Roman"/>
          <w:sz w:val="17"/>
          <w:szCs w:val="17"/>
          <w:color w:val="auto"/>
        </w:rPr>
      </w:pPr>
    </w:p>
    <w:p>
      <w:pPr>
        <w:ind w:right="40" w:firstLine="987"/>
        <w:spacing w:after="0" w:line="258" w:lineRule="auto"/>
        <w:tabs>
          <w:tab w:leader="none" w:pos="1246"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deliver to the Subscriber, at least ten (10) Business Days prior to each Capital Drawdown Date, a notice substantially in the form of Appendix B (each, a “</w:t>
      </w:r>
      <w:r>
        <w:rPr>
          <w:rFonts w:ascii="Times New Roman" w:cs="Times New Roman" w:eastAsia="Times New Roman" w:hAnsi="Times New Roman"/>
          <w:sz w:val="18"/>
          <w:szCs w:val="18"/>
          <w:u w:val="single" w:color="auto"/>
          <w:color w:val="auto"/>
        </w:rPr>
        <w:t>Funding Notice</w:t>
      </w:r>
      <w:r>
        <w:rPr>
          <w:rFonts w:ascii="Times New Roman" w:cs="Times New Roman" w:eastAsia="Times New Roman" w:hAnsi="Times New Roman"/>
          <w:sz w:val="18"/>
          <w:szCs w:val="18"/>
          <w:color w:val="auto"/>
        </w:rPr>
        <w:t>”) setting forth (i) the Capital Drawdown Date, (ii) the aggregate Drawdown Purchase Price, (iv) the aggregate amount of contributions made by the Subscriber, (v) the Unused Capital Commitment of the Subscriber and (v) the account to which the Drawdown Purchase Price should be wired. For the purposes of this Agreement, the term “Business Day” shall have the meaning ascribed to it in Rule 14d-1(g)(3) under the Securities Act of 1934, as amended (the “</w:t>
      </w:r>
      <w:r>
        <w:rPr>
          <w:rFonts w:ascii="Times New Roman" w:cs="Times New Roman" w:eastAsia="Times New Roman" w:hAnsi="Times New Roman"/>
          <w:sz w:val="18"/>
          <w:szCs w:val="18"/>
          <w:u w:val="single" w:color="auto"/>
          <w:color w:val="auto"/>
        </w:rPr>
        <w:t>1934 Act</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right="160" w:firstLine="987"/>
        <w:spacing w:after="0" w:line="282" w:lineRule="auto"/>
        <w:tabs>
          <w:tab w:leader="none" w:pos="1236"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of a Funding Notice to the Subscriber shall be the sole and exclusive condition to the Subscriber’s obligation to pay the Drawdown Share Purchase Price identified in each Funding Notice.</w:t>
      </w:r>
    </w:p>
    <w:p>
      <w:pPr>
        <w:spacing w:after="0" w:line="161" w:lineRule="exact"/>
        <w:rPr>
          <w:rFonts w:ascii="Times New Roman" w:cs="Times New Roman" w:eastAsia="Times New Roman" w:hAnsi="Times New Roman"/>
          <w:sz w:val="18"/>
          <w:szCs w:val="18"/>
          <w:color w:val="auto"/>
        </w:rPr>
      </w:pPr>
    </w:p>
    <w:p>
      <w:pPr>
        <w:ind w:right="320" w:firstLine="987"/>
        <w:spacing w:after="0" w:line="282" w:lineRule="auto"/>
        <w:tabs>
          <w:tab w:leader="none" w:pos="1246"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each Capital Drawdown Date, the Subscriber shall pay the Drawdown Purchase Price to the Company by bank wire transfer in immediately available funds in U.S. dollars to the account specified in the Funding Notice.</w:t>
      </w:r>
    </w:p>
    <w:p>
      <w:pPr>
        <w:spacing w:after="0" w:line="161" w:lineRule="exact"/>
        <w:rPr>
          <w:rFonts w:ascii="Times New Roman" w:cs="Times New Roman" w:eastAsia="Times New Roman" w:hAnsi="Times New Roman"/>
          <w:sz w:val="18"/>
          <w:szCs w:val="18"/>
          <w:color w:val="auto"/>
        </w:rPr>
      </w:pPr>
    </w:p>
    <w:p>
      <w:pPr>
        <w:ind w:right="160" w:firstLine="987"/>
        <w:spacing w:after="0" w:line="282" w:lineRule="auto"/>
        <w:tabs>
          <w:tab w:leader="none" w:pos="1236"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intends to appoint State Street Bank and Trust Company as transfer agent and registrar for the Shares, unless and until the Company, in its sole discretion, decides to appoint another third party to act in one or both of those capacities.</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440" w:top="270" w:right="519" w:bottom="1440" w:gutter="0" w:footer="0" w:header="0"/>
        </w:sectPr>
      </w:pPr>
    </w:p>
    <w:bookmarkStart w:id="151" w:name="page152"/>
    <w:bookmarkEnd w:id="151"/>
    <w:p>
      <w:pPr>
        <w:ind w:left="4" w:right="20" w:firstLine="987"/>
        <w:spacing w:after="0" w:line="270" w:lineRule="auto"/>
        <w:tabs>
          <w:tab w:leader="none" w:pos="1220" w:val="left"/>
        </w:tabs>
        <w:numPr>
          <w:ilvl w:val="1"/>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 the earlier of (i) the date of an Exchange Listing (as defined below), if any, and (ii) five (5) years following the Effective Date, any Unused Capital Commitment (other than any Defaulted Commitment) shall automatically be reduced to zero, except to the extent necessary to pay amounts due under Funding Notices that the Company may thereafter issue to: (a) pay Company expenses, including management fees, amounts that may become due under any borrowings or other financings or similar obligations, or indemnity obligations, (b) complete investments in any transactions</w:t>
      </w:r>
    </w:p>
    <w:p>
      <w:pPr>
        <w:spacing w:after="0" w:line="2"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the Adviser has allocated to the Company, (2) to which the Adviser has committed the Company to proceed as of the end of the</w:t>
      </w:r>
    </w:p>
    <w:p>
      <w:pPr>
        <w:spacing w:after="0" w:line="9" w:lineRule="exact"/>
        <w:rPr>
          <w:rFonts w:ascii="Times New Roman" w:cs="Times New Roman" w:eastAsia="Times New Roman" w:hAnsi="Times New Roman"/>
          <w:sz w:val="18"/>
          <w:szCs w:val="18"/>
          <w:color w:val="auto"/>
        </w:rPr>
      </w:pPr>
    </w:p>
    <w:p>
      <w:pPr>
        <w:ind w:left="4" w:right="10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Commitment Period (including investments that are funded in phases), and (3) with deferred purchase price payments, contingent purchase price payments, milestone payments or other phased payments or payments for other staged funding obligations or similar arrangements, (c) fund follow-on investments made in existing portfolio companies within three years from the end of the Commitment Period that, in the aggregate, do not exceed five percent (5%) of total Capital Commitments, (d) fund obligations under any Company guarantee and (e) fulfill obligations with respect to any Defaulted Commitment. An “Exchange Listing” is a quotation or listing of the Fund’s securities on a national securities exchange (including through an initial public offering) or a sale of all or substantially all of our assets to, or a merger or other liquidity transaction with, an entity in which the Fund’s Shareholders receive shares of a publicly-traded company which continues to be managed by the Adviser or an affiliate thereof.</w:t>
      </w:r>
    </w:p>
    <w:p>
      <w:pPr>
        <w:spacing w:after="0" w:line="188" w:lineRule="exact"/>
        <w:rPr>
          <w:rFonts w:ascii="Times New Roman" w:cs="Times New Roman" w:eastAsia="Times New Roman" w:hAnsi="Times New Roman"/>
          <w:sz w:val="18"/>
          <w:szCs w:val="18"/>
          <w:color w:val="auto"/>
        </w:rPr>
      </w:pPr>
    </w:p>
    <w:p>
      <w:pPr>
        <w:ind w:left="4" w:firstLine="987"/>
        <w:spacing w:after="0" w:line="253" w:lineRule="auto"/>
        <w:tabs>
          <w:tab w:leader="none" w:pos="125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this Agreement, the Company shall have the right (a “</w:t>
      </w:r>
      <w:r>
        <w:rPr>
          <w:rFonts w:ascii="Times New Roman" w:cs="Times New Roman" w:eastAsia="Times New Roman" w:hAnsi="Times New Roman"/>
          <w:sz w:val="18"/>
          <w:szCs w:val="18"/>
          <w:u w:val="single" w:color="auto"/>
          <w:color w:val="auto"/>
        </w:rPr>
        <w:t>Limited Exclusion Right</w:t>
      </w:r>
      <w:r>
        <w:rPr>
          <w:rFonts w:ascii="Times New Roman" w:cs="Times New Roman" w:eastAsia="Times New Roman" w:hAnsi="Times New Roman"/>
          <w:sz w:val="18"/>
          <w:szCs w:val="18"/>
          <w:color w:val="auto"/>
        </w:rPr>
        <w:t>”) to exclude any Subscriber (such Subscriber, an “</w:t>
      </w:r>
      <w:r>
        <w:rPr>
          <w:rFonts w:ascii="Times New Roman" w:cs="Times New Roman" w:eastAsia="Times New Roman" w:hAnsi="Times New Roman"/>
          <w:sz w:val="18"/>
          <w:szCs w:val="18"/>
          <w:u w:val="single" w:color="auto"/>
          <w:color w:val="auto"/>
        </w:rPr>
        <w:t>Excluded Subscriber</w:t>
      </w:r>
      <w:r>
        <w:rPr>
          <w:rFonts w:ascii="Times New Roman" w:cs="Times New Roman" w:eastAsia="Times New Roman" w:hAnsi="Times New Roman"/>
          <w:sz w:val="18"/>
          <w:szCs w:val="18"/>
          <w:color w:val="auto"/>
        </w:rPr>
        <w:t>”) in whole or in part from purchasing Shares from the Company on any Capital Drawdown date or receiving any Shares pursuant to the Company’s dividend reinvestment program if the Company determines necessary or desirable in order to facilitate compliance with ERISA (as defined below), the Plan Asset Regulations (as defined below) or any other applicable legal, regulatory, tax or similar regime, including if the Company reasonably believes that such Subscriber’s purchase of Shares at such time could (i) result in a violation of, or noncompliance with, or cause potential future restrictions under, any law or regulation to which such Subscriber, the Company, the Adviser, any Other Subscriber or a portfolio company would be subject or (ii) cause the investments of “benefit plan investors” (within the meaning of the U.S. Employee Retirement Income Security Act of 1974, as amended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and certain Department of Labor regulations, as modified by Section 3(42) of ERISA (the “</w:t>
      </w:r>
      <w:r>
        <w:rPr>
          <w:rFonts w:ascii="Times New Roman" w:cs="Times New Roman" w:eastAsia="Times New Roman" w:hAnsi="Times New Roman"/>
          <w:sz w:val="18"/>
          <w:szCs w:val="18"/>
          <w:u w:val="single" w:color="auto"/>
          <w:color w:val="auto"/>
        </w:rPr>
        <w:t>Plan Asset Regulations</w:t>
      </w:r>
      <w:r>
        <w:rPr>
          <w:rFonts w:ascii="Times New Roman" w:cs="Times New Roman" w:eastAsia="Times New Roman" w:hAnsi="Times New Roman"/>
          <w:sz w:val="18"/>
          <w:szCs w:val="18"/>
          <w:color w:val="auto"/>
        </w:rPr>
        <w:t>”)) to be “significant” within the meaning of the Plan Asset Regulations and the assets of the Company to be considered “plan assets” under ERISA or Section 4975 of the U.S.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ind w:left="4" w:right="4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Pledging</w:t>
      </w:r>
      <w:r>
        <w:rPr>
          <w:rFonts w:ascii="Times New Roman" w:cs="Times New Roman" w:eastAsia="Times New Roman" w:hAnsi="Times New Roman"/>
          <w:sz w:val="18"/>
          <w:szCs w:val="18"/>
          <w:color w:val="auto"/>
        </w:rPr>
        <w:t>. (a) Without limiting the generality of the foregoing, the Subscriber specifically agrees and consents that the Company may, at any time, and without further notice to or consent from the Subscriber (except to the extent otherwise provided in this Agreement), grant security over (and, in connection therewith, Transfer (as defined in Section 4.01(e)(i))) its right to draw down capital from the Subscriber pursuant to Section 2.01, and the Company’s right to receive the Drawdown Share Purchase Price (and any related rights of the Company), to lenders or other creditors of the Company, in connection with any indebtedness, guarantee or surety of the Company; provided that, for the avoidance of doubt, any such grantee’s right to draw down capital shall be subject to the limitations on the Company’s right to draw down capital pursuant to Section 2.01.</w:t>
      </w:r>
    </w:p>
    <w:p>
      <w:pPr>
        <w:spacing w:after="0" w:line="187" w:lineRule="exact"/>
        <w:rPr>
          <w:sz w:val="20"/>
          <w:szCs w:val="20"/>
          <w:color w:val="auto"/>
        </w:rPr>
      </w:pPr>
    </w:p>
    <w:p>
      <w:pPr>
        <w:ind w:left="4" w:right="80" w:firstLine="987"/>
        <w:spacing w:after="0" w:line="282" w:lineRule="auto"/>
        <w:tabs>
          <w:tab w:leader="none" w:pos="125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Subscriber acknowledges that the Company may enter into a credit facility (the “</w:t>
      </w:r>
      <w:r>
        <w:rPr>
          <w:rFonts w:ascii="Times New Roman" w:cs="Times New Roman" w:eastAsia="Times New Roman" w:hAnsi="Times New Roman"/>
          <w:sz w:val="18"/>
          <w:szCs w:val="18"/>
          <w:u w:val="single" w:color="auto"/>
          <w:color w:val="auto"/>
        </w:rPr>
        <w:t>Facility</w:t>
      </w:r>
      <w:r>
        <w:rPr>
          <w:rFonts w:ascii="Times New Roman" w:cs="Times New Roman" w:eastAsia="Times New Roman" w:hAnsi="Times New Roman"/>
          <w:sz w:val="18"/>
          <w:szCs w:val="18"/>
          <w:color w:val="auto"/>
        </w:rPr>
        <w:t>”) and in connection with the Facility, the Company may grant security over such rights to the administrative agent, or equivalent, under the Facility for the benefit of the lenders thereunder.</w:t>
      </w:r>
    </w:p>
    <w:p>
      <w:pPr>
        <w:spacing w:after="0" w:line="161" w:lineRule="exact"/>
        <w:rPr>
          <w:rFonts w:ascii="Times New Roman" w:cs="Times New Roman" w:eastAsia="Times New Roman" w:hAnsi="Times New Roman"/>
          <w:sz w:val="18"/>
          <w:szCs w:val="18"/>
          <w:color w:val="auto"/>
        </w:rPr>
      </w:pPr>
    </w:p>
    <w:p>
      <w:pPr>
        <w:ind w:left="4" w:right="60" w:firstLine="987"/>
        <w:spacing w:after="0" w:line="258" w:lineRule="auto"/>
        <w:tabs>
          <w:tab w:leader="none" w:pos="12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Subscriber further acknowledges that under the terms of this Agreement, the Subscriber is obligated to fund its Unused Capital Commitment required on account of Funding Notices duly delivered in accordance with this Agreement (including, without limitation, Funding Notices delivered on behalf of the Company by the Agent after an event of default under the Facility or any other borrowing agreement) without deduction, offset, counterclaim or defense. The Subscriber hereby waives all defenses to such funding, including all suretyship defenses and any defenses that may be provided by Section 365(c)(2) of the United States Bankruptcy Code.</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70" w:right="459" w:bottom="1440" w:gutter="0" w:footer="0" w:header="0"/>
        </w:sectPr>
      </w:pPr>
    </w:p>
    <w:bookmarkStart w:id="152" w:name="page153"/>
    <w:bookmarkEnd w:id="152"/>
    <w:p>
      <w:pPr>
        <w:ind w:firstLine="987"/>
        <w:spacing w:after="0" w:line="254" w:lineRule="auto"/>
        <w:tabs>
          <w:tab w:leader="none" w:pos="1246"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execution, delivery and performance of this Agreement by the Subscriber does not and will not result in a breach of any of the terms, conditions or provisions of, or constitute a default under, any indenture, mortgage, deed of trust, credit agreement, note or other evidence of indebtedness, or any lease or other agreement, or any license, permit, franchise or certificate, to which the Subscriber is a party or by which it is bound or to which any of its properties are subject, or require any authorization or approval under or pursuant to any of the foregoing, violate the organizational documents of the Subscriber, or violate in any material respect any statute, regulation, law, order, writ, injunction or decree to which the Subscriber is subject. The Subscriber has obtained all authorizations, consents, approvals and clearances of all courts, governmental agencies and authorities and such other persons, if any, required to permit the Subscriber to enter into this Agreement and to consummate the transactions contemplated hereby and thereby.</w:t>
      </w:r>
    </w:p>
    <w:p>
      <w:pPr>
        <w:spacing w:after="0" w:line="191" w:lineRule="exact"/>
        <w:rPr>
          <w:rFonts w:ascii="Times New Roman" w:cs="Times New Roman" w:eastAsia="Times New Roman" w:hAnsi="Times New Roman"/>
          <w:sz w:val="18"/>
          <w:szCs w:val="18"/>
          <w:color w:val="auto"/>
        </w:rPr>
      </w:pPr>
    </w:p>
    <w:p>
      <w:pPr>
        <w:ind w:right="280" w:firstLine="987"/>
        <w:spacing w:after="0" w:line="282" w:lineRule="auto"/>
        <w:tabs>
          <w:tab w:leader="none" w:pos="1236"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Subscriber agrees that all payments made by the Subscriber under this Agreement shall be made by wire transfer to the account identified in the Funding Notice.</w:t>
      </w:r>
    </w:p>
    <w:p>
      <w:pPr>
        <w:spacing w:after="0" w:line="162"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Dividends; Dividend Reinvestment Program</w:t>
      </w:r>
      <w:r>
        <w:rPr>
          <w:rFonts w:ascii="Times New Roman" w:cs="Times New Roman" w:eastAsia="Times New Roman" w:hAnsi="Times New Roman"/>
          <w:sz w:val="18"/>
          <w:szCs w:val="18"/>
          <w:color w:val="auto"/>
        </w:rPr>
        <w:t xml:space="preserve"> . (a) As described more fully in the Memorandum, the Company generally intends to distribute, out of assets legally available for distribution, substantially all of its available earnings, on a quarterly basis, as determined by the Company’s Board of Trustees (the “Board”) in its discretion. Prior to the occurrence of an Exchange Listing, the Company will reinvest all cash dividends declared by the Board on behalf of Subscribers who do not elect to receive their dividends in cash, crediting to each such Subscriber a number of Shares equal to the quotient determined by dividing the cash value of the dividend payable to such Subscriber by the Per Share NAV as of the last day of the Company’s fiscal quarter immediately preceding the date such dividend was declared. The Subscriber may elect to receive any or all such dividends in cash by notifying the Adviser in writing so that notice is received by the plan administrator no later than ten (10) days prior to the record date for the first dividend that the Subscriber wishes to receive in that form, using the form of notice contained in Appendix C. The Subscriber and the Company agree and acknowledge that any dividends received by the Subscriber or reinvested by the Company on the Subscriber’s behalf shall have no effect on the amount of the Subscriber’s Unfunded Commitment.</w:t>
      </w:r>
    </w:p>
    <w:p>
      <w:pPr>
        <w:spacing w:after="0" w:line="194" w:lineRule="exact"/>
        <w:rPr>
          <w:sz w:val="20"/>
          <w:szCs w:val="20"/>
          <w:color w:val="auto"/>
        </w:rPr>
      </w:pPr>
    </w:p>
    <w:p>
      <w:pPr>
        <w:jc w:val="both"/>
        <w:ind w:right="20" w:firstLine="987"/>
        <w:spacing w:after="0" w:line="261" w:lineRule="auto"/>
        <w:tabs>
          <w:tab w:leader="none" w:pos="1246"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represents and warrants that it shall not make any distributions consisting of securities that are not Marketable Securities except in connection with liquidation distributions pursuant to Section 12.1 of the Charter. “</w:t>
      </w:r>
      <w:r>
        <w:rPr>
          <w:rFonts w:ascii="Times New Roman" w:cs="Times New Roman" w:eastAsia="Times New Roman" w:hAnsi="Times New Roman"/>
          <w:sz w:val="18"/>
          <w:szCs w:val="18"/>
          <w:u w:val="single" w:color="auto"/>
          <w:color w:val="auto"/>
        </w:rPr>
        <w:t>Marketable Securities</w:t>
      </w:r>
      <w:r>
        <w:rPr>
          <w:rFonts w:ascii="Times New Roman" w:cs="Times New Roman" w:eastAsia="Times New Roman" w:hAnsi="Times New Roman"/>
          <w:sz w:val="18"/>
          <w:szCs w:val="18"/>
          <w:color w:val="auto"/>
        </w:rPr>
        <w:t>” means securities which are traded or quoted on the New York Stock Exchange, American Stock Exchange or the Nasdaq Global Market or on a comparable securities market or exchange now or in the future.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III</w:t>
      </w:r>
    </w:p>
    <w:p>
      <w:pPr>
        <w:spacing w:after="0" w:line="225"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Remedies Upon Subscriber Default</w:t>
      </w:r>
      <w:r>
        <w:rPr>
          <w:rFonts w:ascii="Times New Roman" w:cs="Times New Roman" w:eastAsia="Times New Roman" w:hAnsi="Times New Roman"/>
          <w:sz w:val="18"/>
          <w:szCs w:val="18"/>
          <w:color w:val="auto"/>
        </w:rPr>
        <w:t xml:space="preserve"> . In the event that a Subscriber fails to pay all or any portion of the purchase price due from such Subscriber on any Capital Drawdown Date (such amount, together with the full amount of such Subscriber’s remaining Capital Commitment, a “Defaulted Commitment”) and such default remains uncured for a period of ten (10) Business Days (the date after the expiration of such period, the “Default Date”), the Company shall be permitted to declare such Subscriber to be in default of its obligations under this Agreement (any such Subscriber, a “Defaulting Subscriber”) and shall be permitted to pursue one or any combination of the following remedies:</w:t>
      </w:r>
    </w:p>
    <w:p>
      <w:pPr>
        <w:spacing w:after="0" w:line="75" w:lineRule="exact"/>
        <w:rPr>
          <w:sz w:val="20"/>
          <w:szCs w:val="20"/>
          <w:color w:val="auto"/>
        </w:rPr>
      </w:pPr>
    </w:p>
    <w:p>
      <w:pPr>
        <w:ind w:left="5460" w:right="520" w:hanging="4473"/>
        <w:spacing w:after="0" w:line="454" w:lineRule="auto"/>
        <w:tabs>
          <w:tab w:leader="none" w:pos="1233"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prohibit the Defaulting Subscriber from purchasing additional Shares on any future Capital Drawdown Date. 5</w:t>
      </w:r>
    </w:p>
    <w:p>
      <w:pPr>
        <w:sectPr>
          <w:pgSz w:w="11900" w:h="16838" w:orient="portrait"/>
          <w:cols w:equalWidth="0" w:num="1">
            <w:col w:w="11000"/>
          </w:cols>
          <w:pgMar w:left="440" w:top="270" w:right="459" w:bottom="1440" w:gutter="0" w:footer="0" w:header="0"/>
        </w:sectPr>
      </w:pPr>
    </w:p>
    <w:bookmarkStart w:id="153" w:name="page154"/>
    <w:bookmarkEnd w:id="153"/>
    <w:p>
      <w:pPr>
        <w:ind w:left="-20" w:firstLine="987"/>
        <w:spacing w:after="0" w:line="252" w:lineRule="auto"/>
        <w:tabs>
          <w:tab w:leader="none" w:pos="122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Fifty percent (50%) of the Shares then held by the Defaulting Subscriber shall be automatically transferred on the books of the Company, without any further action being required on the part of the Company or the Defaulting Subscriber, to the Other Subscribers (other than any defaulting Other Subscriber),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in accordance with their respective Capital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that notwithstanding anything to the contrary contained in this Agreement, no Shares shall be transferred to any Other Subscriber pursuant to this Section 3.01(b) in the event that such transfer would (x) violate the Securities Act, the 1940 Act or any state (or other jurisdiction) securities or “Blue Sky” laws applicable to the Company or such Transfer, (y) constitute a non-exempt “prohibited transaction” under Section 406 of ERISA or Section 4975 of the Code or (z) cause all or any portion of the assets of the Company to constitute “plan assets” under ERISA or Section 4975 of the Code (it being understood that this proviso shall operate only to extent necessary to avoid the occurrence of the consequences contemplated herein and shall not prevent the Subscriber from receiving a partial allocation of its pro rata portion of Shares);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any Shares that have not been transferred to one (1) or more Other Subscribers pursuant to the previous proviso shall be allocated among the participating Other Subscribers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in accordance with their respective Capital Commitments. The mechanism described in this Section 3.01(b) is intended to operate as a liquidated damage provision, since the damage to Other Subscribers resulting from a default by the Defaulting Subscriber is both significant and not easily susceptible to precise quantification. By entry into this Agreement, the Subscriber agrees to this transfer and acknowledges that it constitutes a reasonable liquidated damage remedy for any default in the Subscriber’s obligation of the type described.</w:t>
      </w:r>
    </w:p>
    <w:p>
      <w:pPr>
        <w:spacing w:after="0" w:line="197" w:lineRule="exact"/>
        <w:rPr>
          <w:rFonts w:ascii="Times New Roman" w:cs="Times New Roman" w:eastAsia="Times New Roman" w:hAnsi="Times New Roman"/>
          <w:sz w:val="18"/>
          <w:szCs w:val="18"/>
          <w:color w:val="auto"/>
        </w:rPr>
      </w:pPr>
    </w:p>
    <w:p>
      <w:pPr>
        <w:ind w:left="-20" w:right="40" w:firstLine="987"/>
        <w:spacing w:after="0" w:line="261" w:lineRule="auto"/>
        <w:tabs>
          <w:tab w:leader="none" w:pos="121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Default Date, the Adviser may, in its sole discretion, reduce the Capital Commitment and Unused Capital Commitment of a Defaulting Subscriber to zero. Each Defaulting Subscriber shall remain fully liable (x) to the creditors of the Company, to the extent provided by law and (y) for the full amount of any other Capital Commitments for which such Defaulting Subscriber is liable pursuant to clause (a) of paragraph 2.01(f), in each case as if such default had not occurred.</w:t>
      </w:r>
    </w:p>
    <w:p>
      <w:pPr>
        <w:spacing w:after="0" w:line="179" w:lineRule="exact"/>
        <w:rPr>
          <w:rFonts w:ascii="Times New Roman" w:cs="Times New Roman" w:eastAsia="Times New Roman" w:hAnsi="Times New Roman"/>
          <w:sz w:val="18"/>
          <w:szCs w:val="18"/>
          <w:color w:val="auto"/>
        </w:rPr>
      </w:pPr>
    </w:p>
    <w:p>
      <w:pPr>
        <w:ind w:left="-20" w:right="40" w:firstLine="987"/>
        <w:spacing w:after="0" w:line="269" w:lineRule="auto"/>
        <w:tabs>
          <w:tab w:leader="none" w:pos="1226"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Adviser may require the non-Defaulting Subscribers to increase their Capital Commitments to the Company with respect to a Funding Notice (other than a Funding Notice in respect of management fees) for which one or more Defaulting Subscribers have defaulted by delivery of a supplemental notice to each non-Defaulting Subscriber indicating the fact that a default has occurred and the additional Capital Commitment required to be made by such Subscriber in respect of such Funding Notice, which additional Capital Commitment shall, subject to paragraph 2.01(g), be determined on the basis of the ratio of such non-Defaulting Subscriber’s Unused Capital Commitment to the sum of the Unused Capital Commitments of all non-Defaulting Subscribers participating in such Funding Notice, in which case each such non-Defaulting Subscriber shall make such additional contribution within ten (10) days after having been given such new notice; provided that (i) except in the case of a Capital Commitment to repay a borrowing by the Company, a Subscriber’s obligations to make additional Capital Commitments pursuant to this paragraph 3.01(e) shall be subject to the provisions of Section 2.01; (ii) no Subscriber shall be obligated to contribute an amount in excess of its Unused Capital Commitment as of such date for such purpose; and (iii) in the event that any non-Defaulting Subscriber increases its Capital Commitment with respect to a Funding Notice in respect of the repayment of borrowings used to pay management fees, the amount of any such increase attributable to management fees owing or paid by or on behalf of a Defaulting Subscriber shall be credited against future obligations of such non-Defaulting Subscriber with respect to management fees.</w:t>
      </w:r>
    </w:p>
    <w:p>
      <w:pPr>
        <w:spacing w:after="0" w:line="178" w:lineRule="exact"/>
        <w:rPr>
          <w:rFonts w:ascii="Times New Roman" w:cs="Times New Roman" w:eastAsia="Times New Roman" w:hAnsi="Times New Roman"/>
          <w:sz w:val="17"/>
          <w:szCs w:val="17"/>
          <w:color w:val="auto"/>
        </w:rPr>
      </w:pPr>
    </w:p>
    <w:p>
      <w:pPr>
        <w:ind w:left="-20" w:right="120" w:firstLine="987"/>
        <w:spacing w:after="0" w:line="258" w:lineRule="auto"/>
        <w:tabs>
          <w:tab w:leader="none" w:pos="121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 may, in its sole discretion, cause a Defaulting Subscriber to sell its Shares in the Company or any portion thereof to any person (including any other Subscriber) effective immediately upon written notice to such Defaulting Subscriber. Such Defaulting Subscriber’s Shares may be sold for the lesser of (i) the net asset value of such Defaulting Subscriber’s Shares and (ii) the aggregate amount of Capital Contributions made by the Defaulting Subscriber less any distributions previously received by such Defaulting Subscriber pursuant to Article Two and less any actual or anticipated expenses, deductions or losses allocated to the Defaulting Subscriber, in each case reduced by up to fifty percent (50%).</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60"/>
          </w:cols>
          <w:pgMar w:left="460" w:top="270" w:right="479" w:bottom="1440" w:gutter="0" w:footer="0" w:header="0"/>
        </w:sectPr>
      </w:pPr>
    </w:p>
    <w:bookmarkStart w:id="154" w:name="page155"/>
    <w:bookmarkEnd w:id="154"/>
    <w:p>
      <w:pPr>
        <w:ind w:firstLine="987"/>
        <w:spacing w:after="0" w:line="253" w:lineRule="auto"/>
        <w:tabs>
          <w:tab w:leader="none" w:pos="1216"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Subscriber hereby acknowledges that the Adviser and the Company would have no adequate remedy at law for a breach of this Agreement and consents to the application to it of the remedies provided in this paragraph 3.01 in recognition of the risk and speculative damages its default would cause the other Subscribers, and further agrees that the availability or application of such remedies shall not preclude any other remedies which may be available at law, in equity, by statute or otherwise in respect of any default by such Subscriber in the performance of its other obligations under this Agreement. No course of dealing between the Adviser and any Defaulting Subscriber and no delay in exercising any right, power or remedy conferred in this paragraph 3.01 or existing at law or in equity or by statute or otherwise will operate as a waiver or otherwise prejudice any such right, power or remedy. In addition to the foregoing, the Adviser may institute a lawsuit against any Defaulting Subscriber for damages and any other available remedies, including specific performance of its obligation to make Capital Commitments and any other payments to be made hereunder by a Subscriber and to collect any overdue amounts hereunder, with interest on such overdue amounts. Each Subscriber agrees to pay on demand all costs and expenses (including reasonable attorneys’ fees) incurred by or on behalf of the Company in connection with the enforcement of this Agreement against such Subscriber as a result of a default by such Subscriber.</w:t>
      </w:r>
    </w:p>
    <w:p>
      <w:pPr>
        <w:spacing w:after="0" w:line="191" w:lineRule="exact"/>
        <w:rPr>
          <w:rFonts w:ascii="Times New Roman" w:cs="Times New Roman" w:eastAsia="Times New Roman" w:hAnsi="Times New Roman"/>
          <w:sz w:val="18"/>
          <w:szCs w:val="18"/>
          <w:color w:val="auto"/>
        </w:rPr>
      </w:pPr>
    </w:p>
    <w:p>
      <w:pPr>
        <w:ind w:right="340" w:firstLine="987"/>
        <w:spacing w:after="0" w:line="266" w:lineRule="auto"/>
        <w:tabs>
          <w:tab w:leader="none" w:pos="1246"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Subscriber acknowledges that the Adviser may, in its sole discretion, apply different default remedies to each Defaulting Subscriber in light of the specific circumstances applicable to each such Defaulting Subscriber. The remedies available to the Adviser herein may be applied to each separate event of default hereunder by a Subscriber.</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pursue any other remedies against the defaulting Subscriber available to the Company, subject to applicable law.</w:t>
      </w:r>
    </w:p>
    <w:p>
      <w:pPr>
        <w:spacing w:after="0" w:line="225" w:lineRule="exact"/>
        <w:rPr>
          <w:sz w:val="20"/>
          <w:szCs w:val="20"/>
          <w:color w:val="auto"/>
        </w:rPr>
      </w:pPr>
    </w:p>
    <w:p>
      <w:pPr>
        <w:ind w:right="20" w:firstLine="991"/>
        <w:spacing w:after="0" w:line="252"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Key Person Event</w:t>
      </w:r>
      <w:r>
        <w:rPr>
          <w:rFonts w:ascii="Times New Roman" w:cs="Times New Roman" w:eastAsia="Times New Roman" w:hAnsi="Times New Roman"/>
          <w:sz w:val="18"/>
          <w:szCs w:val="18"/>
          <w:color w:val="auto"/>
        </w:rPr>
        <w:t xml:space="preserve"> . (a) A key person event shall occur if, at any time prior to the earlier to occur of (i) an Exchange Listing and (ii) five (5) years following the Effective Date, at least four (4) of the Senior Professionals (as defined below) fail to devote their Requisite Time and Attention (as defined below) (a “Key Person Event”); provided, that the Adviser will have the right during the three (3) month period following the failure of the requisite number of Senior Professionals to comply with the foregoing (the “Replacement Period”) to replace one (1) or more Senior Professionals with one (1) or more individuals approved by holders of a majority of the outstanding Shares of the Company (and, during the Replacement Period, the ability to make new portfolio investments will be suspended, but the Company may (A) proceed with any investments, including any investment that is closed or funded in phases, as to which the Company had committed (whether or not there are any conditions on a party’s obligation to proceed with the transaction), but which investments had not yet been made, as of the date on which the requisite number of Senior Professionals failed to comply with their Requisite Time and Attention and (B) satisfy any ongoing investment obligations required in connection with investments as to which the Company has paid a portion of the purchase price as of the date on which the requisite number of Senior Professionals failed to comply with their Requisite Time and Attention, but a Key Person Event will be deemed not to have occurred). In the event the requisite number of Senior Professionals fail to devote their Requisite Time and Attention, the Company shall send written notice to the Subscribers within a reasonable period of time of such occurrence. At any time during the Replacement Period the Company is permitted to elect to, and following the end of the Replacement Period, if the Senior Professionals have not been replaced by the Adviser in accordance with Section 3.02(b), the Company shall promptly convene a special meeting of the shareholders for the purpose of determining whether the Commitment Period of the Company should be terminated. In the event that holders of a majority of the outstanding Shares of the Company vote to terminate the Commitment Period of the Company at such special meeting, any Unused Capital Commitment (other than any Defaulted Commitment) shall automatically be reduced to zero, except</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440" w:top="270" w:right="439" w:bottom="1440" w:gutter="0" w:footer="0" w:header="0"/>
        </w:sectPr>
      </w:pPr>
    </w:p>
    <w:bookmarkStart w:id="155" w:name="page156"/>
    <w:bookmarkEnd w:id="155"/>
    <w:p>
      <w:pPr>
        <w:ind w:right="1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extent necessary to pay amounts due under Funding Notices the Company may thereafter issue as provided in Section 2.01(f). For the avoidance of doubt, unless holders of a majority of the outstanding Shares of the Company vote to terminate the Commitment Period of the Company at such special meeting, the Commitment Period shall resume and continue as of the date of such special meeting.</w:t>
      </w:r>
    </w:p>
    <w:p>
      <w:pPr>
        <w:spacing w:after="0" w:line="176" w:lineRule="exact"/>
        <w:rPr>
          <w:sz w:val="20"/>
          <w:szCs w:val="20"/>
          <w:color w:val="auto"/>
        </w:rPr>
      </w:pPr>
    </w:p>
    <w:p>
      <w:pPr>
        <w:ind w:firstLine="987"/>
        <w:spacing w:after="0" w:line="253" w:lineRule="auto"/>
        <w:tabs>
          <w:tab w:leader="none" w:pos="1246"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Professionals</w:t>
      </w:r>
      <w:r>
        <w:rPr>
          <w:rFonts w:ascii="Times New Roman" w:cs="Times New Roman" w:eastAsia="Times New Roman" w:hAnsi="Times New Roman"/>
          <w:sz w:val="18"/>
          <w:szCs w:val="18"/>
          <w:color w:val="auto"/>
        </w:rPr>
        <w:t>” shall initially mean Brian D’Arcy, Joshua Easterly, Mike Griffin, Michael Fishman, Bo Stanley, David Stiepleman and Alan Waxman and/or any additional or replacement approved by holders of a majority of the outstanding Shares of the Company, it being understood and agreed that the Adviser shall be permitted at any time to replace any person designated as a “</w:t>
      </w:r>
      <w:r>
        <w:rPr>
          <w:rFonts w:ascii="Times New Roman" w:cs="Times New Roman" w:eastAsia="Times New Roman" w:hAnsi="Times New Roman"/>
          <w:sz w:val="18"/>
          <w:szCs w:val="18"/>
          <w:u w:val="single" w:color="auto"/>
          <w:color w:val="auto"/>
        </w:rPr>
        <w:t>Senior Professional</w:t>
      </w:r>
      <w:r>
        <w:rPr>
          <w:rFonts w:ascii="Times New Roman" w:cs="Times New Roman" w:eastAsia="Times New Roman" w:hAnsi="Times New Roman"/>
          <w:sz w:val="18"/>
          <w:szCs w:val="18"/>
          <w:color w:val="auto"/>
        </w:rPr>
        <w:t xml:space="preserve">” with a senior professional selected by the Adviser;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replacement has been approved by holders of a majority of the outstanding Shares of the Company. “</w:t>
      </w:r>
      <w:r>
        <w:rPr>
          <w:rFonts w:ascii="Times New Roman" w:cs="Times New Roman" w:eastAsia="Times New Roman" w:hAnsi="Times New Roman"/>
          <w:sz w:val="18"/>
          <w:szCs w:val="18"/>
          <w:u w:val="single" w:color="auto"/>
          <w:color w:val="auto"/>
        </w:rPr>
        <w:t>Requisite Time and Attention</w:t>
      </w:r>
      <w:r>
        <w:rPr>
          <w:rFonts w:ascii="Times New Roman" w:cs="Times New Roman" w:eastAsia="Times New Roman" w:hAnsi="Times New Roman"/>
          <w:sz w:val="18"/>
          <w:szCs w:val="18"/>
          <w:color w:val="auto"/>
        </w:rPr>
        <w:t>” shall mean the devotion of substantially all of a person’s business time and attention to the affairs of the investment vehicles or programs established or managed by Sixth Street. As used in this definition, (i) “business time and attention” shall exclude time spent on civic and charitable activities and (ii) “affairs of the investment vehicles or programs established or managed by Sixth Street” shall include time and attention spent working on matters related to Sixth Street or its affiliates’ firm governance and management, portfolio investments of the investment vehicles, programs or business units established or managed by Sixth Street and serving on boards of directors, committees and equivalent bodies of portfolio companies or investments of affiliated funds or other Sixth Street related entities.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IV</w:t>
      </w:r>
    </w:p>
    <w:p>
      <w:pPr>
        <w:spacing w:after="0" w:line="225"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Subscriber Representations, Warranties and Covenants.</w:t>
      </w:r>
      <w:r>
        <w:rPr>
          <w:rFonts w:ascii="Times New Roman" w:cs="Times New Roman" w:eastAsia="Times New Roman" w:hAnsi="Times New Roman"/>
          <w:sz w:val="18"/>
          <w:szCs w:val="18"/>
          <w:color w:val="auto"/>
        </w:rPr>
        <w:t xml:space="preserve"> The Subscriber hereby acknowledges, represents and warrants to, and agrees with, the Company as follows:</w:t>
      </w:r>
    </w:p>
    <w:p>
      <w:pPr>
        <w:spacing w:after="0" w:line="54" w:lineRule="exact"/>
        <w:rPr>
          <w:sz w:val="20"/>
          <w:szCs w:val="20"/>
          <w:color w:val="auto"/>
        </w:rPr>
      </w:pPr>
    </w:p>
    <w:p>
      <w:pPr>
        <w:ind w:right="20" w:firstLine="987"/>
        <w:spacing w:after="0" w:line="256" w:lineRule="auto"/>
        <w:tabs>
          <w:tab w:leader="none" w:pos="1236"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authorized, executed and delivered by the Subscriber and, upon due authorization, execution and delivery by the Company, will constitute the valid and legally binding agreement of the Subscriber enforceable in accordance with its terms against the Subscriber, except as such enforceability may be limited by (i) bankruptcy, insolvency, reorganization, fraudulent conveyance, moratorium or other laws of general application relating to or affecting the enforcement of creditors’ rights and remedies, as from time to time in effect; (ii) application of equitable principles (regardless of whether such enforceability is considered in a proceeding in equity or at law); and (iii) considerations of public policy or the effect of applicable law relating to fiduciary duties.</w:t>
      </w:r>
    </w:p>
    <w:p>
      <w:pPr>
        <w:spacing w:after="0" w:line="187" w:lineRule="exact"/>
        <w:rPr>
          <w:rFonts w:ascii="Times New Roman" w:cs="Times New Roman" w:eastAsia="Times New Roman" w:hAnsi="Times New Roman"/>
          <w:sz w:val="18"/>
          <w:szCs w:val="18"/>
          <w:color w:val="auto"/>
        </w:rPr>
      </w:pPr>
    </w:p>
    <w:p>
      <w:pPr>
        <w:ind w:right="680" w:firstLine="987"/>
        <w:spacing w:after="0" w:line="282" w:lineRule="auto"/>
        <w:tabs>
          <w:tab w:leader="none" w:pos="1246"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Subscriber is acquiring the Shares for the Subscriber’s own account as principal for investment and not with a view to the distribution or sale thereof.</w:t>
      </w:r>
    </w:p>
    <w:p>
      <w:pPr>
        <w:spacing w:after="0" w:line="161" w:lineRule="exact"/>
        <w:rPr>
          <w:rFonts w:ascii="Times New Roman" w:cs="Times New Roman" w:eastAsia="Times New Roman" w:hAnsi="Times New Roman"/>
          <w:sz w:val="18"/>
          <w:szCs w:val="18"/>
          <w:color w:val="auto"/>
        </w:rPr>
      </w:pPr>
    </w:p>
    <w:p>
      <w:pPr>
        <w:ind w:right="20" w:firstLine="987"/>
        <w:spacing w:after="0" w:line="282" w:lineRule="auto"/>
        <w:tabs>
          <w:tab w:leader="none" w:pos="1236"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Subscriber is sophisticated and has such knowledge and experience in financial and business matters that the Subscriber is and will be capable of evaluating the merits and risks of the prospective investment in the Shares.</w:t>
      </w:r>
    </w:p>
    <w:p>
      <w:pPr>
        <w:spacing w:after="0" w:line="161" w:lineRule="exact"/>
        <w:rPr>
          <w:rFonts w:ascii="Times New Roman" w:cs="Times New Roman" w:eastAsia="Times New Roman" w:hAnsi="Times New Roman"/>
          <w:sz w:val="18"/>
          <w:szCs w:val="18"/>
          <w:color w:val="auto"/>
        </w:rPr>
      </w:pPr>
    </w:p>
    <w:p>
      <w:pPr>
        <w:ind w:right="140" w:firstLine="987"/>
        <w:spacing w:after="0" w:line="282" w:lineRule="auto"/>
        <w:tabs>
          <w:tab w:leader="none" w:pos="1246"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Subscriber has no need for liquidity in this investment, has the ability to bear the economic risk of this investment, has the ability to retain its Shares for an indefinite period and at the present time and in the foreseeable future can afford a complete loss of this investment.</w:t>
      </w:r>
    </w:p>
    <w:p>
      <w:pPr>
        <w:spacing w:after="0" w:line="162"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(e)(i) The Subscriber understands that the offering and sale of the Shares are intended to be exempt from registration under the U.S. Securities Act of 1933, as amended (the “</w:t>
      </w:r>
      <w:r>
        <w:rPr>
          <w:rFonts w:ascii="Times New Roman" w:cs="Times New Roman" w:eastAsia="Times New Roman" w:hAnsi="Times New Roman"/>
          <w:sz w:val="18"/>
          <w:szCs w:val="18"/>
          <w:u w:val="single" w:color="auto"/>
          <w:color w:val="auto"/>
        </w:rPr>
        <w:t>1933 Act</w:t>
      </w:r>
      <w:r>
        <w:rPr>
          <w:rFonts w:ascii="Times New Roman" w:cs="Times New Roman" w:eastAsia="Times New Roman" w:hAnsi="Times New Roman"/>
          <w:sz w:val="18"/>
          <w:szCs w:val="18"/>
          <w:color w:val="auto"/>
        </w:rPr>
        <w:t>”), applicable U.S. state securities laws and the laws of any non-U.S. jurisdictions by virtue of the private placement exemption from registration provided in Section 4(a)(2) of the 1933 Act, exemptions under applicable U.S. state securities laws and exemptions under the laws of any non-U.S. jurisdictions, and it agrees that any Shares (or beneficial interest therein) acquired by the Subscriber may not be sold, offered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156" w:name="page157"/>
    <w:bookmarkEnd w:id="156"/>
    <w:p>
      <w:pPr>
        <w:ind w:left="4" w:right="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sale, exchanged, transferred, assigned (including an assignment by way of security), pledged, charged, hypothecated, gifted, encumbered or otherwise disposed of, including through the grant of an option, or derivative interest or other right, or the grant of any derivative interest, in respect of such Shares (or beneficial interest therein), whether directly or indirectly, whether voluntarily, involuntarily or by operation of law (each, a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in any manner that would require the Company to register the Shares under the 1933 Act, under any U.S. state securities laws or under the laws of any non-U.S. jurisdictions. The Subscriber understands that the Company requires each investor in the Company to be an “accredited investor” as defined in Rule 501(a) of Regulation D of the 1933 Act (an “</w:t>
      </w:r>
      <w:r>
        <w:rPr>
          <w:rFonts w:ascii="Times New Roman" w:cs="Times New Roman" w:eastAsia="Times New Roman" w:hAnsi="Times New Roman"/>
          <w:sz w:val="18"/>
          <w:szCs w:val="18"/>
          <w:u w:val="single" w:color="auto"/>
          <w:color w:val="auto"/>
        </w:rPr>
        <w:t>Accredited Investor</w:t>
      </w:r>
      <w:r>
        <w:rPr>
          <w:rFonts w:ascii="Times New Roman" w:cs="Times New Roman" w:eastAsia="Times New Roman" w:hAnsi="Times New Roman"/>
          <w:sz w:val="18"/>
          <w:szCs w:val="18"/>
          <w:color w:val="auto"/>
        </w:rPr>
        <w:t>”) and the Subscriber represents and warrants that it is an Accredited Investor.</w:t>
      </w:r>
    </w:p>
    <w:p>
      <w:pPr>
        <w:spacing w:after="0" w:line="79" w:lineRule="exact"/>
        <w:rPr>
          <w:sz w:val="20"/>
          <w:szCs w:val="20"/>
          <w:color w:val="auto"/>
        </w:rPr>
      </w:pPr>
    </w:p>
    <w:p>
      <w:pPr>
        <w:ind w:left="984" w:right="200" w:firstLine="910"/>
        <w:spacing w:after="0" w:line="261" w:lineRule="auto"/>
        <w:tabs>
          <w:tab w:leader="none" w:pos="2151"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Subscriber represents and warrants that it, and, if the Subscriber is not the sole beneficial owner (as defined under Rule 13d-3 of the 1934 Act of its Shares, any such other beneficial owner, has not been subject to or experienced a Disqualifying Event</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xml:space="preserve"> for purposes of Rule 506(d) promulgated under the 1933 Act and that the Subscriber shall provide the Company and the Adviser with prompt written notice if it or any such beneficial owner is subject to, or experiences, a Disqualifying Event.</w:t>
      </w:r>
    </w:p>
    <w:p>
      <w:pPr>
        <w:spacing w:after="0" w:line="152" w:lineRule="exact"/>
        <w:rPr>
          <w:rFonts w:ascii="Times New Roman" w:cs="Times New Roman" w:eastAsia="Times New Roman" w:hAnsi="Times New Roman"/>
          <w:sz w:val="18"/>
          <w:szCs w:val="18"/>
          <w:color w:val="auto"/>
        </w:rPr>
      </w:pPr>
    </w:p>
    <w:p>
      <w:pPr>
        <w:ind w:left="424" w:right="660" w:hanging="432"/>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For purposes of Rule 506(d) promulgated under the 1933 Act, a “</w:t>
      </w:r>
      <w:r>
        <w:rPr>
          <w:rFonts w:ascii="Times New Roman" w:cs="Times New Roman" w:eastAsia="Times New Roman" w:hAnsi="Times New Roman"/>
          <w:sz w:val="18"/>
          <w:szCs w:val="18"/>
          <w:u w:val="single" w:color="auto"/>
          <w:color w:val="auto"/>
        </w:rPr>
        <w:t>Disqualifying Event</w:t>
      </w:r>
      <w:r>
        <w:rPr>
          <w:rFonts w:ascii="Times New Roman" w:cs="Times New Roman" w:eastAsia="Times New Roman" w:hAnsi="Times New Roman"/>
          <w:sz w:val="18"/>
          <w:szCs w:val="18"/>
          <w:color w:val="auto"/>
        </w:rPr>
        <w:t>” has occurred with respect to the Subscriber, or any beneficial owner of the Subscriber, if such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-299085</wp:posOffset>
            </wp:positionV>
            <wp:extent cx="77152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ind w:left="424" w:hanging="424"/>
        <w:spacing w:after="0" w:line="250" w:lineRule="auto"/>
        <w:tabs>
          <w:tab w:leader="none" w:pos="424"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been convicted, within ten years before the date hereof (or five (5) years, in the case of issuers, their predecessors and affiliated issuers), of any felony or misdemeanor: (A) in connection with the purchase or sale of any security; (B) involving the making of any false filing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or (C) arising out of the conduct of the business of an underwriter, broker, dealer, municipal securities dealer, investment adviser or paid solicitor of purchasers of securities;</w:t>
      </w:r>
    </w:p>
    <w:p>
      <w:pPr>
        <w:spacing w:after="0" w:line="1" w:lineRule="exact"/>
        <w:rPr>
          <w:rFonts w:ascii="Times New Roman" w:cs="Times New Roman" w:eastAsia="Times New Roman" w:hAnsi="Times New Roman"/>
          <w:sz w:val="18"/>
          <w:szCs w:val="18"/>
          <w:color w:val="auto"/>
        </w:rPr>
      </w:pPr>
    </w:p>
    <w:p>
      <w:pPr>
        <w:ind w:left="424" w:right="140" w:hanging="424"/>
        <w:spacing w:after="0" w:line="250" w:lineRule="auto"/>
        <w:tabs>
          <w:tab w:leader="none" w:pos="424"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subject to any order, judgment or decree of any court of competent jurisdiction, entered within five (5) years before the date hereof, that, as of the date hereof, restrains or enjoins such person from engaging or continuing to engage in any conduct or practice: (A) in connection with the purchase or sale of any security; (B) involving the making of any false filing with the SEC; or (C) arising out of the conduct of the business of an underwriter, broker, dealer, municipal securities dealer, investment adviser or paid solicitor of purchasers of securities;</w:t>
      </w:r>
    </w:p>
    <w:p>
      <w:pPr>
        <w:spacing w:after="0" w:line="1" w:lineRule="exact"/>
        <w:rPr>
          <w:rFonts w:ascii="Times New Roman" w:cs="Times New Roman" w:eastAsia="Times New Roman" w:hAnsi="Times New Roman"/>
          <w:sz w:val="18"/>
          <w:szCs w:val="18"/>
          <w:color w:val="auto"/>
        </w:rPr>
      </w:pPr>
    </w:p>
    <w:p>
      <w:pPr>
        <w:ind w:left="424" w:right="80" w:hanging="424"/>
        <w:spacing w:after="0" w:line="250" w:lineRule="auto"/>
        <w:tabs>
          <w:tab w:leader="none" w:pos="424"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subject to a final order of a state securities commission (or an agency or officer of a state performing like functions); a state authority that supervises or examines banks, savings associations, or credit unions; a state insurance commission (or an agency or officer of a state performing like functions); an appropriate federal banking agency; the CFTC (as defined herein); or the National Credit Union Administration that: (A) as of the date hereof, bars the person from: (1) association with an entity regulated by such commission, authority, agency, or officer; (2) engaging in the business of securities, insurance or banking; or (3) engaging in savings association or credit union activities; or (B) constitutes a final order based on a violation of any law or regulation that prohibits fraudulent, manipulative, or deceptive conduct entered within ten years before the date hereof;</w:t>
      </w:r>
    </w:p>
    <w:p>
      <w:pPr>
        <w:spacing w:after="0" w:line="2" w:lineRule="exact"/>
        <w:rPr>
          <w:rFonts w:ascii="Times New Roman" w:cs="Times New Roman" w:eastAsia="Times New Roman" w:hAnsi="Times New Roman"/>
          <w:sz w:val="18"/>
          <w:szCs w:val="18"/>
          <w:color w:val="auto"/>
        </w:rPr>
      </w:pPr>
    </w:p>
    <w:p>
      <w:pPr>
        <w:ind w:left="424" w:right="40" w:hanging="424"/>
        <w:spacing w:after="0" w:line="250" w:lineRule="auto"/>
        <w:tabs>
          <w:tab w:leader="none" w:pos="424"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subject to an order of the SEC entered pursuant to Section 15(b) or 15B(c) of the Exchange Act or Section 203(e) or (f) of the U.S. Investment Advisers Act of 1940, as amended from time to time (the “</w:t>
      </w:r>
      <w:r>
        <w:rPr>
          <w:rFonts w:ascii="Times New Roman" w:cs="Times New Roman" w:eastAsia="Times New Roman" w:hAnsi="Times New Roman"/>
          <w:sz w:val="18"/>
          <w:szCs w:val="18"/>
          <w:u w:val="single" w:color="auto"/>
          <w:color w:val="auto"/>
        </w:rPr>
        <w:t>Advisers Act</w:t>
      </w:r>
      <w:r>
        <w:rPr>
          <w:rFonts w:ascii="Times New Roman" w:cs="Times New Roman" w:eastAsia="Times New Roman" w:hAnsi="Times New Roman"/>
          <w:sz w:val="18"/>
          <w:szCs w:val="18"/>
          <w:color w:val="auto"/>
        </w:rPr>
        <w:t>”) that, as of the date hereof: (A) suspends or revokes such person’s registration as a broker, dealer, municipal securities dealer or investment adviser; (B) places limitations on the activities, functions or operations of such person; or (C) bars such person from being associated with any entity or from participating in the offering of any penny stock;</w:t>
      </w:r>
    </w:p>
    <w:p>
      <w:pPr>
        <w:spacing w:after="0" w:line="1" w:lineRule="exact"/>
        <w:rPr>
          <w:rFonts w:ascii="Times New Roman" w:cs="Times New Roman" w:eastAsia="Times New Roman" w:hAnsi="Times New Roman"/>
          <w:sz w:val="18"/>
          <w:szCs w:val="18"/>
          <w:color w:val="auto"/>
        </w:rPr>
      </w:pPr>
    </w:p>
    <w:p>
      <w:pPr>
        <w:ind w:left="424" w:right="180" w:hanging="424"/>
        <w:spacing w:after="0" w:line="253" w:lineRule="auto"/>
        <w:tabs>
          <w:tab w:leader="none" w:pos="424"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subject to any order of the SEC entered within five (5) years before the date hereof that, as of the date hereof, orders the person to cease and desist from committing or causing a violation or future violation of: (A) any scienter-based anti-fraud provision of the federal securities laws, including without limitation Section 17(a)(1) of the 1933 Act, Section 10(b) of the Exchange Act and 17 CFR 240.10b-5, Section 15(c)(1) of the Exchange Act and Section 206(1) of the Advisers Act, or any other rule or regulation thereunder; or (B) Section 5 of the 1933 Act;</w:t>
      </w:r>
    </w:p>
    <w:p>
      <w:pPr>
        <w:spacing w:after="0" w:line="24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24"/>
          </w:cols>
          <w:pgMar w:left="436" w:top="270" w:right="439" w:bottom="1440" w:gutter="0" w:footer="0" w:header="0"/>
        </w:sectPr>
      </w:pPr>
    </w:p>
    <w:bookmarkStart w:id="157" w:name="page158"/>
    <w:bookmarkEnd w:id="157"/>
    <w:p>
      <w:pPr>
        <w:ind w:left="444" w:firstLine="948"/>
        <w:spacing w:after="0" w:line="256" w:lineRule="auto"/>
        <w:tabs>
          <w:tab w:leader="none" w:pos="1711"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Subscriber understands that the offering and sale of the Shares in non-U.S. jurisdictions may be subject to additional restrictions and limitations, and represents and warrants that it is acquiring its Shares in compliance with all applicable laws, rules, regulations and other legal requirements applicable to the Subscriber including, without limitation, the legal requirements of jurisdictions in which the Subscriber is resident and in which such acquisition is being consummated. The Subscriber understands that no governmental agency or authority has approved, certified, authorized, consented to or otherwise reviewed or will approve, certify, authorize, consent to or otherwise review the offer or sale of the Shares or has made or will make any finding or determination as to the fairness of this investment.</w:t>
      </w:r>
    </w:p>
    <w:p>
      <w:pPr>
        <w:spacing w:after="0" w:line="187" w:lineRule="exact"/>
        <w:rPr>
          <w:rFonts w:ascii="Times New Roman" w:cs="Times New Roman" w:eastAsia="Times New Roman" w:hAnsi="Times New Roman"/>
          <w:sz w:val="18"/>
          <w:szCs w:val="18"/>
          <w:color w:val="auto"/>
        </w:rPr>
      </w:pPr>
    </w:p>
    <w:p>
      <w:pPr>
        <w:ind w:left="1224" w:hanging="233"/>
        <w:spacing w:after="0"/>
        <w:tabs>
          <w:tab w:leader="none" w:pos="1224"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Subscriber: (i) is not registered as an investment company under the U.S. Investment Company Act of 1940, as amended (the</w:t>
      </w:r>
    </w:p>
    <w:p>
      <w:pPr>
        <w:spacing w:after="0" w:line="27" w:lineRule="exact"/>
        <w:rPr>
          <w:sz w:val="20"/>
          <w:szCs w:val="20"/>
          <w:color w:val="auto"/>
        </w:rPr>
      </w:pPr>
    </w:p>
    <w:p>
      <w:pPr>
        <w:jc w:val="both"/>
        <w:ind w:left="4" w:right="58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1940 Act</w:t>
      </w:r>
      <w:r>
        <w:rPr>
          <w:rFonts w:ascii="Times New Roman" w:cs="Times New Roman" w:eastAsia="Times New Roman" w:hAnsi="Times New Roman"/>
          <w:sz w:val="18"/>
          <w:szCs w:val="18"/>
          <w:color w:val="auto"/>
        </w:rPr>
        <w:t>”); (ii) has not elected to be regulated as a business development company under the 1940 Act; and (iii) either (A) is not relying on the exception from the definition of “investment company” under the 1940 Act set forth in Section 3(c)(1) or 3(c)(7) thereunder or (B) is otherwise permitted to acquire and hold more than 3% of the outstanding voting securities of a business development company.</w:t>
      </w:r>
    </w:p>
    <w:p>
      <w:pPr>
        <w:spacing w:after="0" w:line="186" w:lineRule="exact"/>
        <w:rPr>
          <w:sz w:val="20"/>
          <w:szCs w:val="20"/>
          <w:color w:val="auto"/>
        </w:rPr>
      </w:pPr>
    </w:p>
    <w:p>
      <w:pPr>
        <w:ind w:left="1244" w:hanging="253"/>
        <w:spacing w:after="0"/>
        <w:tabs>
          <w:tab w:leader="none" w:pos="1244"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Subscriber may not Transfer any of its Shares or its Capital Commitment unless (i) the Adviser provides its prior written consent,</w:t>
      </w:r>
    </w:p>
    <w:p>
      <w:pPr>
        <w:spacing w:after="0" w:line="27" w:lineRule="exact"/>
        <w:rPr>
          <w:rFonts w:ascii="Times New Roman" w:cs="Times New Roman" w:eastAsia="Times New Roman" w:hAnsi="Times New Roman"/>
          <w:sz w:val="18"/>
          <w:szCs w:val="18"/>
          <w:color w:val="auto"/>
        </w:rPr>
      </w:pPr>
    </w:p>
    <w:p>
      <w:pPr>
        <w:jc w:val="both"/>
        <w:ind w:left="4" w:right="100" w:hanging="4"/>
        <w:spacing w:after="0" w:line="255" w:lineRule="auto"/>
        <w:tabs>
          <w:tab w:leader="none" w:pos="269"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is made in accordance with applicable securities laws and (iii) the Transfer is otherwise in compliance with the transfer restrictions set forth in Appendix D, as applicable. Prior to an Exchange Listing, no Transfer will be effectuated except by registration of the Transfer on the Company books. Each transferee must agree to be bound by these restrictions and all other obligations as an investor in the Company.</w:t>
      </w:r>
    </w:p>
    <w:p>
      <w:pPr>
        <w:spacing w:after="0" w:line="185" w:lineRule="exact"/>
        <w:rPr>
          <w:rFonts w:ascii="Times New Roman" w:cs="Times New Roman" w:eastAsia="Times New Roman" w:hAnsi="Times New Roman"/>
          <w:sz w:val="18"/>
          <w:szCs w:val="18"/>
          <w:color w:val="auto"/>
        </w:rPr>
      </w:pPr>
    </w:p>
    <w:p>
      <w:pPr>
        <w:ind w:left="4" w:firstLine="987"/>
        <w:spacing w:after="0" w:line="258" w:lineRule="auto"/>
        <w:tabs>
          <w:tab w:leader="none" w:pos="121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Subscriber understands that the Adviser intends to claim an exclusion from the definition of commodity pool operator (“</w:t>
      </w:r>
      <w:r>
        <w:rPr>
          <w:rFonts w:ascii="Times New Roman" w:cs="Times New Roman" w:eastAsia="Times New Roman" w:hAnsi="Times New Roman"/>
          <w:sz w:val="18"/>
          <w:szCs w:val="18"/>
          <w:u w:val="single" w:color="auto"/>
          <w:color w:val="auto"/>
        </w:rPr>
        <w:t>CPO</w:t>
      </w:r>
      <w:r>
        <w:rPr>
          <w:rFonts w:ascii="Times New Roman" w:cs="Times New Roman" w:eastAsia="Times New Roman" w:hAnsi="Times New Roman"/>
          <w:sz w:val="18"/>
          <w:szCs w:val="18"/>
          <w:color w:val="auto"/>
        </w:rPr>
        <w:t>”) under the Commodity Exchange Act (“</w:t>
      </w:r>
      <w:r>
        <w:rPr>
          <w:rFonts w:ascii="Times New Roman" w:cs="Times New Roman" w:eastAsia="Times New Roman" w:hAnsi="Times New Roman"/>
          <w:sz w:val="18"/>
          <w:szCs w:val="18"/>
          <w:u w:val="single" w:color="auto"/>
          <w:color w:val="auto"/>
        </w:rPr>
        <w:t>CEA</w:t>
      </w:r>
      <w:r>
        <w:rPr>
          <w:rFonts w:ascii="Times New Roman" w:cs="Times New Roman" w:eastAsia="Times New Roman" w:hAnsi="Times New Roman"/>
          <w:sz w:val="18"/>
          <w:szCs w:val="18"/>
          <w:color w:val="auto"/>
        </w:rPr>
        <w:t>”) and the rules of the Commodity Futures Trading Commission (the “</w:t>
      </w:r>
      <w:r>
        <w:rPr>
          <w:rFonts w:ascii="Times New Roman" w:cs="Times New Roman" w:eastAsia="Times New Roman" w:hAnsi="Times New Roman"/>
          <w:sz w:val="18"/>
          <w:szCs w:val="18"/>
          <w:u w:val="single" w:color="auto"/>
          <w:color w:val="auto"/>
        </w:rPr>
        <w:t>CFTC</w:t>
      </w:r>
      <w:r>
        <w:rPr>
          <w:rFonts w:ascii="Times New Roman" w:cs="Times New Roman" w:eastAsia="Times New Roman" w:hAnsi="Times New Roman"/>
          <w:sz w:val="18"/>
          <w:szCs w:val="18"/>
          <w:color w:val="auto"/>
        </w:rPr>
        <w:t>”) with respect to the Company. The Subscriber understands that, as a result of the Adviser’s reliance on such exclusion, the Adviser will not be subject to registration or regulation as a commodity pool operator under the CEA with respect to the Company. The Subscriber acknowledges that the Company is not intended as a vehicle for trading in the futures, commodity options or swaps markets. In addition, the Subscriber understands that with respect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85090</wp:posOffset>
            </wp:positionV>
            <wp:extent cx="77152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6" w:lineRule="exact"/>
        <w:rPr>
          <w:sz w:val="20"/>
          <w:szCs w:val="20"/>
          <w:color w:val="auto"/>
        </w:rPr>
      </w:pPr>
    </w:p>
    <w:p>
      <w:pPr>
        <w:ind w:left="544" w:right="80" w:hanging="544"/>
        <w:spacing w:after="0" w:line="257" w:lineRule="auto"/>
        <w:tabs>
          <w:tab w:leader="none" w:pos="544" w:val="left"/>
        </w:tabs>
        <w:numPr>
          <w:ilvl w:val="0"/>
          <w:numId w:val="127"/>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is suspended or expelled from membership in, or suspended or barred from association with a member of, a registered national securities exchange or a registered national or affiliated securities association for any act or omission to act constituting conduct inconsistent with just and equitable principles of trade;</w:t>
      </w:r>
    </w:p>
    <w:p>
      <w:pPr>
        <w:ind w:left="544" w:hanging="544"/>
        <w:spacing w:after="0" w:line="250" w:lineRule="auto"/>
        <w:tabs>
          <w:tab w:leader="none" w:pos="544" w:val="left"/>
        </w:tabs>
        <w:numPr>
          <w:ilvl w:val="0"/>
          <w:numId w:val="127"/>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has filed (as a registrant or issuer), or was named as an underwriter in, any registration statement or Regulation A offering statement filed with the SEC that, within five (5) years before the date hereof, was the subject of a refusal order, stop order, or order suspending the Regulation A exemption, or is, as of the date hereof, the subject of an investigation or proceeding to determine whether a stop order or suspension order should be issued; or</w:t>
      </w:r>
    </w:p>
    <w:p>
      <w:pPr>
        <w:spacing w:after="0" w:line="1" w:lineRule="exact"/>
        <w:rPr>
          <w:rFonts w:ascii="Times New Roman" w:cs="Times New Roman" w:eastAsia="Times New Roman" w:hAnsi="Times New Roman"/>
          <w:sz w:val="15"/>
          <w:szCs w:val="15"/>
          <w:color w:val="auto"/>
        </w:rPr>
      </w:pPr>
    </w:p>
    <w:p>
      <w:pPr>
        <w:ind w:left="544" w:right="160" w:hanging="544"/>
        <w:spacing w:after="0" w:line="256" w:lineRule="auto"/>
        <w:tabs>
          <w:tab w:leader="none" w:pos="544" w:val="left"/>
        </w:tabs>
        <w:numPr>
          <w:ilvl w:val="0"/>
          <w:numId w:val="127"/>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is subject to a United States Postal Service false representation order entered within five (5) years before the date hereof, or is, as of the date hereof, subject to a temporary restraining order or preliminary injunction with respect to conduct alleged by the United States Postal Service to constitute a scheme or device for obtaining money or property through the mail by means of false representations.</w:t>
      </w:r>
    </w:p>
    <w:p>
      <w:pPr>
        <w:spacing w:after="0" w:line="11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4"/>
          </w:cols>
          <w:pgMar w:left="436" w:top="270" w:right="479" w:bottom="1440" w:gutter="0" w:footer="0" w:header="0"/>
        </w:sectPr>
      </w:pPr>
    </w:p>
    <w:bookmarkStart w:id="158" w:name="page159"/>
    <w:bookmarkEnd w:id="158"/>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the Adviser intends to rely upon a related exclusion from the definition of commodity trading advisor under the CEA and the rules of the CFTC. The CFTC has neither reviewed nor approved the Adviser’s reliance on these exclusions, or the Company, its investment strategies or its offering memorandum, or this subscription document.</w:t>
      </w:r>
    </w:p>
    <w:p>
      <w:pPr>
        <w:spacing w:after="0" w:line="176" w:lineRule="exact"/>
        <w:rPr>
          <w:sz w:val="20"/>
          <w:szCs w:val="20"/>
          <w:color w:val="auto"/>
        </w:rPr>
      </w:pPr>
    </w:p>
    <w:p>
      <w:pPr>
        <w:ind w:right="80" w:firstLine="987"/>
        <w:spacing w:after="0" w:line="282" w:lineRule="auto"/>
        <w:tabs>
          <w:tab w:leader="none" w:pos="1206"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in the Investor Suitability Questionnaire, if the Subscriber is a corporation, partnership, trust or other entity, it was not formed or recapitalized for the specific purpose of acquiring the Subscriber’s Shares.</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Subscriber understands, and gives full authorization, approval and consent to, the remedies described in Section 3.01.</w:t>
      </w:r>
    </w:p>
    <w:p>
      <w:pPr>
        <w:spacing w:after="0" w:line="225" w:lineRule="exact"/>
        <w:rPr>
          <w:rFonts w:ascii="Times New Roman" w:cs="Times New Roman" w:eastAsia="Times New Roman" w:hAnsi="Times New Roman"/>
          <w:sz w:val="18"/>
          <w:szCs w:val="18"/>
          <w:color w:val="auto"/>
        </w:rPr>
      </w:pPr>
    </w:p>
    <w:p>
      <w:pPr>
        <w:ind w:right="80" w:firstLine="987"/>
        <w:spacing w:after="0" w:line="266" w:lineRule="auto"/>
        <w:tabs>
          <w:tab w:leader="none" w:pos="1206"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Subscriber agrees to deliver to the Company such other information as to certain matters under the 1933 Act, the 1940 Act and the U.S. Investment Advisers Act of 1940, as amended (the “</w:t>
      </w:r>
      <w:r>
        <w:rPr>
          <w:rFonts w:ascii="Times New Roman" w:cs="Times New Roman" w:eastAsia="Times New Roman" w:hAnsi="Times New Roman"/>
          <w:sz w:val="18"/>
          <w:szCs w:val="18"/>
          <w:u w:val="single" w:color="auto"/>
          <w:color w:val="auto"/>
        </w:rPr>
        <w:t>Advisers Act</w:t>
      </w:r>
      <w:r>
        <w:rPr>
          <w:rFonts w:ascii="Times New Roman" w:cs="Times New Roman" w:eastAsia="Times New Roman" w:hAnsi="Times New Roman"/>
          <w:sz w:val="18"/>
          <w:szCs w:val="18"/>
          <w:color w:val="auto"/>
        </w:rPr>
        <w:t>”) as the Company may reasonably request (including, but not limited to, the Investor Suitability Questionnaire) in order to ensure compliance with such Acts and the availability of any exemption thereunder.</w:t>
      </w:r>
    </w:p>
    <w:p>
      <w:pPr>
        <w:spacing w:after="0" w:line="175" w:lineRule="exact"/>
        <w:rPr>
          <w:rFonts w:ascii="Times New Roman" w:cs="Times New Roman" w:eastAsia="Times New Roman" w:hAnsi="Times New Roman"/>
          <w:sz w:val="18"/>
          <w:szCs w:val="18"/>
          <w:color w:val="auto"/>
        </w:rPr>
      </w:pPr>
    </w:p>
    <w:p>
      <w:pPr>
        <w:ind w:right="120" w:firstLine="987"/>
        <w:spacing w:after="0" w:line="256" w:lineRule="auto"/>
        <w:tabs>
          <w:tab w:leader="none" w:pos="1296"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Subscriber acknowledges and agrees that, pursuant to the Charter and the Advisory Agreement, the Company and/or the Adviser have the power and discretion to make all investment decisions in accordance with the terms of the Charter and the Advisory Agreement. Accordingly, the Subscriber acknowledges that neither the Company, the Adviser nor any affiliate thereof has rendered or will render any investment advice or securities valuation advice to the Subscriber, and that the Subscriber is neither subscribing for nor acquiring any Shares in reliance upon, or with the expectation of, any such advice. Furthermore, the Subscriber acknowledges and agrees that the Memorandum, including all appendices thereto, and the marketing of the Company by the Adviser and its Affiliates does not constitute a recommendation or investment advice.</w:t>
      </w:r>
    </w:p>
    <w:p>
      <w:pPr>
        <w:spacing w:after="0" w:line="187" w:lineRule="exact"/>
        <w:rPr>
          <w:rFonts w:ascii="Times New Roman" w:cs="Times New Roman" w:eastAsia="Times New Roman" w:hAnsi="Times New Roman"/>
          <w:sz w:val="18"/>
          <w:szCs w:val="18"/>
          <w:color w:val="auto"/>
        </w:rPr>
      </w:pPr>
    </w:p>
    <w:p>
      <w:pPr>
        <w:ind w:right="20" w:firstLine="987"/>
        <w:spacing w:after="0" w:line="253" w:lineRule="auto"/>
        <w:tabs>
          <w:tab w:leader="none" w:pos="1246"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Subscriber has been furnished with and reviewed the Memorandum, including all schedules, appendices and exhibits thereto, the Charter, the Bylaws, the Advisory Agreement and the Administration Agreement, and has read and understands the Company’s investment objectives, policies and strategies and the risks, conflicts of interests (including, without limitation, the existence and nature of the financial interests of the Adviser and its Affiliates relating to the Subscriber’s proposed purchase of Shares), and other considerations relating to a purchase of Shares described in the Memorandum and understands that there may be other risks and conflicts of interest applicable to the Shares in addition to those described therein. The Subscriber was offered the Shares through private negotiations, not through any general solicitation or general advertising, and the proposed purchase of Shares by the Subscriber is an arm’s length transaction. Other than as set forth herein and in the Memorandum, the Charter, the Bylaws, the Advisory Agreement and the Administration Agreement, the Subscriber is not relying upon any information (including, without limitation, any due diligence questionnaire, “flipbook” or other materials, any advertisement, article, notice or other communication published in any newspaper, magazine, website or similar media or broadcast over television or radio, and any seminars or meetings whose attendees have been invited by any general solicitation or advertising) provided by the Company, the Adviser, any Affiliate of the foregoing or any agent of them, written or otherwise, in determining to invest in the Company.</w:t>
      </w:r>
    </w:p>
    <w:p>
      <w:pPr>
        <w:spacing w:after="0" w:line="189" w:lineRule="exact"/>
        <w:rPr>
          <w:rFonts w:ascii="Times New Roman" w:cs="Times New Roman" w:eastAsia="Times New Roman" w:hAnsi="Times New Roman"/>
          <w:sz w:val="18"/>
          <w:szCs w:val="18"/>
          <w:color w:val="auto"/>
        </w:rPr>
      </w:pPr>
    </w:p>
    <w:p>
      <w:pPr>
        <w:ind w:right="80" w:firstLine="987"/>
        <w:spacing w:after="0" w:line="261" w:lineRule="auto"/>
        <w:tabs>
          <w:tab w:leader="none" w:pos="1246"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Subscriber has been given the opportunity to ask questions of, and receive answers from, the Adviser, the Company and their respective personnel relating to the Company, concerning the terms and conditions of the purchase of Shares and other matters pertaining to this investment, and has had access to such financial and other information concerning the Company as it has considered necessary to verify the accuracy of any information provided and to make a decision to invest in the Company, and has availed itself of this opportunity to the full extent desired.</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159" w:name="page160"/>
    <w:bookmarkEnd w:id="159"/>
    <w:p>
      <w:pPr>
        <w:ind w:left="-40" w:right="120" w:firstLine="987"/>
        <w:spacing w:after="0" w:line="266" w:lineRule="auto"/>
        <w:tabs>
          <w:tab w:leader="none" w:pos="1206"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representations or warranties have been made to the Subscriber with respect to this investment, the Adviser or the Company other than the representations of the Company set forth herein and the Subscriber has not relied upon any representation or warranty not provided herein or therein in making this subscription.</w:t>
      </w:r>
    </w:p>
    <w:p>
      <w:pPr>
        <w:spacing w:after="0" w:line="175" w:lineRule="exact"/>
        <w:rPr>
          <w:rFonts w:ascii="Times New Roman" w:cs="Times New Roman" w:eastAsia="Times New Roman" w:hAnsi="Times New Roman"/>
          <w:sz w:val="18"/>
          <w:szCs w:val="18"/>
          <w:color w:val="auto"/>
        </w:rPr>
      </w:pPr>
    </w:p>
    <w:p>
      <w:pPr>
        <w:ind w:left="-40" w:firstLine="987"/>
        <w:spacing w:after="0" w:line="258" w:lineRule="auto"/>
        <w:tabs>
          <w:tab w:leader="none" w:pos="1206"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all or part of the funds that the Subscriber is using or will use to fund its Capital Commitment are assets of an employee benefit plan (as defined in Section 3(3) of the U.S. Employee Retirement Income Security Act of 1974, as amended from time to time, and the regulations promulgated thereunder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subject to Title I of ERISA or a plan described in Section 4975(e)(1) of the U.S. Internal Revenue Code of 1986, as amended from time to time (including any successor law)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to which Section 4975 of the Code applies, or an entity whose underlying assets include plan assets for purposes of ERISA or the Code by reason of a plan’s investment in the entity:</w:t>
      </w:r>
    </w:p>
    <w:p>
      <w:pPr>
        <w:spacing w:after="0" w:line="75" w:lineRule="exact"/>
        <w:rPr>
          <w:rFonts w:ascii="Times New Roman" w:cs="Times New Roman" w:eastAsia="Times New Roman" w:hAnsi="Times New Roman"/>
          <w:sz w:val="18"/>
          <w:szCs w:val="18"/>
          <w:color w:val="auto"/>
        </w:rPr>
      </w:pPr>
    </w:p>
    <w:p>
      <w:pPr>
        <w:ind w:left="1560" w:hanging="212"/>
        <w:spacing w:after="0"/>
        <w:tabs>
          <w:tab w:leader="none" w:pos="156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funds so constituting plan assets have been identified in writing to the Company;</w:t>
      </w:r>
    </w:p>
    <w:p>
      <w:pPr>
        <w:spacing w:after="0" w:line="117" w:lineRule="exact"/>
        <w:rPr>
          <w:rFonts w:ascii="Times New Roman" w:cs="Times New Roman" w:eastAsia="Times New Roman" w:hAnsi="Times New Roman"/>
          <w:sz w:val="18"/>
          <w:szCs w:val="18"/>
          <w:color w:val="auto"/>
        </w:rPr>
      </w:pPr>
    </w:p>
    <w:p>
      <w:pPr>
        <w:ind w:left="1620" w:hanging="272"/>
        <w:spacing w:after="0"/>
        <w:tabs>
          <w:tab w:leader="none" w:pos="162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Subscriber’s proposed purchase of the Shares is permissible under the documents governing the investment of such plan</w:t>
      </w:r>
    </w:p>
    <w:p>
      <w:pPr>
        <w:spacing w:after="0" w:line="27" w:lineRule="exact"/>
        <w:rPr>
          <w:rFonts w:ascii="Times New Roman" w:cs="Times New Roman" w:eastAsia="Times New Roman" w:hAnsi="Times New Roman"/>
          <w:sz w:val="18"/>
          <w:szCs w:val="18"/>
          <w:color w:val="auto"/>
        </w:rPr>
      </w:pPr>
    </w:p>
    <w:p>
      <w:pPr>
        <w:ind w:left="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w:t>
      </w:r>
    </w:p>
    <w:p>
      <w:pPr>
        <w:spacing w:after="0" w:line="98" w:lineRule="exact"/>
        <w:rPr>
          <w:rFonts w:ascii="Times New Roman" w:cs="Times New Roman" w:eastAsia="Times New Roman" w:hAnsi="Times New Roman"/>
          <w:sz w:val="18"/>
          <w:szCs w:val="18"/>
          <w:color w:val="auto"/>
        </w:rPr>
      </w:pPr>
    </w:p>
    <w:p>
      <w:pPr>
        <w:jc w:val="both"/>
        <w:ind w:left="400" w:right="220" w:firstLine="948"/>
        <w:spacing w:after="0" w:line="266" w:lineRule="auto"/>
        <w:tabs>
          <w:tab w:leader="none" w:pos="1667"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making the proposed purchase of the Shares, the Subscriber is aware of and has taken into consideration the diversification requirements of Section 404(a)(1) of ERISA or other applicable law, if any, and the decision to invest plan assets in the Company is consistent with such provisions;</w:t>
      </w:r>
    </w:p>
    <w:p>
      <w:pPr>
        <w:spacing w:after="0" w:line="67" w:lineRule="exact"/>
        <w:rPr>
          <w:rFonts w:ascii="Times New Roman" w:cs="Times New Roman" w:eastAsia="Times New Roman" w:hAnsi="Times New Roman"/>
          <w:sz w:val="18"/>
          <w:szCs w:val="18"/>
          <w:color w:val="auto"/>
        </w:rPr>
      </w:pPr>
    </w:p>
    <w:p>
      <w:pPr>
        <w:ind w:left="400" w:right="300" w:firstLine="948"/>
        <w:spacing w:after="0" w:line="282" w:lineRule="auto"/>
        <w:tabs>
          <w:tab w:leader="none" w:pos="1657"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Subscriber has concluded that the proposed purchase of the Shares is consistent with applicable fiduciary responsibilities under ERISA and other applicable law, if any; and</w:t>
      </w:r>
    </w:p>
    <w:p>
      <w:pPr>
        <w:spacing w:after="0" w:line="53" w:lineRule="exact"/>
        <w:rPr>
          <w:rFonts w:ascii="Times New Roman" w:cs="Times New Roman" w:eastAsia="Times New Roman" w:hAnsi="Times New Roman"/>
          <w:sz w:val="18"/>
          <w:szCs w:val="18"/>
          <w:color w:val="auto"/>
        </w:rPr>
      </w:pPr>
    </w:p>
    <w:p>
      <w:pPr>
        <w:ind w:left="400" w:right="660" w:firstLine="948"/>
        <w:spacing w:after="0" w:line="282" w:lineRule="auto"/>
        <w:tabs>
          <w:tab w:leader="none" w:pos="1607"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purchase of Shares by the Subscriber does not and will not constitute or result in a non-exempt “prohibited transaction” within the meaning of Section 406 of ERISA or Section 4975(c) of the Code.</w:t>
      </w:r>
    </w:p>
    <w:p>
      <w:pPr>
        <w:spacing w:after="0" w:line="161" w:lineRule="exact"/>
        <w:rPr>
          <w:rFonts w:ascii="Times New Roman" w:cs="Times New Roman" w:eastAsia="Times New Roman" w:hAnsi="Times New Roman"/>
          <w:sz w:val="18"/>
          <w:szCs w:val="18"/>
          <w:color w:val="auto"/>
        </w:rPr>
      </w:pPr>
    </w:p>
    <w:p>
      <w:pPr>
        <w:ind w:left="-40" w:right="20" w:firstLine="987"/>
        <w:spacing w:after="0" w:line="254" w:lineRule="auto"/>
        <w:tabs>
          <w:tab w:leader="none" w:pos="1176"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investment in the Shares is being made on behalf of a plan established and maintained by a state, its political subdivisions, or any agency or instrumentality of a state or its political subdivisions, for the benefit of its employees, (i) there is no provision in the instruments governing such plan or any federal, state or local or foreign law, rule, regulation or constitutional provision applicable to the plan that could in any respect affect the operation of the Company, including operations of the Adviser as contemplated by the Advisory Agreement, or prohibit any action contemplated by the operational documents and related disclosure of the Company, including, without limitation, the investments which may be made pursuant to the Company’s investment strategies, the concentration of investments for the Company and the payment by the plan of incentive or other fees, and (ii) the plan’s investment in the Company will not conflict with or violate the instruments governing such plan or any federal, state or local or foreign law, rule, regulation or constitutional provision applicable to the plan.</w:t>
      </w:r>
    </w:p>
    <w:p>
      <w:pPr>
        <w:spacing w:after="0" w:line="191" w:lineRule="exact"/>
        <w:rPr>
          <w:rFonts w:ascii="Times New Roman" w:cs="Times New Roman" w:eastAsia="Times New Roman" w:hAnsi="Times New Roman"/>
          <w:sz w:val="18"/>
          <w:szCs w:val="18"/>
          <w:color w:val="auto"/>
        </w:rPr>
      </w:pPr>
    </w:p>
    <w:p>
      <w:pPr>
        <w:ind w:left="-40" w:right="40" w:firstLine="987"/>
        <w:spacing w:after="0" w:line="258" w:lineRule="auto"/>
        <w:tabs>
          <w:tab w:leader="none" w:pos="1186"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investment in the Shares is being made on behalf of an employee benefit plan maintained outside of the United States primarily for the benefit of persons substantially all of whom are nonresident aliens (as described in Section 4(b)(4) of ERISA), (i) there is no provision in the instruments governing such plan or any federal, state or local or foreign law, rule, regulation or constitutional provision applicable to the plan that could in any respect affect the operation of the Company, including operations of the Adviser as contemplated by the Advisory Agreement, or prohibit any action contemplated by the operational documents and related disclosure of the Company, including, without limitation, the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20"/>
          </w:cols>
          <w:pgMar w:left="480" w:top="270" w:right="499" w:bottom="1440" w:gutter="0" w:footer="0" w:header="0"/>
        </w:sectPr>
      </w:pPr>
    </w:p>
    <w:bookmarkStart w:id="160" w:name="page161"/>
    <w:bookmarkEnd w:id="160"/>
    <w:p>
      <w:pPr>
        <w:jc w:val="both"/>
        <w:ind w:left="4"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investments that may be made pursuant to the Company’s investment strategies, the concentration of investments for the Company and the payment by the plan of incentive or other fees, and (ii) the plan’s investment in the Company will not conflict with or violate the instruments governing such plan or any federal, state or local or foreign law, rule, regulation or constitutional provision applicable to the plan.</w:t>
      </w:r>
    </w:p>
    <w:p>
      <w:pPr>
        <w:spacing w:after="0" w:line="176" w:lineRule="exact"/>
        <w:rPr>
          <w:sz w:val="20"/>
          <w:szCs w:val="20"/>
          <w:color w:val="auto"/>
        </w:rPr>
      </w:pPr>
    </w:p>
    <w:p>
      <w:pPr>
        <w:ind w:left="4" w:right="40" w:firstLine="987"/>
        <w:spacing w:after="0" w:line="256" w:lineRule="auto"/>
        <w:tabs>
          <w:tab w:leader="none" w:pos="121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Subscriber is not a “United States Person,” as defined below, the Subscriber has heretofore notified the Adviser in writing of such status. For this purpose, “</w:t>
      </w:r>
      <w:r>
        <w:rPr>
          <w:rFonts w:ascii="Times New Roman" w:cs="Times New Roman" w:eastAsia="Times New Roman" w:hAnsi="Times New Roman"/>
          <w:sz w:val="18"/>
          <w:szCs w:val="18"/>
          <w:u w:val="single" w:color="auto"/>
          <w:color w:val="auto"/>
        </w:rPr>
        <w:t>United States Person</w:t>
      </w:r>
      <w:r>
        <w:rPr>
          <w:rFonts w:ascii="Times New Roman" w:cs="Times New Roman" w:eastAsia="Times New Roman" w:hAnsi="Times New Roman"/>
          <w:sz w:val="18"/>
          <w:szCs w:val="18"/>
          <w:color w:val="auto"/>
        </w:rPr>
        <w:t>” has the meaning set for in Section 7701(a)(3) of the Code, which is generally a citizen or resident of the United States, a corporation, partnership or other entity created or organized in or under the laws of the United States or any political subdivision thereof, an estate the income of which is subject to United States federal income taxation regardless of its source, or any trust (i) the administration of which is subject to the primary supervision of a U.S. court and (ii) the authority to control all of the substantial decisions of which is held by one (1) or more U.S. persons.</w:t>
      </w:r>
    </w:p>
    <w:p>
      <w:pPr>
        <w:spacing w:after="0" w:line="187" w:lineRule="exact"/>
        <w:rPr>
          <w:rFonts w:ascii="Times New Roman" w:cs="Times New Roman" w:eastAsia="Times New Roman" w:hAnsi="Times New Roman"/>
          <w:sz w:val="18"/>
          <w:szCs w:val="18"/>
          <w:color w:val="auto"/>
        </w:rPr>
      </w:pPr>
    </w:p>
    <w:p>
      <w:pPr>
        <w:ind w:left="4" w:right="20" w:firstLine="987"/>
        <w:spacing w:after="0" w:line="258" w:lineRule="auto"/>
        <w:tabs>
          <w:tab w:leader="none" w:pos="125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Subscriber understands that the Company has filed or will file elections to be treated as (i) a business development company under the 1940 Act and (ii) a regulated investment company within the meaning of Code Section 851, for U.S. federal income tax purposes; pursuant to those elections, the Subscriber will be required to furnish certain information to the Company as required under Treasury Regulations § 1.852-6(a) and other regulations. If the Subscriber is unable or refuses to provide such information directly to the Company, the Subscriber understands that it will be required to include additional information on its income tax return as provided in Treasury Regulation § 1.852-7.</w:t>
      </w:r>
    </w:p>
    <w:p>
      <w:pPr>
        <w:spacing w:after="0" w:line="183" w:lineRule="exact"/>
        <w:rPr>
          <w:rFonts w:ascii="Times New Roman" w:cs="Times New Roman" w:eastAsia="Times New Roman" w:hAnsi="Times New Roman"/>
          <w:sz w:val="18"/>
          <w:szCs w:val="18"/>
          <w:color w:val="auto"/>
        </w:rPr>
      </w:pPr>
    </w:p>
    <w:p>
      <w:pPr>
        <w:ind w:left="4" w:firstLine="987"/>
        <w:spacing w:after="0" w:line="253" w:lineRule="auto"/>
        <w:tabs>
          <w:tab w:leader="none" w:pos="125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the Subscriber covenants that it will not Transfer all or any part of the Shares or its Capital Commitment (or purport to do so) if such Transfer would cause (i) the Company or the Adviser to be in violation of the U.S. Bank Secrecy Act, as amended, the U.S. Money Laundering Control Act of 1986, as amended, the Uniting and Strengthening America by Providing Appropriate Tools Required to Intercept and Obstruct Terrorism Act of 2001, as amended (the “</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or any similar U.S. federal, state or foreign law or regulation, including, without limitation, the Proceeds of Crime Act (As Revised), the Misuse of Drugs Act (As Revised), the Terrorism Act (As Revised), the Proliferation Financing (Prohibition) Act (As Revised), the Anti-Money Laundering Regulations (As Revised) and the Guidance Notes on the Prevention and Detection of Money Laundering in the Cayman Islands, the U.S. Foreign Corrupt Practices Act, as amended, or any other applicable anti-money laundering, anti-bribery or anticorruption law or regulation, or Sanctions (as defined below) (collectively, the “</w:t>
      </w:r>
      <w:r>
        <w:rPr>
          <w:rFonts w:ascii="Times New Roman" w:cs="Times New Roman" w:eastAsia="Times New Roman" w:hAnsi="Times New Roman"/>
          <w:sz w:val="18"/>
          <w:szCs w:val="18"/>
          <w:u w:val="single" w:color="auto"/>
          <w:color w:val="auto"/>
        </w:rPr>
        <w:t>Compliance Laws</w:t>
      </w:r>
      <w:r>
        <w:rPr>
          <w:rFonts w:ascii="Times New Roman" w:cs="Times New Roman" w:eastAsia="Times New Roman" w:hAnsi="Times New Roman"/>
          <w:sz w:val="18"/>
          <w:szCs w:val="18"/>
          <w:color w:val="auto"/>
        </w:rPr>
        <w:t>”); or</w:t>
      </w:r>
    </w:p>
    <w:p>
      <w:pPr>
        <w:ind w:left="264" w:hanging="264"/>
        <w:spacing w:after="0"/>
        <w:tabs>
          <w:tab w:leader="none" w:pos="264"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to be held by an Sanctioned Party (as defined below).</w:t>
      </w:r>
    </w:p>
    <w:p>
      <w:pPr>
        <w:spacing w:after="0" w:line="206" w:lineRule="exact"/>
        <w:rPr>
          <w:rFonts w:ascii="Times New Roman" w:cs="Times New Roman" w:eastAsia="Times New Roman" w:hAnsi="Times New Roman"/>
          <w:sz w:val="18"/>
          <w:szCs w:val="18"/>
          <w:color w:val="auto"/>
        </w:rPr>
      </w:pPr>
    </w:p>
    <w:p>
      <w:pPr>
        <w:ind w:left="4" w:right="20" w:firstLine="987"/>
        <w:spacing w:after="0" w:line="258" w:lineRule="auto"/>
        <w:tabs>
          <w:tab w:leader="none" w:pos="129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(i) the Subscriber, (ii) any person controlling or controlled by the Subscriber, (iii) if the Subscriber is a privately held entity, to the best knowledge of the Subscriber, any person having a beneficial interest in the Subscriber, (iv) if the Subscriber will not be the sole beneficial owner of the Shares, to the best knowledge of the Subscriber, any person having a beneficial interest in the Shares or (v) to the best knowledge of the Subscriber, any person for whom the Subscriber is acting as agent, trustee, representative, intermediary or nominee or in any similar capacity in connection with this investment (the foregoing, “Subscriber Related Parties”), is, or for so long as the Subscriber holds any Shares, shall be:</w:t>
      </w:r>
    </w:p>
    <w:p>
      <w:pPr>
        <w:spacing w:after="0" w:line="75" w:lineRule="exact"/>
        <w:rPr>
          <w:rFonts w:ascii="Times New Roman" w:cs="Times New Roman" w:eastAsia="Times New Roman" w:hAnsi="Times New Roman"/>
          <w:sz w:val="18"/>
          <w:szCs w:val="18"/>
          <w:color w:val="auto"/>
        </w:rPr>
      </w:pPr>
    </w:p>
    <w:p>
      <w:pPr>
        <w:ind w:left="1424" w:right="660" w:firstLine="8"/>
        <w:spacing w:after="0" w:line="282" w:lineRule="auto"/>
        <w:tabs>
          <w:tab w:leader="none" w:pos="1719" w:val="left"/>
        </w:tabs>
        <w:numPr>
          <w:ilvl w:val="2"/>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country, territory, entity or individual with whom dealings are restricted or prohibited by any U.S. economic sanctions (including those administered by the Office of Foreign Assets Control of the U.S. Treasury Department</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 the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71120</wp:posOffset>
            </wp:positionV>
            <wp:extent cx="7715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15" w:lineRule="exact"/>
        <w:rPr>
          <w:sz w:val="20"/>
          <w:szCs w:val="20"/>
          <w:color w:val="auto"/>
        </w:rPr>
      </w:pPr>
    </w:p>
    <w:p>
      <w:pPr>
        <w:ind w:left="424" w:hanging="424"/>
        <w:spacing w:after="0"/>
        <w:tabs>
          <w:tab w:leader="none" w:pos="424" w:val="left"/>
        </w:tabs>
        <w:numPr>
          <w:ilvl w:val="0"/>
          <w:numId w:val="13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See http://www.treas.gov/ofac.</w:t>
      </w:r>
    </w:p>
    <w:p>
      <w:pPr>
        <w:spacing w:after="0" w:line="15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4"/>
          </w:cols>
          <w:pgMar w:left="436" w:top="270" w:right="459" w:bottom="1440" w:gutter="0" w:footer="0" w:header="0"/>
        </w:sectPr>
      </w:pPr>
    </w:p>
    <w:bookmarkStart w:id="161" w:name="page162"/>
    <w:bookmarkEnd w:id="161"/>
    <w:p>
      <w:pPr>
        <w:ind w:left="1424"/>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Department of State or the U.S. Department of Commerce) or similar sanctions imposed by the United Nations Security Council, the European Union, Her Majesty’s Treasury of the United Kingdom (including as extended to the Cayman Islands by Statutory Instrument), the Cayman Islands or other relevant sanctions authority (“</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or an entity or individual that resides or has a place of business in, or is organized under the laws of, a country or territory that is the target of Sanctions that broadly prohibit or restrict dealings with that country or territory or is otherwise the target of Sanctions (any such country, territory, entity or individual described in this paragraph (A), a “</w:t>
      </w:r>
      <w:r>
        <w:rPr>
          <w:rFonts w:ascii="Times New Roman" w:cs="Times New Roman" w:eastAsia="Times New Roman" w:hAnsi="Times New Roman"/>
          <w:sz w:val="18"/>
          <w:szCs w:val="18"/>
          <w:u w:val="single" w:color="auto"/>
          <w:color w:val="auto"/>
        </w:rPr>
        <w:t>Sanctioned Party</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ind w:left="1424" w:right="40" w:firstLine="8"/>
        <w:spacing w:after="0" w:line="255" w:lineRule="auto"/>
        <w:tabs>
          <w:tab w:leader="none" w:pos="1709"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country, territory or entity that: (1) has been designated as non-cooperative with international anti-money laundering principles or procedures by an intergovernmental group or organization, such as the Financial Action Task Force (“</w:t>
      </w:r>
      <w:r>
        <w:rPr>
          <w:rFonts w:ascii="Times New Roman" w:cs="Times New Roman" w:eastAsia="Times New Roman" w:hAnsi="Times New Roman"/>
          <w:sz w:val="18"/>
          <w:szCs w:val="18"/>
          <w:u w:val="single" w:color="auto"/>
          <w:color w:val="auto"/>
        </w:rPr>
        <w:t>FATF</w:t>
      </w:r>
      <w:r>
        <w:rPr>
          <w:rFonts w:ascii="Times New Roman" w:cs="Times New Roman" w:eastAsia="Times New Roman" w:hAnsi="Times New Roman"/>
          <w:sz w:val="18"/>
          <w:szCs w:val="18"/>
          <w:color w:val="auto"/>
        </w:rPr>
        <w:t>”),</w:t>
      </w:r>
      <w:r>
        <w:rPr>
          <w:rFonts w:ascii="Times New Roman" w:cs="Times New Roman" w:eastAsia="Times New Roman" w:hAnsi="Times New Roman"/>
          <w:sz w:val="15"/>
          <w:szCs w:val="15"/>
          <w:color w:val="auto"/>
        </w:rPr>
        <w:t>3</w:t>
      </w:r>
      <w:r>
        <w:rPr>
          <w:rFonts w:ascii="Times New Roman" w:cs="Times New Roman" w:eastAsia="Times New Roman" w:hAnsi="Times New Roman"/>
          <w:sz w:val="18"/>
          <w:szCs w:val="18"/>
          <w:color w:val="auto"/>
        </w:rPr>
        <w:t xml:space="preserve"> of which the United States is a member or has been designated by the FATF as a “High Risk Jurisdiction subject to a Call for Action”; (2) is the subject of an advisory issued by the Financial Crimes Enforcement Network of the U.S. Treasury Department;</w:t>
      </w:r>
      <w:r>
        <w:rPr>
          <w:rFonts w:ascii="Times New Roman" w:cs="Times New Roman" w:eastAsia="Times New Roman" w:hAnsi="Times New Roman"/>
          <w:sz w:val="15"/>
          <w:szCs w:val="15"/>
          <w:color w:val="auto"/>
        </w:rPr>
        <w:t>4</w:t>
      </w:r>
      <w:r>
        <w:rPr>
          <w:rFonts w:ascii="Times New Roman" w:cs="Times New Roman" w:eastAsia="Times New Roman" w:hAnsi="Times New Roman"/>
          <w:sz w:val="18"/>
          <w:szCs w:val="18"/>
          <w:color w:val="auto"/>
        </w:rPr>
        <w:t xml:space="preserve"> or (3) has been designated by the Secretary of the Treasury under Section 311 of the USA PATRIOT Act as warranting special measures due to money laundering concerns (any such country or territory, a “</w:t>
      </w:r>
      <w:r>
        <w:rPr>
          <w:rFonts w:ascii="Times New Roman" w:cs="Times New Roman" w:eastAsia="Times New Roman" w:hAnsi="Times New Roman"/>
          <w:sz w:val="18"/>
          <w:szCs w:val="18"/>
          <w:u w:val="single" w:color="auto"/>
          <w:color w:val="auto"/>
        </w:rPr>
        <w:t>Non-cooperative Jurisdiction</w:t>
      </w:r>
      <w:r>
        <w:rPr>
          <w:rFonts w:ascii="Times New Roman" w:cs="Times New Roman" w:eastAsia="Times New Roman" w:hAnsi="Times New Roman"/>
          <w:sz w:val="18"/>
          <w:szCs w:val="18"/>
          <w:color w:val="auto"/>
        </w:rPr>
        <w:t>”), or an entity or individual that resides or has a place of business in, or is organized under the laws of, a Non-cooperative Jurisdiction;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88265</wp:posOffset>
            </wp:positionV>
            <wp:extent cx="77152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2" w:lineRule="exact"/>
        <w:rPr>
          <w:sz w:val="20"/>
          <w:szCs w:val="20"/>
          <w:color w:val="auto"/>
        </w:rPr>
      </w:pPr>
    </w:p>
    <w:p>
      <w:pPr>
        <w:ind w:left="424" w:hanging="424"/>
        <w:spacing w:after="0"/>
        <w:tabs>
          <w:tab w:leader="none" w:pos="424" w:val="left"/>
        </w:tabs>
        <w:numPr>
          <w:ilvl w:val="0"/>
          <w:numId w:val="13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auto"/>
        </w:rPr>
        <w:t>http://www.fatf-gafi.org</w:t>
      </w:r>
      <w:r>
        <w:rPr>
          <w:rFonts w:ascii="Times New Roman" w:cs="Times New Roman" w:eastAsia="Times New Roman" w:hAnsi="Times New Roman"/>
          <w:sz w:val="18"/>
          <w:szCs w:val="18"/>
          <w:color w:val="auto"/>
        </w:rPr>
        <w:t>.</w:t>
      </w:r>
    </w:p>
    <w:p>
      <w:pPr>
        <w:spacing w:after="0" w:line="26" w:lineRule="exact"/>
        <w:rPr>
          <w:sz w:val="20"/>
          <w:szCs w:val="20"/>
          <w:color w:val="auto"/>
        </w:rPr>
      </w:pPr>
    </w:p>
    <w:p>
      <w:pPr>
        <w:ind w:left="424" w:hanging="424"/>
        <w:spacing w:after="0"/>
        <w:tabs>
          <w:tab w:leader="none" w:pos="424" w:val="left"/>
        </w:tabs>
        <w:numPr>
          <w:ilvl w:val="0"/>
          <w:numId w:val="13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auto"/>
        </w:rPr>
        <w:t>http://www.fincen.gov</w:t>
      </w:r>
      <w:r>
        <w:rPr>
          <w:rFonts w:ascii="Times New Roman" w:cs="Times New Roman" w:eastAsia="Times New Roman" w:hAnsi="Times New Roman"/>
          <w:sz w:val="18"/>
          <w:szCs w:val="18"/>
          <w:color w:val="auto"/>
        </w:rPr>
        <w:t>.</w:t>
      </w:r>
    </w:p>
    <w:p>
      <w:pPr>
        <w:spacing w:after="0" w:line="14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4"/>
          </w:cols>
          <w:pgMar w:left="436" w:top="270" w:right="459" w:bottom="1440" w:gutter="0" w:footer="0" w:header="0"/>
        </w:sectPr>
      </w:pPr>
    </w:p>
    <w:bookmarkStart w:id="162" w:name="page163"/>
    <w:bookmarkEnd w:id="162"/>
    <w:p>
      <w:pPr>
        <w:ind w:left="1424" w:right="100" w:firstLine="8"/>
        <w:spacing w:after="0" w:line="282" w:lineRule="auto"/>
        <w:tabs>
          <w:tab w:leader="none" w:pos="1709"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senior foreign political figure</w:t>
      </w:r>
      <w:r>
        <w:rPr>
          <w:rFonts w:ascii="Times New Roman" w:cs="Times New Roman" w:eastAsia="Times New Roman" w:hAnsi="Times New Roman"/>
          <w:sz w:val="15"/>
          <w:szCs w:val="15"/>
          <w:color w:val="auto"/>
        </w:rPr>
        <w:t>5</w:t>
      </w:r>
      <w:r>
        <w:rPr>
          <w:rFonts w:ascii="Times New Roman" w:cs="Times New Roman" w:eastAsia="Times New Roman" w:hAnsi="Times New Roman"/>
          <w:sz w:val="18"/>
          <w:szCs w:val="18"/>
          <w:color w:val="auto"/>
        </w:rPr>
        <w:t xml:space="preserve"> or any immediate family</w:t>
      </w:r>
      <w:r>
        <w:rPr>
          <w:rFonts w:ascii="Times New Roman" w:cs="Times New Roman" w:eastAsia="Times New Roman" w:hAnsi="Times New Roman"/>
          <w:sz w:val="15"/>
          <w:szCs w:val="15"/>
          <w:color w:val="auto"/>
        </w:rPr>
        <w:t>6</w:t>
      </w:r>
      <w:r>
        <w:rPr>
          <w:rFonts w:ascii="Times New Roman" w:cs="Times New Roman" w:eastAsia="Times New Roman" w:hAnsi="Times New Roman"/>
          <w:sz w:val="18"/>
          <w:szCs w:val="18"/>
          <w:color w:val="auto"/>
        </w:rPr>
        <w:t xml:space="preserve"> or close associate</w:t>
      </w:r>
      <w:r>
        <w:rPr>
          <w:rFonts w:ascii="Times New Roman" w:cs="Times New Roman" w:eastAsia="Times New Roman" w:hAnsi="Times New Roman"/>
          <w:sz w:val="15"/>
          <w:szCs w:val="15"/>
          <w:color w:val="auto"/>
        </w:rPr>
        <w:t>7</w:t>
      </w:r>
      <w:r>
        <w:rPr>
          <w:rFonts w:ascii="Times New Roman" w:cs="Times New Roman" w:eastAsia="Times New Roman" w:hAnsi="Times New Roman"/>
          <w:sz w:val="18"/>
          <w:szCs w:val="18"/>
          <w:color w:val="auto"/>
        </w:rPr>
        <w:t xml:space="preserve"> of a senior foreign political figure or a politically exposed person</w:t>
      </w:r>
      <w:r>
        <w:rPr>
          <w:rFonts w:ascii="Times New Roman" w:cs="Times New Roman" w:eastAsia="Times New Roman" w:hAnsi="Times New Roman"/>
          <w:sz w:val="15"/>
          <w:szCs w:val="15"/>
          <w:color w:val="auto"/>
        </w:rPr>
        <w:t>8</w:t>
      </w:r>
      <w:r>
        <w:rPr>
          <w:rFonts w:ascii="Times New Roman" w:cs="Times New Roman" w:eastAsia="Times New Roman" w:hAnsi="Times New Roman"/>
          <w:sz w:val="18"/>
          <w:szCs w:val="18"/>
          <w:color w:val="auto"/>
        </w:rPr>
        <w:t xml:space="preserve"> or a family member</w:t>
      </w:r>
      <w:r>
        <w:rPr>
          <w:rFonts w:ascii="Times New Roman" w:cs="Times New Roman" w:eastAsia="Times New Roman" w:hAnsi="Times New Roman"/>
          <w:sz w:val="15"/>
          <w:szCs w:val="15"/>
          <w:color w:val="auto"/>
        </w:rPr>
        <w:t>9</w:t>
      </w:r>
      <w:r>
        <w:rPr>
          <w:rFonts w:ascii="Times New Roman" w:cs="Times New Roman" w:eastAsia="Times New Roman" w:hAnsi="Times New Roman"/>
          <w:sz w:val="18"/>
          <w:szCs w:val="18"/>
          <w:color w:val="auto"/>
        </w:rPr>
        <w:t xml:space="preserve"> or close associate</w:t>
      </w:r>
      <w:r>
        <w:rPr>
          <w:rFonts w:ascii="Times New Roman" w:cs="Times New Roman" w:eastAsia="Times New Roman" w:hAnsi="Times New Roman"/>
          <w:sz w:val="15"/>
          <w:szCs w:val="15"/>
          <w:color w:val="auto"/>
        </w:rPr>
        <w:t>10</w:t>
      </w:r>
      <w:r>
        <w:rPr>
          <w:rFonts w:ascii="Times New Roman" w:cs="Times New Roman" w:eastAsia="Times New Roman" w:hAnsi="Times New Roman"/>
          <w:sz w:val="18"/>
          <w:szCs w:val="18"/>
          <w:color w:val="auto"/>
        </w:rPr>
        <w:t xml:space="preserve"> of a politically exposed person.</w:t>
      </w:r>
    </w:p>
    <w:p>
      <w:pPr>
        <w:spacing w:after="0" w:line="161" w:lineRule="exact"/>
        <w:rPr>
          <w:rFonts w:ascii="Times New Roman" w:cs="Times New Roman" w:eastAsia="Times New Roman" w:hAnsi="Times New Roman"/>
          <w:sz w:val="18"/>
          <w:szCs w:val="18"/>
          <w:color w:val="auto"/>
        </w:rPr>
      </w:pPr>
    </w:p>
    <w:p>
      <w:pPr>
        <w:ind w:left="4" w:firstLine="987"/>
        <w:spacing w:after="0" w:line="266" w:lineRule="auto"/>
        <w:tabs>
          <w:tab w:leader="none" w:pos="125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funds that the Subscriber is using or will use to fund its Capital Commitment are derived from, invested for the benefit of, or related in any way to transactions with or on behalf of, any Sanctioned Party, nor will any Sanctioned Party have any legal or beneficial interest in the Subscriber or the Subscriber’s Shares.</w:t>
      </w:r>
    </w:p>
    <w:p>
      <w:pPr>
        <w:spacing w:after="0" w:line="175" w:lineRule="exact"/>
        <w:rPr>
          <w:rFonts w:ascii="Times New Roman" w:cs="Times New Roman" w:eastAsia="Times New Roman" w:hAnsi="Times New Roman"/>
          <w:sz w:val="18"/>
          <w:szCs w:val="18"/>
          <w:color w:val="auto"/>
        </w:rPr>
      </w:pPr>
    </w:p>
    <w:p>
      <w:pPr>
        <w:ind w:left="4" w:right="20" w:firstLine="987"/>
        <w:spacing w:after="0" w:line="254" w:lineRule="auto"/>
        <w:tabs>
          <w:tab w:leader="none" w:pos="125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Subscriber is a non-U.S. banking institution (a “</w:t>
      </w:r>
      <w:r>
        <w:rPr>
          <w:rFonts w:ascii="Times New Roman" w:cs="Times New Roman" w:eastAsia="Times New Roman" w:hAnsi="Times New Roman"/>
          <w:sz w:val="18"/>
          <w:szCs w:val="18"/>
          <w:u w:val="single" w:color="auto"/>
          <w:color w:val="auto"/>
        </w:rPr>
        <w:t>Non-U.S. Bank</w:t>
      </w:r>
      <w:r>
        <w:rPr>
          <w:rFonts w:ascii="Times New Roman" w:cs="Times New Roman" w:eastAsia="Times New Roman" w:hAnsi="Times New Roman"/>
          <w:sz w:val="18"/>
          <w:szCs w:val="18"/>
          <w:color w:val="auto"/>
        </w:rPr>
        <w:t>”) or is making this investment directly or indirectly on behalf of or for the benefit of a Non-U.S. Bank, such Non-U.S. Bank: (i) maintains a place of business at a fixed address, other than solely a post office box or an electronic address, in a country where the Non-U.S. Bank is authorized to conduct banking activities; (ii) at such location, employs one (1) or more individuals on a full-time basis; (iii) maintains operating records related to its banking activities; (iv) is subject to inspection by the banking authority that licensed the Non-U.S. Bank; and (v) does not provide banking services to any other Non-U.S. Bank that does not have a physical presence in any country and that is not a registered Affiliate of such Non-U.S. Bank. The Subscriber represents and warrants that its subscription funds do not originate from, nor will they be routed through, an account maintained at a shell bank</w:t>
      </w:r>
      <w:r>
        <w:rPr>
          <w:rFonts w:ascii="Times New Roman" w:cs="Times New Roman" w:eastAsia="Times New Roman" w:hAnsi="Times New Roman"/>
          <w:sz w:val="15"/>
          <w:szCs w:val="15"/>
          <w:color w:val="auto"/>
        </w:rPr>
        <w:t>11</w:t>
      </w:r>
      <w:r>
        <w:rPr>
          <w:rFonts w:ascii="Times New Roman" w:cs="Times New Roman" w:eastAsia="Times New Roman" w:hAnsi="Times New Roman"/>
          <w:sz w:val="18"/>
          <w:szCs w:val="18"/>
          <w:color w:val="auto"/>
        </w:rPr>
        <w:t xml:space="preserve"> and/or a bank organized or chartered under the laws of a Non-cooperative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90170</wp:posOffset>
            </wp:positionV>
            <wp:extent cx="77152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5" w:lineRule="exact"/>
        <w:rPr>
          <w:sz w:val="20"/>
          <w:szCs w:val="20"/>
          <w:color w:val="auto"/>
        </w:rPr>
      </w:pPr>
    </w:p>
    <w:p>
      <w:pPr>
        <w:ind w:left="224" w:hanging="224"/>
        <w:spacing w:after="0"/>
        <w:tabs>
          <w:tab w:leader="none" w:pos="224" w:val="left"/>
        </w:tabs>
        <w:numPr>
          <w:ilvl w:val="0"/>
          <w:numId w:val="13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 “senior foreign political figure” is a current or former senior official in the executive, legislative, administrative, military or judicial branches of a</w:t>
      </w:r>
    </w:p>
    <w:p>
      <w:pPr>
        <w:spacing w:after="0" w:line="27" w:lineRule="exact"/>
        <w:rPr>
          <w:sz w:val="20"/>
          <w:szCs w:val="20"/>
          <w:color w:val="auto"/>
        </w:rPr>
      </w:pPr>
    </w:p>
    <w:p>
      <w:pPr>
        <w:ind w:left="224" w:right="60"/>
        <w:spacing w:after="0" w:line="250" w:lineRule="auto"/>
        <w:rPr>
          <w:sz w:val="20"/>
          <w:szCs w:val="20"/>
          <w:color w:val="auto"/>
        </w:rPr>
      </w:pPr>
      <w:r>
        <w:rPr>
          <w:rFonts w:ascii="Times New Roman" w:cs="Times New Roman" w:eastAsia="Times New Roman" w:hAnsi="Times New Roman"/>
          <w:sz w:val="18"/>
          <w:szCs w:val="18"/>
          <w:color w:val="auto"/>
        </w:rPr>
        <w:t>foreign government (whether elected or not), a senior official of a major foreign political party, or a senior executive of a foreign government-owned commercial enterprise. For the purposes of the preceding sentence, a “senior official” is an individual with substantial authority over policy, operations or the use of government-owned resources. In addition, a “senior foreign political figure” includes any corporation, business or other entity that has been formed by, or for the benefit of, a senior foreign political figure.</w:t>
      </w:r>
    </w:p>
    <w:p>
      <w:pPr>
        <w:ind w:left="224" w:hanging="224"/>
        <w:spacing w:after="0"/>
        <w:tabs>
          <w:tab w:leader="none" w:pos="224" w:val="left"/>
        </w:tabs>
        <w:numPr>
          <w:ilvl w:val="0"/>
          <w:numId w:val="13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“Immediate family” of a senior foreign political figure includes the figure’s parents, siblings, spouse, children and in-laws.</w:t>
      </w:r>
    </w:p>
    <w:p>
      <w:pPr>
        <w:spacing w:after="0" w:line="9" w:lineRule="exact"/>
        <w:rPr>
          <w:sz w:val="20"/>
          <w:szCs w:val="20"/>
          <w:color w:val="auto"/>
        </w:rPr>
      </w:pPr>
    </w:p>
    <w:p>
      <w:pPr>
        <w:ind w:left="224" w:hanging="224"/>
        <w:spacing w:after="0"/>
        <w:tabs>
          <w:tab w:leader="none" w:pos="224" w:val="left"/>
        </w:tabs>
        <w:numPr>
          <w:ilvl w:val="0"/>
          <w:numId w:val="140"/>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 “close associate” of a senior foreign political figure is a person who is widely and publicly known (or actually known by the Subscriber) to</w:t>
      </w:r>
    </w:p>
    <w:p>
      <w:pPr>
        <w:spacing w:after="0" w:line="10" w:lineRule="exact"/>
        <w:rPr>
          <w:sz w:val="20"/>
          <w:szCs w:val="20"/>
          <w:color w:val="auto"/>
        </w:rPr>
      </w:pPr>
    </w:p>
    <w:p>
      <w:pPr>
        <w:ind w:left="224"/>
        <w:spacing w:after="0"/>
        <w:rPr>
          <w:sz w:val="20"/>
          <w:szCs w:val="20"/>
          <w:color w:val="auto"/>
        </w:rPr>
      </w:pPr>
      <w:r>
        <w:rPr>
          <w:rFonts w:ascii="Times New Roman" w:cs="Times New Roman" w:eastAsia="Times New Roman" w:hAnsi="Times New Roman"/>
          <w:sz w:val="18"/>
          <w:szCs w:val="18"/>
          <w:color w:val="auto"/>
        </w:rPr>
        <w:t>maintain an unusually close personal or professional relationship with the senior foreign political figure.</w:t>
      </w:r>
    </w:p>
    <w:p>
      <w:pPr>
        <w:spacing w:after="0" w:line="8" w:lineRule="exact"/>
        <w:rPr>
          <w:sz w:val="20"/>
          <w:szCs w:val="20"/>
          <w:color w:val="auto"/>
        </w:rPr>
      </w:pPr>
    </w:p>
    <w:p>
      <w:pPr>
        <w:ind w:left="224" w:right="120" w:hanging="224"/>
        <w:spacing w:after="0" w:line="265" w:lineRule="auto"/>
        <w:tabs>
          <w:tab w:leader="none" w:pos="224"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A “politically exposed person” means: (i) a person who is or has been entrusted with prominent public functions by a foreign (non-Cayman Islands) country, for example a Head of State or of government, senior politician, senior government, judicial or military official, senior executive of a state owned corporation, and important political party official; (ii) a person who is or has been entrusted domestically (in the Cayman Islands) with prominent public functions, for example a Head of State or of government, senior politician, senior government, judicial or military official, senior executives of a state owned corporation and important political party official; and (iii) a person who is or has been entrusted with a prominent function by an international organization like a member of senior management, such as a director, a deputy director and a member of the board or</w:t>
      </w:r>
    </w:p>
    <w:p>
      <w:pPr>
        <w:spacing w:after="0" w:line="2" w:lineRule="exact"/>
        <w:rPr>
          <w:sz w:val="20"/>
          <w:szCs w:val="20"/>
          <w:color w:val="auto"/>
        </w:rPr>
      </w:pPr>
    </w:p>
    <w:p>
      <w:pPr>
        <w:ind w:left="224"/>
        <w:spacing w:after="0"/>
        <w:rPr>
          <w:sz w:val="20"/>
          <w:szCs w:val="20"/>
          <w:color w:val="auto"/>
        </w:rPr>
      </w:pPr>
      <w:r>
        <w:rPr>
          <w:rFonts w:ascii="Times New Roman" w:cs="Times New Roman" w:eastAsia="Times New Roman" w:hAnsi="Times New Roman"/>
          <w:sz w:val="18"/>
          <w:szCs w:val="18"/>
          <w:color w:val="auto"/>
        </w:rPr>
        <w:t>equivalent functions.</w:t>
      </w:r>
    </w:p>
    <w:p>
      <w:pPr>
        <w:spacing w:after="0" w:line="8" w:lineRule="exact"/>
        <w:rPr>
          <w:sz w:val="20"/>
          <w:szCs w:val="20"/>
          <w:color w:val="auto"/>
        </w:rPr>
      </w:pPr>
    </w:p>
    <w:p>
      <w:pPr>
        <w:ind w:left="224" w:hanging="224"/>
        <w:spacing w:after="0"/>
        <w:tabs>
          <w:tab w:leader="none" w:pos="224" w:val="left"/>
        </w:tabs>
        <w:numPr>
          <w:ilvl w:val="0"/>
          <w:numId w:val="14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 “family member” means the spouse, parent, sibling or child of a politically exposed person.</w:t>
      </w:r>
    </w:p>
    <w:p>
      <w:pPr>
        <w:spacing w:after="0" w:line="9" w:lineRule="exact"/>
        <w:rPr>
          <w:sz w:val="20"/>
          <w:szCs w:val="20"/>
          <w:color w:val="auto"/>
        </w:rPr>
      </w:pPr>
    </w:p>
    <w:p>
      <w:pPr>
        <w:ind w:left="224" w:right="40" w:hanging="224"/>
        <w:spacing w:after="0" w:line="265" w:lineRule="auto"/>
        <w:tabs>
          <w:tab w:leader="none" w:pos="224" w:val="left"/>
        </w:tabs>
        <w:numPr>
          <w:ilvl w:val="0"/>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A “close associate” means any natural person who is known to hold the ownership or control of a legal instrument or person jointly with a politically exposed person, or who maintains some other kind of close business or personal relationship with a politically exposed person, or who holds the ownership or control of a legal instrument or person which is known to have been established for the benefit of a politically exposed person.</w:t>
      </w:r>
    </w:p>
    <w:p>
      <w:pPr>
        <w:spacing w:after="0" w:line="1" w:lineRule="exact"/>
        <w:rPr>
          <w:rFonts w:ascii="Times New Roman" w:cs="Times New Roman" w:eastAsia="Times New Roman" w:hAnsi="Times New Roman"/>
          <w:sz w:val="14"/>
          <w:szCs w:val="14"/>
          <w:color w:val="auto"/>
        </w:rPr>
      </w:pPr>
    </w:p>
    <w:p>
      <w:pPr>
        <w:ind w:left="224" w:right="360" w:hanging="224"/>
        <w:spacing w:after="0" w:line="255" w:lineRule="auto"/>
        <w:tabs>
          <w:tab w:leader="none" w:pos="224" w:val="left"/>
        </w:tabs>
        <w:numPr>
          <w:ilvl w:val="0"/>
          <w:numId w:val="14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 “shell bank” means any institution that accepts currency for deposit and that (i) has no physical presence in the jurisdiction in which it is incorporated or in which it is operating, as the case may be, and (ii) is unaffiliated with a regulated financial group that is subject to consolidated supervision.</w:t>
      </w:r>
    </w:p>
    <w:p>
      <w:pPr>
        <w:spacing w:after="0" w:line="11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4"/>
          </w:cols>
          <w:pgMar w:left="436" w:top="270" w:right="479" w:bottom="1440" w:gutter="0" w:footer="0" w:header="0"/>
        </w:sectPr>
      </w:pPr>
    </w:p>
    <w:bookmarkStart w:id="163" w:name="page164"/>
    <w:bookmarkEnd w:id="163"/>
    <w:p>
      <w:pPr>
        <w:ind w:left="4" w:firstLine="987"/>
        <w:spacing w:after="0" w:line="258" w:lineRule="auto"/>
        <w:tabs>
          <w:tab w:leader="none" w:pos="12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Subscriber does not know or have any reason to suspect (i) that any part of the Subscriber’s subscription funds have been or will be derived from, or related to, any unlawful activities, including but not limited to, money laundering activities, or (ii) that any part of the proceeds of the Subscriber’s investment in the Company will be used to finance any unlawful activities. The Subscriber represents that the Subscriber’s Capital Contributions will be funded with funds that are from legitimate sources in connection with its regular business activities and which do not constitute the proceeds of criminal conduct or criminal property within the meaning given in the Proceeds of Crime Act (As Revised) of the Cayman Islands.</w:t>
      </w:r>
    </w:p>
    <w:p>
      <w:pPr>
        <w:spacing w:after="0" w:line="183" w:lineRule="exact"/>
        <w:rPr>
          <w:sz w:val="20"/>
          <w:szCs w:val="20"/>
          <w:color w:val="auto"/>
        </w:rPr>
      </w:pPr>
    </w:p>
    <w:p>
      <w:pPr>
        <w:ind w:left="4" w:firstLine="987"/>
        <w:spacing w:after="0" w:line="254" w:lineRule="auto"/>
        <w:tabs>
          <w:tab w:leader="none" w:pos="132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Subscriber acknowledges that the Company or the Adviser may require further evidence of the identity of the Subscriber or Subscriber Related Parties in order to comply with applicable Compliance Laws. The Subscriber will promptly provide such materials as may be requested from time to time by the Company or the Adviser in its reasonable discretion in order for the Company and the Adviser to comply with legal, administrative and regulatory requirements that require the Company or the Adviser to verify or, as the case may be, further verify the identity of the Subscriber and the source of funds paid to the Company by the Subscriber and the identities of persons associated with the Subscriber, or shall otherwise cooperate with the Company and the Adviser to address and satisfy such requirements. The Subscriber agrees that the Company and the Adviser shall be held harmless and be indemnified against any loss arising as a result of a failure to process the subscription if such evidence has been required by the Company or the Adviser and has not been provided by the Subscriber in a timely manner.</w:t>
      </w:r>
    </w:p>
    <w:p>
      <w:pPr>
        <w:spacing w:after="0" w:line="191" w:lineRule="exact"/>
        <w:rPr>
          <w:rFonts w:ascii="Times New Roman" w:cs="Times New Roman" w:eastAsia="Times New Roman" w:hAnsi="Times New Roman"/>
          <w:sz w:val="18"/>
          <w:szCs w:val="18"/>
          <w:color w:val="auto"/>
        </w:rPr>
      </w:pPr>
    </w:p>
    <w:p>
      <w:pPr>
        <w:ind w:left="4" w:right="60" w:firstLine="987"/>
        <w:spacing w:after="0" w:line="255" w:lineRule="auto"/>
        <w:tabs>
          <w:tab w:leader="none" w:pos="134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Subscriber understands and agrees that the Company may “freeze” the Subscriber’s Shares, either by prohibiting additional contributions and/or declining any Transfer or withdrawal requests with respect to such Shares, if the Adviser determines in good faith that such action is necessary or advisable in light of applicable Compliance Laws or is otherwise required by law. To the extent permitted by law, the Company will give reasonable prior written notice to the Subscriber where practicable in the event of such a “freeze.” The Subscriber acknowledges and agrees that</w:t>
      </w:r>
    </w:p>
    <w:p>
      <w:pPr>
        <w:spacing w:after="0" w:line="2" w:lineRule="exact"/>
        <w:rPr>
          <w:rFonts w:ascii="Times New Roman" w:cs="Times New Roman" w:eastAsia="Times New Roman" w:hAnsi="Times New Roman"/>
          <w:sz w:val="18"/>
          <w:szCs w:val="18"/>
          <w:color w:val="auto"/>
        </w:rPr>
      </w:pPr>
    </w:p>
    <w:p>
      <w:pPr>
        <w:ind w:left="4" w:right="60" w:hanging="4"/>
        <w:spacing w:after="0" w:line="252" w:lineRule="auto"/>
        <w:tabs>
          <w:tab w:leader="none" w:pos="219"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the Subscriber or a Subscriber Related Party be, or become at any time during its investment in the Company, a Sanctioned Party, the Company or the Adviser or their duly authorized delegate may immediately and without notice to the Subscriber cease any further dealings with the Subscriber and/or the Subscriber’s interest in the Company until the Subscriber ceases to be a Sanctioned Party or a license is obtained under applicable law to continue such dealings (a “</w:t>
      </w:r>
      <w:r>
        <w:rPr>
          <w:rFonts w:ascii="Times New Roman" w:cs="Times New Roman" w:eastAsia="Times New Roman" w:hAnsi="Times New Roman"/>
          <w:sz w:val="18"/>
          <w:szCs w:val="18"/>
          <w:u w:val="single" w:color="auto"/>
          <w:color w:val="auto"/>
        </w:rPr>
        <w:t>Sanctioned Party Event</w:t>
      </w:r>
      <w:r>
        <w:rPr>
          <w:rFonts w:ascii="Times New Roman" w:cs="Times New Roman" w:eastAsia="Times New Roman" w:hAnsi="Times New Roman"/>
          <w:sz w:val="18"/>
          <w:szCs w:val="18"/>
          <w:color w:val="auto"/>
        </w:rPr>
        <w:t>”), and (ii) the Company and the Adviser shall have no liability whatsoever for any liabilities, costs, expenses, damages and/or losses (including, but not limited to, any direct, indirect or consequential losses, loss of profit, loss of revenue, loss of reputation and all interest, penalties and legal costs and all other professional costs and expenses) incurred by the Subscriber as a result of a Sanctioned Party Event.</w:t>
      </w:r>
    </w:p>
    <w:p>
      <w:pPr>
        <w:spacing w:after="0" w:line="188" w:lineRule="exact"/>
        <w:rPr>
          <w:rFonts w:ascii="Times New Roman" w:cs="Times New Roman" w:eastAsia="Times New Roman" w:hAnsi="Times New Roman"/>
          <w:sz w:val="18"/>
          <w:szCs w:val="18"/>
          <w:color w:val="auto"/>
        </w:rPr>
      </w:pPr>
    </w:p>
    <w:p>
      <w:pPr>
        <w:jc w:val="both"/>
        <w:ind w:left="4" w:right="280" w:firstLine="987"/>
        <w:spacing w:after="0" w:line="258" w:lineRule="auto"/>
        <w:tabs>
          <w:tab w:leader="none" w:pos="132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Subscriber authorizes and consents to the Company or the Adviser, on behalf of the Company, releasing information about the Subscriber and, if applicable, any Subscriber Related Parties, to appropriate governmental authorities or third parties if the Company or the Adviser, determine in good faith that it is in the best interests of the Company in light of applicable Compliance Laws or is otherwise required by law. To the extent permitted by law, the Company or the Adviser will give reasonable prior written notice to the Subscriber where such release of information is necessary.</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4"/>
          </w:cols>
          <w:pgMar w:left="436" w:top="270" w:right="459" w:bottom="1440" w:gutter="0" w:footer="0" w:header="0"/>
        </w:sectPr>
      </w:pPr>
    </w:p>
    <w:bookmarkStart w:id="164" w:name="page165"/>
    <w:bookmarkEnd w:id="164"/>
    <w:p>
      <w:pPr>
        <w:ind w:left="4" w:firstLine="987"/>
        <w:spacing w:after="0" w:line="252" w:lineRule="auto"/>
        <w:tabs>
          <w:tab w:leader="none" w:pos="134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Subscriber is a fund of funds, the Subscriber (i) will not deliver, and has not disclosed or delivered prior to the date hereof, any materials regarding the Company, the Adviser or their respective affiliates, other than any information about a Subscriber’s own Capital Commitment and Unused Capital Commitment (collectively, “</w:t>
      </w:r>
      <w:r>
        <w:rPr>
          <w:rFonts w:ascii="Times New Roman" w:cs="Times New Roman" w:eastAsia="Times New Roman" w:hAnsi="Times New Roman"/>
          <w:sz w:val="18"/>
          <w:szCs w:val="18"/>
          <w:u w:val="single" w:color="auto"/>
          <w:color w:val="auto"/>
        </w:rPr>
        <w:t>Fund Level Information</w:t>
      </w:r>
      <w:r>
        <w:rPr>
          <w:rFonts w:ascii="Times New Roman" w:cs="Times New Roman" w:eastAsia="Times New Roman" w:hAnsi="Times New Roman"/>
          <w:sz w:val="18"/>
          <w:szCs w:val="18"/>
          <w:color w:val="auto"/>
        </w:rPr>
        <w:t>”) or materials or information that were publicly known at the time of such delivery, unless (A) such materials or information are or were delivered to its underlying investors or prospective investors who have indicated a bona fide interest in subscribing for shares in the Subscriber (each, a “</w:t>
      </w:r>
      <w:r>
        <w:rPr>
          <w:rFonts w:ascii="Times New Roman" w:cs="Times New Roman" w:eastAsia="Times New Roman" w:hAnsi="Times New Roman"/>
          <w:sz w:val="18"/>
          <w:szCs w:val="18"/>
          <w:u w:val="single" w:color="auto"/>
          <w:color w:val="auto"/>
        </w:rPr>
        <w:t>Potential Investor</w:t>
      </w:r>
      <w:r>
        <w:rPr>
          <w:rFonts w:ascii="Times New Roman" w:cs="Times New Roman" w:eastAsia="Times New Roman" w:hAnsi="Times New Roman"/>
          <w:sz w:val="18"/>
          <w:szCs w:val="18"/>
          <w:color w:val="auto"/>
        </w:rPr>
        <w:t>”), (B) such delivery is or has been approved by the Adviser in writing and (C) such Potential Investors agree or have agreed to maintain the confidentiality of such information in accordance with confidentiality obligations at least as protective of the confidentiality of such information as Section 10.13 (the “</w:t>
      </w:r>
      <w:r>
        <w:rPr>
          <w:rFonts w:ascii="Times New Roman" w:cs="Times New Roman" w:eastAsia="Times New Roman" w:hAnsi="Times New Roman"/>
          <w:sz w:val="18"/>
          <w:szCs w:val="18"/>
          <w:u w:val="single" w:color="auto"/>
          <w:color w:val="auto"/>
        </w:rPr>
        <w:t>Confidentiality Provision</w:t>
      </w:r>
      <w:r>
        <w:rPr>
          <w:rFonts w:ascii="Times New Roman" w:cs="Times New Roman" w:eastAsia="Times New Roman" w:hAnsi="Times New Roman"/>
          <w:sz w:val="18"/>
          <w:szCs w:val="18"/>
          <w:color w:val="auto"/>
        </w:rPr>
        <w:t>”) and (ii) has not made, and will not in the future make, representations regarding the Company, the Adviser, Sixth Street or their respective affiliates to Potential Investors, other than as approved by the Adviser in writing. To the extent any materials are provided to Potential Investors pursuant to the preceding sentence, the Subscriber shall be responsible for any breach of such confidentiality obligations by such Potential Investor to the same extent that the Subscriber would be liable had it breached the Confidentiality Provision itself. The Subscriber agrees that all materials prepared for or in connection with the Subscriber’s offering that are distributed to Potential Investors (collectively, the “</w:t>
      </w:r>
      <w:r>
        <w:rPr>
          <w:rFonts w:ascii="Times New Roman" w:cs="Times New Roman" w:eastAsia="Times New Roman" w:hAnsi="Times New Roman"/>
          <w:sz w:val="18"/>
          <w:szCs w:val="18"/>
          <w:u w:val="single" w:color="auto"/>
          <w:color w:val="auto"/>
        </w:rPr>
        <w:t>Investment Materials</w:t>
      </w:r>
      <w:r>
        <w:rPr>
          <w:rFonts w:ascii="Times New Roman" w:cs="Times New Roman" w:eastAsia="Times New Roman" w:hAnsi="Times New Roman"/>
          <w:sz w:val="18"/>
          <w:szCs w:val="18"/>
          <w:color w:val="auto"/>
        </w:rPr>
        <w:t>”) shall include a disclaimer that such Investment Materials are not sponsored or endorsed by Sixth Street or the Adviser, or any of their affiliates, and shall include a prominent notice that the information contained therein regarding the Company, the Adviser, Sixth Street or their respective affiliates constitutes confidential information. Further, the Subscriber represents and warrants that none of the Investment Materials, whether distributed to Potential Investors prior to or after the date hereof, (i) contain any untrue statement of a material fact or omit to state a material fact necessary to make the statements therein not misleading or (ii) use the name of the Company, the Adviser, Sixth Street or any persons affiliated thereto (or any derivations thereof), other than as approved by the Adviser in writing.</w:t>
      </w:r>
    </w:p>
    <w:p>
      <w:pPr>
        <w:spacing w:after="0" w:line="193" w:lineRule="exact"/>
        <w:rPr>
          <w:rFonts w:ascii="Times New Roman" w:cs="Times New Roman" w:eastAsia="Times New Roman" w:hAnsi="Times New Roman"/>
          <w:sz w:val="18"/>
          <w:szCs w:val="18"/>
          <w:color w:val="auto"/>
        </w:rPr>
      </w:pPr>
    </w:p>
    <w:p>
      <w:pPr>
        <w:ind w:left="1324" w:hanging="333"/>
        <w:spacing w:after="0"/>
        <w:tabs>
          <w:tab w:leader="none" w:pos="1324"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Subscriber is a fund of funds, the Subscriber represents and warrants that any offering of interests in the Subscriber shall</w:t>
      </w:r>
    </w:p>
    <w:p>
      <w:pPr>
        <w:spacing w:after="0" w:line="27" w:lineRule="exact"/>
        <w:rPr>
          <w:rFonts w:ascii="Times New Roman" w:cs="Times New Roman" w:eastAsia="Times New Roman" w:hAnsi="Times New Roman"/>
          <w:sz w:val="18"/>
          <w:szCs w:val="18"/>
          <w:color w:val="auto"/>
        </w:rPr>
      </w:pPr>
    </w:p>
    <w:p>
      <w:pPr>
        <w:ind w:left="224" w:hanging="224"/>
        <w:spacing w:after="0"/>
        <w:tabs>
          <w:tab w:leader="none" w:pos="224"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all applicable securities laws, including, but not limited to, the 1933 Act and securities laws of the various states or any non-U.S.</w:t>
      </w:r>
    </w:p>
    <w:p>
      <w:pPr>
        <w:spacing w:after="0" w:line="9" w:lineRule="exact"/>
        <w:rPr>
          <w:rFonts w:ascii="Times New Roman" w:cs="Times New Roman" w:eastAsia="Times New Roman" w:hAnsi="Times New Roman"/>
          <w:sz w:val="18"/>
          <w:szCs w:val="18"/>
          <w:color w:val="auto"/>
        </w:rPr>
      </w:pPr>
    </w:p>
    <w:p>
      <w:pPr>
        <w:ind w:left="4" w:right="30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jurisdiction and (ii) be made only to Potential Investors that are Accredited Investors. The Subscriber shall indemnify, defend and hold harmless the Company, the Adviser, Sixth Street, their affiliates and their respective directors, officers, members, partners, shareholders, employees and agents (collectively, the “</w:t>
      </w:r>
      <w:r>
        <w:rPr>
          <w:rFonts w:ascii="Times New Roman" w:cs="Times New Roman" w:eastAsia="Times New Roman" w:hAnsi="Times New Roman"/>
          <w:sz w:val="18"/>
          <w:szCs w:val="18"/>
          <w:u w:val="single" w:color="auto"/>
          <w:color w:val="auto"/>
        </w:rPr>
        <w:t>Indemnified Persons</w:t>
      </w:r>
      <w:r>
        <w:rPr>
          <w:rFonts w:ascii="Times New Roman" w:cs="Times New Roman" w:eastAsia="Times New Roman" w:hAnsi="Times New Roman"/>
          <w:sz w:val="18"/>
          <w:szCs w:val="18"/>
          <w:color w:val="auto"/>
        </w:rPr>
        <w:t>”) from and against any and all losses, damages, liabilities, judgments, costs and expenses (including, without limitation, reasonable attorneys’ fees and disbursements) and amounts paid in settlement (collectively,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resulting from any demand, claim, arbitration, lawsuit, mediation or other proceeding (each, a “</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resulting from, or in connection with, the offering of interests in the Subscriber, other than to the extent resulting from an Indemnified Person’s fraud, willful misconduct or gross negligence, in each case directly in connection with the offering of interests in the Subscriber and as finally determined by a court of competent jurisdiction or in a final arbitration proceeding.</w:t>
      </w:r>
    </w:p>
    <w:p>
      <w:pPr>
        <w:spacing w:after="0" w:line="193" w:lineRule="exact"/>
        <w:rPr>
          <w:rFonts w:ascii="Times New Roman" w:cs="Times New Roman" w:eastAsia="Times New Roman" w:hAnsi="Times New Roman"/>
          <w:sz w:val="18"/>
          <w:szCs w:val="18"/>
          <w:color w:val="auto"/>
        </w:rPr>
      </w:pPr>
    </w:p>
    <w:p>
      <w:pPr>
        <w:ind w:left="4" w:right="20" w:firstLine="987"/>
        <w:spacing w:after="0" w:line="256" w:lineRule="auto"/>
        <w:tabs>
          <w:tab w:leader="none" w:pos="1277"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Subscriber is a fund of funds or other entity investing on behalf of third parties, (i) the Subscriber is in compliance in all material respects with all applicable Compliance Laws, (ii) the Subscriber has anti-money laundering policies and procedures in place reasonably designed to verify the identity of its beneficial owners and/or underlying investors and their sources of funds and to confirm that no beneficial owner and/or underlying investor is a party with whom a U.S. person is prohibited from dealing under applicable Sanctions, and (iii) the Subscriber has established the identities of and conducted thorough due diligence with respect to all of its beneficial owners and/or underlying investors who beneficially own, directly or indirectly, 10% or more of the Subscriber or invested funds.</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4"/>
          </w:cols>
          <w:pgMar w:left="436" w:top="270" w:right="459" w:bottom="1440" w:gutter="0" w:footer="0" w:header="0"/>
        </w:sectPr>
      </w:pPr>
    </w:p>
    <w:bookmarkStart w:id="165" w:name="page166"/>
    <w:bookmarkEnd w:id="165"/>
    <w:p>
      <w:pPr>
        <w:ind w:left="1340" w:hanging="353"/>
        <w:spacing w:after="0"/>
        <w:tabs>
          <w:tab w:leader="none" w:pos="13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Subscriber is either:</w:t>
      </w:r>
    </w:p>
    <w:p>
      <w:pPr>
        <w:spacing w:after="0" w:line="117"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 partnership, grantor trust, S corporation, limited liability company or other pass-through entity for U.S. federal income tax</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purposes; or</w:t>
      </w:r>
    </w:p>
    <w:p>
      <w:pPr>
        <w:spacing w:after="0" w:line="98" w:lineRule="exact"/>
        <w:rPr>
          <w:rFonts w:ascii="Times New Roman" w:cs="Times New Roman" w:eastAsia="Times New Roman" w:hAnsi="Times New Roman"/>
          <w:sz w:val="18"/>
          <w:szCs w:val="18"/>
          <w:color w:val="auto"/>
        </w:rPr>
      </w:pPr>
    </w:p>
    <w:p>
      <w:pPr>
        <w:ind w:left="440" w:firstLine="948"/>
        <w:spacing w:after="0" w:line="261" w:lineRule="auto"/>
        <w:tabs>
          <w:tab w:leader="none" w:pos="1657"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it is an entity referred to in clause (i), then either: (x) it was not formed for the purpose of acquiring all or part of the Subscriber’s Shares and not more than 50% of the value of the interest of each of its beneficial owners will be attributable to the Subscriber’s Shares so acquired, or (y) it has only the number of ultimate beneficial owners (looking through a pass-through entity described in clause (i) above to its beneficial owners.</w:t>
      </w:r>
    </w:p>
    <w:p>
      <w:pPr>
        <w:spacing w:after="0" w:line="71" w:lineRule="exact"/>
        <w:rPr>
          <w:rFonts w:ascii="Times New Roman" w:cs="Times New Roman" w:eastAsia="Times New Roman" w:hAnsi="Times New Roman"/>
          <w:sz w:val="18"/>
          <w:szCs w:val="18"/>
          <w:color w:val="auto"/>
        </w:rPr>
      </w:pPr>
    </w:p>
    <w:p>
      <w:pPr>
        <w:ind w:firstLine="987"/>
        <w:spacing w:after="0" w:line="253" w:lineRule="auto"/>
        <w:tabs>
          <w:tab w:leader="none" w:pos="1336"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Subscriber understands, acknowledges and agrees, in connection with any borrowings by the Company that are secured by a pledge, charge, mortgage, assignment (including an assignment by way of security), transfer or grant of a security interest in the Capital Commitment and the right to call and receive capital from the Subscribers (each such financing, a “Subscription Facility”), that: (i) if the Adviser or the lender under a Subscription Facility duly calls the Capital Commitment from the Subscriber that the Subscriber is obligated to fund pursuant to the terms of this Agreement (including, without limitation, those required as a result of the failure of any Other Subscriber to advance funds with respect to a call for a Capital Commitment), the Subscriber shall remain absolutely and unconditionally obligated to fund such Capital Commitments without setoff, counterclaim or defense, including without limitation, any defense of fraud or mistake, or any defense under any bankruptcy or insolvency law, including Section 365 of the Bankruptcy Code, subject in all cases to its rights to assert such claims against the Company in one or more separate actions; provided that any such claims shall be subordinate to all payments due to the lenders under a Subscription Facility; and (ii) any lender under a Subscription Facility will extend credit to the Company in reliance on such Subscriber’s funding of its Capital Commitments as such lender’s primary source of repayment.</w:t>
      </w:r>
    </w:p>
    <w:p>
      <w:pPr>
        <w:spacing w:after="0" w:line="191" w:lineRule="exact"/>
        <w:rPr>
          <w:rFonts w:ascii="Times New Roman" w:cs="Times New Roman" w:eastAsia="Times New Roman" w:hAnsi="Times New Roman"/>
          <w:sz w:val="18"/>
          <w:szCs w:val="18"/>
          <w:color w:val="auto"/>
        </w:rPr>
      </w:pPr>
    </w:p>
    <w:p>
      <w:pPr>
        <w:ind w:right="40" w:firstLine="987"/>
        <w:spacing w:after="0" w:line="252" w:lineRule="auto"/>
        <w:tabs>
          <w:tab w:leader="none" w:pos="1256"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Subscriber agrees to execute and deliver in a timely manner such tax documentation as the Adviser may reasonably require in connection with the Company, including any documentation and other information reasonably requested by the Adviser to enable the Adviser and the Company to comply with (i) (A) Sections 1471 to 1474 of the Code and any other similar legislation, regulations or guidance enacted in any other jurisdiction which seeks to implement similar financial account information reporting and/or withholding tax regimes, (B) the OECD Standard for Automatic Exchange of Financial Account Information in Tax Matters – the Common Reporting Standard and any associated guidance, (C) any intergovernmental agreement, treaty, regulation, guidance, standard or other agreement entered into in order to comply with, facilitate, supplement or implement the legislation, regulations, guidance or standards described in sub-paragraphs (A) to (B), and (D) any legislation, regulations or guidance that give effect to the foregoing (the “</w:t>
      </w:r>
      <w:r>
        <w:rPr>
          <w:rFonts w:ascii="Times New Roman" w:cs="Times New Roman" w:eastAsia="Times New Roman" w:hAnsi="Times New Roman"/>
          <w:sz w:val="18"/>
          <w:szCs w:val="18"/>
          <w:u w:val="single" w:color="auto"/>
          <w:color w:val="auto"/>
        </w:rPr>
        <w:t>Tax Reporting Rules</w:t>
      </w:r>
      <w:r>
        <w:rPr>
          <w:rFonts w:ascii="Times New Roman" w:cs="Times New Roman" w:eastAsia="Times New Roman" w:hAnsi="Times New Roman"/>
          <w:sz w:val="18"/>
          <w:szCs w:val="18"/>
          <w:color w:val="auto"/>
        </w:rPr>
        <w:t>”), (ii) Chapter 63 of the Code, as amended by the Bipartisan Budget Act of 2015, and any subsequent amendment (and any Treasury regulations or other guidance, including that may be promulgated in the future, relating thereto) and, in each case, any provisions of U.S. federal, state, local, and non-U.S. law governing the preparation and filing of tax returns, interactions with taxing authorities, the conduct and resolution of examinations by tax authorities and payment of resulting tax liabilities, (iii) Section 1446(f) of the Code, and any subsequent amendment (and any Treasury regulations or other guidance, including that may be promulgated in the future, relating thereto) and, in each case, any similar provisions of state, local and non-U.S. law, and (iv) other applicable law. The Subscriber hereby represents that it has furnished to the Adviser (x) a valid and properly executed W-9, W-8BEN, W-8BEN-E, W-8ECI, W-8EXP or W-8IMY, and (y) any withholding certificates required by the Tax Reporting Rules, as applicable.</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166" w:name="page167"/>
    <w:bookmarkEnd w:id="166"/>
    <w:p>
      <w:pPr>
        <w:ind w:left="-20" w:right="60" w:firstLine="987"/>
        <w:spacing w:after="0" w:line="258" w:lineRule="auto"/>
        <w:tabs>
          <w:tab w:leader="none" w:pos="1236"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None of the information concerning the Subscriber nor any statement, certification, representation or warranty made by the Subscriber in this Agreement or in any document required to be provided under this Agreement (including, without limitation, the Investor Suitability Questionnaire, the Anti-Money Laundering Annex, any forms W-9, W-8BEN, W-8BEN-E, W-8ECI, W-8EXP and W-8IMY, and any withholding certificates provided in connection with the Tax Reporting Rules) contains any untrue statement of a material fact or omits to state a material fact necessary in order to make the statements contained therein or herein not misleading.</w:t>
      </w:r>
    </w:p>
    <w:p>
      <w:pPr>
        <w:spacing w:after="0" w:line="183" w:lineRule="exact"/>
        <w:rPr>
          <w:rFonts w:ascii="Times New Roman" w:cs="Times New Roman" w:eastAsia="Times New Roman" w:hAnsi="Times New Roman"/>
          <w:sz w:val="18"/>
          <w:szCs w:val="18"/>
          <w:color w:val="auto"/>
        </w:rPr>
      </w:pPr>
    </w:p>
    <w:p>
      <w:pPr>
        <w:ind w:left="-20" w:firstLine="987"/>
        <w:spacing w:after="0" w:line="254" w:lineRule="auto"/>
        <w:tabs>
          <w:tab w:leader="none" w:pos="1316"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Subscriber agrees that its certifications, representations, warranties, covenants and agreements herein shall survive the acceptance of this subscription, the Closing Date and the dissolution of the Company or the Transfer of the Subscriber’s Shares therein, without limitation as to time. Without limiting the foregoing, the Subscriber agrees to give the Company prompt written notice in the event that any statement, certification, representation or warranty of the Subscriber contained in this Article IV or any information provided by the Subscriber pursuant to this Agreement or in any document required to be provided under this Agreement (including, without limitation, the Investor Suitability Questionnaire, Anti-Money Laundering Annex, any forms W-9, W-8BEN, W-8BEN-E, W-8ECI, W-8EXP and W-8IMY, and any withholding certificates provided in connection with the Tax Reporting Rules) ceases to be true, correct and valid at any time following the date hereof and provide the Company with any updated IRS forms.</w:t>
      </w:r>
    </w:p>
    <w:p>
      <w:pPr>
        <w:spacing w:after="0" w:line="191" w:lineRule="exact"/>
        <w:rPr>
          <w:rFonts w:ascii="Times New Roman" w:cs="Times New Roman" w:eastAsia="Times New Roman" w:hAnsi="Times New Roman"/>
          <w:sz w:val="18"/>
          <w:szCs w:val="18"/>
          <w:color w:val="auto"/>
        </w:rPr>
      </w:pPr>
    </w:p>
    <w:p>
      <w:pPr>
        <w:ind w:left="-20" w:right="200" w:firstLine="987"/>
        <w:spacing w:after="0" w:line="258" w:lineRule="auto"/>
        <w:tabs>
          <w:tab w:leader="none" w:pos="1236"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Subscriber agrees to provide such information (including financial information) and execute and deliver such documents as the Company or the Adviser may reasonably request (i) to verify the accuracy of the Subscriber’s representations and warranties herein or to comply with any law or regulation, including any requirement that is a precondition to relief or exemption from any withholding taxes, assessments or other governmental charges, to which the Company or the Adviser may be subject or (ii) as may be necessary or desirable in connection with the making, management or disposition of an Investment or otherwise in connection with the operation of the Company.</w:t>
      </w:r>
    </w:p>
    <w:p>
      <w:pPr>
        <w:spacing w:after="0" w:line="183" w:lineRule="exact"/>
        <w:rPr>
          <w:rFonts w:ascii="Times New Roman" w:cs="Times New Roman" w:eastAsia="Times New Roman" w:hAnsi="Times New Roman"/>
          <w:sz w:val="18"/>
          <w:szCs w:val="18"/>
          <w:color w:val="auto"/>
        </w:rPr>
      </w:pPr>
    </w:p>
    <w:p>
      <w:pPr>
        <w:ind w:left="-20" w:firstLine="987"/>
        <w:spacing w:after="0" w:line="254" w:lineRule="auto"/>
        <w:tabs>
          <w:tab w:leader="none" w:pos="1416"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Subscriber or any other person who is the investor for the purposes of the European Union’s Directive 2011/61/EU on Alternative Investment Fund Managers (the “</w:t>
      </w:r>
      <w:r>
        <w:rPr>
          <w:rFonts w:ascii="Times New Roman" w:cs="Times New Roman" w:eastAsia="Times New Roman" w:hAnsi="Times New Roman"/>
          <w:sz w:val="18"/>
          <w:szCs w:val="18"/>
          <w:u w:val="single" w:color="auto"/>
          <w:color w:val="auto"/>
        </w:rPr>
        <w:t>AIFMD</w:t>
      </w:r>
      <w:r>
        <w:rPr>
          <w:rFonts w:ascii="Times New Roman" w:cs="Times New Roman" w:eastAsia="Times New Roman" w:hAnsi="Times New Roman"/>
          <w:sz w:val="18"/>
          <w:szCs w:val="18"/>
          <w:color w:val="auto"/>
        </w:rPr>
        <w:t>”) or the U.K. Alternative Investment Fund Managers Regulations 2013 (the “</w:t>
      </w:r>
      <w:r>
        <w:rPr>
          <w:rFonts w:ascii="Times New Roman" w:cs="Times New Roman" w:eastAsia="Times New Roman" w:hAnsi="Times New Roman"/>
          <w:sz w:val="18"/>
          <w:szCs w:val="18"/>
          <w:u w:val="single" w:color="auto"/>
          <w:color w:val="auto"/>
        </w:rPr>
        <w:t>AIFMR</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AIFMD/AIFMR Investor</w:t>
      </w:r>
      <w:r>
        <w:rPr>
          <w:rFonts w:ascii="Times New Roman" w:cs="Times New Roman" w:eastAsia="Times New Roman" w:hAnsi="Times New Roman"/>
          <w:sz w:val="18"/>
          <w:szCs w:val="18"/>
          <w:color w:val="auto"/>
        </w:rPr>
        <w:t>”) is resident, domiciled or registered in a member state of the European Economic Area (“</w:t>
      </w:r>
      <w:r>
        <w:rPr>
          <w:rFonts w:ascii="Times New Roman" w:cs="Times New Roman" w:eastAsia="Times New Roman" w:hAnsi="Times New Roman"/>
          <w:sz w:val="18"/>
          <w:szCs w:val="18"/>
          <w:u w:val="single" w:color="auto"/>
          <w:color w:val="auto"/>
        </w:rPr>
        <w:t>EEA</w:t>
      </w:r>
      <w:r>
        <w:rPr>
          <w:rFonts w:ascii="Times New Roman" w:cs="Times New Roman" w:eastAsia="Times New Roman" w:hAnsi="Times New Roman"/>
          <w:sz w:val="18"/>
          <w:szCs w:val="18"/>
          <w:color w:val="auto"/>
        </w:rPr>
        <w:t>”) or in the United Kingdom (“</w:t>
      </w:r>
      <w:r>
        <w:rPr>
          <w:rFonts w:ascii="Times New Roman" w:cs="Times New Roman" w:eastAsia="Times New Roman" w:hAnsi="Times New Roman"/>
          <w:sz w:val="18"/>
          <w:szCs w:val="18"/>
          <w:u w:val="single" w:color="auto"/>
          <w:color w:val="auto"/>
        </w:rPr>
        <w:t>U.K.</w:t>
      </w:r>
      <w:r>
        <w:rPr>
          <w:rFonts w:ascii="Times New Roman" w:cs="Times New Roman" w:eastAsia="Times New Roman" w:hAnsi="Times New Roman"/>
          <w:sz w:val="18"/>
          <w:szCs w:val="18"/>
          <w:color w:val="auto"/>
        </w:rPr>
        <w:t>”), the Subscriber acknowledges and, to the extent a person other than the Subscriber qualifies as the AIFMD/AIFMR Investor (the “</w:t>
      </w:r>
      <w:r>
        <w:rPr>
          <w:rFonts w:ascii="Times New Roman" w:cs="Times New Roman" w:eastAsia="Times New Roman" w:hAnsi="Times New Roman"/>
          <w:sz w:val="18"/>
          <w:szCs w:val="18"/>
          <w:u w:val="single" w:color="auto"/>
          <w:color w:val="auto"/>
        </w:rPr>
        <w:t>Non-subscribing AIFMD/AIFMR Investor</w:t>
      </w:r>
      <w:r>
        <w:rPr>
          <w:rFonts w:ascii="Times New Roman" w:cs="Times New Roman" w:eastAsia="Times New Roman" w:hAnsi="Times New Roman"/>
          <w:sz w:val="18"/>
          <w:szCs w:val="18"/>
          <w:color w:val="auto"/>
        </w:rPr>
        <w:t>”), confirms that the Non-subscribing AIFMD/AIFMR Investor is aware, that neither the Company nor the Adviser is authorized or is expected to be authorized under the AIFMD, the AIFMR or the relevant national implementing laws, and the substantive requirements applicable to authorized “Alternative Investment Fund Managers” under the AIFMD and the AIFMR are not applicable to the Company or the Adviser (except for certain limited requirements that may apply to the Company or the Adviser as a result of registrations made in certain EEA member states or in the U.K. for the purpose of marketing under Article 42 of the AIFMD and Regulation 59 of the AIFMR).</w:t>
      </w:r>
    </w:p>
    <w:p>
      <w:pPr>
        <w:spacing w:after="0" w:line="188" w:lineRule="exact"/>
        <w:rPr>
          <w:rFonts w:ascii="Times New Roman" w:cs="Times New Roman" w:eastAsia="Times New Roman" w:hAnsi="Times New Roman"/>
          <w:sz w:val="18"/>
          <w:szCs w:val="18"/>
          <w:color w:val="auto"/>
        </w:rPr>
      </w:pPr>
    </w:p>
    <w:p>
      <w:pPr>
        <w:ind w:left="-20" w:right="180" w:firstLine="987"/>
        <w:spacing w:after="0" w:line="261" w:lineRule="auto"/>
        <w:tabs>
          <w:tab w:leader="none" w:pos="1316"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Subscriber or the Non-subscribing AIFMD/AIFMR Investor is resident, domiciled or registered in a member state of the EEA or in the U.K., the Subscriber hereby represents and warrants to each of the Company and the Adviser that it or the Non-subscribing AIFMD/AIFMR Investor (as applicable) is a “professional investor” as defined under Article 4.1(ag) of the AIFMD (and the equivalent provisions of the AIFMR) and implemented in the relevant EEA member state or in the U.K.</w:t>
      </w:r>
    </w:p>
    <w:p>
      <w:pPr>
        <w:spacing w:after="0" w:line="179" w:lineRule="exact"/>
        <w:rPr>
          <w:rFonts w:ascii="Times New Roman" w:cs="Times New Roman" w:eastAsia="Times New Roman" w:hAnsi="Times New Roman"/>
          <w:sz w:val="18"/>
          <w:szCs w:val="18"/>
          <w:color w:val="auto"/>
        </w:rPr>
      </w:pPr>
    </w:p>
    <w:p>
      <w:pPr>
        <w:ind w:left="-20" w:right="180" w:firstLine="987"/>
        <w:spacing w:after="0" w:line="258" w:lineRule="auto"/>
        <w:tabs>
          <w:tab w:leader="none" w:pos="1316"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Subscriber or the Non-subscribing AIFMD/AIFMR Investor is resident, domiciled or registered in a member state of the EEA or in the U.K., the Subscriber hereby represents and warrants to each of the Company and the Adviser either that it or the Non-subscribing AIFMD/AIFMR Investor, as applicable (i) is not a local public authority or municipality, or (ii) has elected and is capable of being treated as an “elective Professional Client” in accordance with applicable law and regulation in the jurisdiction of establishment of the Subscriber or the Non-subscribing AIFMD/AIFMR Investor, as applicable.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80"/>
          </w:cols>
          <w:pgMar w:left="460" w:top="270" w:right="459" w:bottom="1440" w:gutter="0" w:footer="0" w:header="0"/>
        </w:sectPr>
      </w:pPr>
    </w:p>
    <w:bookmarkStart w:id="167" w:name="page168"/>
    <w:bookmarkEnd w:id="167"/>
    <w:p>
      <w:pPr>
        <w:ind w:left="-20" w:right="180" w:firstLine="987"/>
        <w:spacing w:after="0" w:line="261" w:lineRule="auto"/>
        <w:tabs>
          <w:tab w:leader="none" w:pos="1316"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Subscriber is resident, domiciled or registered in Switzerland, the Subscriber hereby represents and warrants to each of the Company and the Adviser that it is a professional client pursuant to article 5(1) of the Swiss Federal Act on Financial Services (“</w:t>
      </w:r>
      <w:r>
        <w:rPr>
          <w:rFonts w:ascii="Times New Roman" w:cs="Times New Roman" w:eastAsia="Times New Roman" w:hAnsi="Times New Roman"/>
          <w:sz w:val="18"/>
          <w:szCs w:val="18"/>
          <w:u w:val="single" w:color="auto"/>
          <w:color w:val="auto"/>
        </w:rPr>
        <w:t>FinSA</w:t>
      </w:r>
      <w:r>
        <w:rPr>
          <w:rFonts w:ascii="Times New Roman" w:cs="Times New Roman" w:eastAsia="Times New Roman" w:hAnsi="Times New Roman"/>
          <w:sz w:val="18"/>
          <w:szCs w:val="18"/>
          <w:color w:val="auto"/>
        </w:rPr>
        <w:t>”), as amended from time to time and its implementing ordinances, and, therefore a qualified investor within the meaning of article 10(3) of the Swiss Federal Act on Collective Investment Schemes (“</w:t>
      </w:r>
      <w:r>
        <w:rPr>
          <w:rFonts w:ascii="Times New Roman" w:cs="Times New Roman" w:eastAsia="Times New Roman" w:hAnsi="Times New Roman"/>
          <w:sz w:val="18"/>
          <w:szCs w:val="18"/>
          <w:u w:val="single" w:color="auto"/>
          <w:color w:val="auto"/>
        </w:rPr>
        <w:t>CISA</w:t>
      </w:r>
      <w:r>
        <w:rPr>
          <w:rFonts w:ascii="Times New Roman" w:cs="Times New Roman" w:eastAsia="Times New Roman" w:hAnsi="Times New Roman"/>
          <w:sz w:val="18"/>
          <w:szCs w:val="18"/>
          <w:color w:val="auto"/>
        </w:rPr>
        <w:t>”), as amended from time to time, and its implementing ordinances.</w:t>
      </w:r>
    </w:p>
    <w:p>
      <w:pPr>
        <w:spacing w:after="0" w:line="179" w:lineRule="exact"/>
        <w:rPr>
          <w:rFonts w:ascii="Times New Roman" w:cs="Times New Roman" w:eastAsia="Times New Roman" w:hAnsi="Times New Roman"/>
          <w:sz w:val="18"/>
          <w:szCs w:val="18"/>
          <w:color w:val="auto"/>
        </w:rPr>
      </w:pPr>
    </w:p>
    <w:p>
      <w:pPr>
        <w:ind w:left="-20" w:right="380" w:firstLine="987"/>
        <w:spacing w:after="0" w:line="282" w:lineRule="auto"/>
        <w:tabs>
          <w:tab w:leader="none" w:pos="1316"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Subscriber agrees that the Company and the Adviser may provide in any electronic medium (including via e-mail or website access) any disclosure or document that is required by applicable law to be provided to such Subscriber.</w:t>
      </w:r>
    </w:p>
    <w:p>
      <w:pPr>
        <w:spacing w:after="0" w:line="161" w:lineRule="exact"/>
        <w:rPr>
          <w:rFonts w:ascii="Times New Roman" w:cs="Times New Roman" w:eastAsia="Times New Roman" w:hAnsi="Times New Roman"/>
          <w:sz w:val="18"/>
          <w:szCs w:val="18"/>
          <w:color w:val="auto"/>
        </w:rPr>
      </w:pPr>
    </w:p>
    <w:p>
      <w:pPr>
        <w:ind w:left="-20" w:right="80" w:firstLine="987"/>
        <w:spacing w:after="0" w:line="258" w:lineRule="auto"/>
        <w:tabs>
          <w:tab w:leader="none" w:pos="1256"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Subscriber represents and warrants that all personal data provided to the Company, the Adviser or their respective delegates by or on behalf of the Subscriber has been and will be provided in accordance with applicable laws and regulations, including, without limitation, those relating to privacy or the use of personal data. The Subscriber shall ensure that any personal data that the Subscriber provides to the Company, the Adviser or their respective delegates is accurate and up to date, and the Subscriber shall promptly notify the Company or the Adviser if the Subscriber becomes aware that any such data is no longer accurate or up to date.</w:t>
      </w:r>
    </w:p>
    <w:p>
      <w:pPr>
        <w:spacing w:after="0" w:line="183" w:lineRule="exact"/>
        <w:rPr>
          <w:rFonts w:ascii="Times New Roman" w:cs="Times New Roman" w:eastAsia="Times New Roman" w:hAnsi="Times New Roman"/>
          <w:sz w:val="18"/>
          <w:szCs w:val="18"/>
          <w:color w:val="auto"/>
        </w:rPr>
      </w:pPr>
    </w:p>
    <w:p>
      <w:pPr>
        <w:ind w:left="-20" w:right="100" w:firstLine="987"/>
        <w:spacing w:after="0" w:line="254" w:lineRule="auto"/>
        <w:tabs>
          <w:tab w:leader="none" w:pos="1276"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Subscriber acknowledges receipt of the Company’s privacy notice attached to the subscription booklet (the “</w:t>
      </w:r>
      <w:r>
        <w:rPr>
          <w:rFonts w:ascii="Times New Roman" w:cs="Times New Roman" w:eastAsia="Times New Roman" w:hAnsi="Times New Roman"/>
          <w:sz w:val="18"/>
          <w:szCs w:val="18"/>
          <w:u w:val="single" w:color="auto"/>
          <w:color w:val="auto"/>
        </w:rPr>
        <w:t>Fund Privacy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The Subscriber shall promptly provide the Fund Privacy Notice to (i) each individual whose personal data the Subscriber has provided or will provide to the Company, the Adviser or their respective delegates in connection with the Subscriber’s investment in the Company (such as a directors, trustees, employees, representatives, shareholders, investors, clients, beneficial owners or agents) and (ii) any other individual connected to the Subscriber as may be requested by the Company, the Adviser or their respective delegates (each such individual a, “</w:t>
      </w:r>
      <w:r>
        <w:rPr>
          <w:rFonts w:ascii="Times New Roman" w:cs="Times New Roman" w:eastAsia="Times New Roman" w:hAnsi="Times New Roman"/>
          <w:sz w:val="18"/>
          <w:szCs w:val="18"/>
          <w:u w:val="single" w:color="auto"/>
          <w:color w:val="auto"/>
        </w:rPr>
        <w:t>Notice Recipient</w:t>
      </w:r>
      <w:r>
        <w:rPr>
          <w:rFonts w:ascii="Times New Roman" w:cs="Times New Roman" w:eastAsia="Times New Roman" w:hAnsi="Times New Roman"/>
          <w:sz w:val="18"/>
          <w:szCs w:val="18"/>
          <w:color w:val="auto"/>
        </w:rPr>
        <w:t>”). Upon receipt from the Adviser of any updated versions of the Fund Privacy Notice or the privacy notice (or other data protection disclosures) of any third party to which the Company, the Adviser or their respective delegates has directly or indirectly provided personal data, the Subscriber shall promptly provide such materials to all Notice Recipients.</w:t>
      </w:r>
    </w:p>
    <w:p>
      <w:pPr>
        <w:spacing w:after="0" w:line="191" w:lineRule="exact"/>
        <w:rPr>
          <w:rFonts w:ascii="Times New Roman" w:cs="Times New Roman" w:eastAsia="Times New Roman" w:hAnsi="Times New Roman"/>
          <w:sz w:val="18"/>
          <w:szCs w:val="18"/>
          <w:color w:val="auto"/>
        </w:rPr>
      </w:pPr>
    </w:p>
    <w:p>
      <w:pPr>
        <w:ind w:left="-20" w:right="280" w:firstLine="987"/>
        <w:spacing w:after="0" w:line="282" w:lineRule="auto"/>
        <w:tabs>
          <w:tab w:leader="none" w:pos="1233"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Subscriber acknowledges that the Subscriber is aware and understands that, pursuant to the Tax Reporting Rules, the Company may be required to disclose information regarding the Subscribers to the IRS and other taxing or governmental authorities.</w:t>
      </w:r>
    </w:p>
    <w:p>
      <w:pPr>
        <w:spacing w:after="0" w:line="161" w:lineRule="exact"/>
        <w:rPr>
          <w:rFonts w:ascii="Times New Roman" w:cs="Times New Roman" w:eastAsia="Times New Roman" w:hAnsi="Times New Roman"/>
          <w:sz w:val="18"/>
          <w:szCs w:val="18"/>
          <w:color w:val="auto"/>
        </w:rPr>
      </w:pPr>
    </w:p>
    <w:p>
      <w:pPr>
        <w:ind w:left="-20" w:firstLine="987"/>
        <w:spacing w:after="0" w:line="274" w:lineRule="auto"/>
        <w:tabs>
          <w:tab w:leader="none" w:pos="1316" w:val="left"/>
        </w:tabs>
        <w:numPr>
          <w:ilvl w:val="0"/>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Subscriber is not a “Foreign Person Shareholder,” as defined below, the Subscriber agrees that it shall not accept any investment or engage in any activity that would cause it to become a Foreign Person Shareholder without providing advance written notice to the Advice. For this purpose, “</w:t>
      </w:r>
      <w:r>
        <w:rPr>
          <w:rFonts w:ascii="Times New Roman" w:cs="Times New Roman" w:eastAsia="Times New Roman" w:hAnsi="Times New Roman"/>
          <w:sz w:val="17"/>
          <w:szCs w:val="17"/>
          <w:u w:val="single" w:color="auto"/>
          <w:color w:val="auto"/>
        </w:rPr>
        <w:t>Foreign Person Shareholder</w:t>
      </w:r>
      <w:r>
        <w:rPr>
          <w:rFonts w:ascii="Times New Roman" w:cs="Times New Roman" w:eastAsia="Times New Roman" w:hAnsi="Times New Roman"/>
          <w:sz w:val="17"/>
          <w:szCs w:val="17"/>
          <w:color w:val="auto"/>
        </w:rPr>
        <w:t>” means an individual or entity that is a “foreign person” for the purposes of regulations promulgated by the Committee on Foreign Investment in the United States (“</w:t>
      </w:r>
      <w:r>
        <w:rPr>
          <w:rFonts w:ascii="Times New Roman" w:cs="Times New Roman" w:eastAsia="Times New Roman" w:hAnsi="Times New Roman"/>
          <w:sz w:val="17"/>
          <w:szCs w:val="17"/>
          <w:u w:val="single" w:color="auto"/>
          <w:color w:val="auto"/>
        </w:rPr>
        <w:t>CFIUS</w:t>
      </w:r>
      <w:r>
        <w:rPr>
          <w:rFonts w:ascii="Times New Roman" w:cs="Times New Roman" w:eastAsia="Times New Roman" w:hAnsi="Times New Roman"/>
          <w:sz w:val="17"/>
          <w:szCs w:val="17"/>
          <w:color w:val="auto"/>
        </w:rPr>
        <w:t>”), which includes (i) any foreign national, foreign government, or foreign entity (each preceding term having the meaning given to it in the CFIUS regulations), (ii) any entity over which control is exercised or exercisable by a foreign national, foreign government, or foreign entity or (iii) any entity over which control is exercised or exercisable by a foreign person.</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80"/>
          </w:cols>
          <w:pgMar w:left="460" w:top="270" w:right="459" w:bottom="1440" w:gutter="0" w:footer="0" w:header="0"/>
        </w:sectPr>
      </w:pPr>
    </w:p>
    <w:bookmarkStart w:id="168" w:name="page169"/>
    <w:bookmarkEnd w:id="168"/>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4.02. </w:t>
      </w:r>
      <w:r>
        <w:rPr>
          <w:rFonts w:ascii="Times New Roman" w:cs="Times New Roman" w:eastAsia="Times New Roman" w:hAnsi="Times New Roman"/>
          <w:sz w:val="18"/>
          <w:szCs w:val="18"/>
          <w:u w:val="single" w:color="auto"/>
          <w:color w:val="auto"/>
        </w:rPr>
        <w:t>Investor Awareness</w:t>
      </w:r>
      <w:r>
        <w:rPr>
          <w:rFonts w:ascii="Times New Roman" w:cs="Times New Roman" w:eastAsia="Times New Roman" w:hAnsi="Times New Roman"/>
          <w:sz w:val="18"/>
          <w:szCs w:val="18"/>
          <w:color w:val="auto"/>
        </w:rPr>
        <w:t>. The Subscriber acknowledges that the Subscriber is aware and understands that:</w:t>
      </w:r>
    </w:p>
    <w:p>
      <w:pPr>
        <w:spacing w:after="0" w:line="117" w:lineRule="exact"/>
        <w:rPr>
          <w:sz w:val="20"/>
          <w:szCs w:val="20"/>
          <w:color w:val="auto"/>
        </w:rPr>
      </w:pPr>
    </w:p>
    <w:p>
      <w:pPr>
        <w:ind w:right="580" w:firstLine="987"/>
        <w:spacing w:after="0" w:line="266" w:lineRule="auto"/>
        <w:tabs>
          <w:tab w:leader="none" w:pos="1236"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federal or state agency, and no agency of any non-U.S. jurisdiction, has passed upon the Shares or made any finding or determination as to the fairness of this investment. The Memorandum has not been filed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or with any securities administrator under state securities laws or the laws of any non-U.S. jurisdiction.</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substantial risks incident to the purchase of Shares, including, but not limited to, those summarized in the Memorandum.</w:t>
      </w:r>
    </w:p>
    <w:p>
      <w:pPr>
        <w:spacing w:after="0" w:line="225" w:lineRule="exact"/>
        <w:rPr>
          <w:rFonts w:ascii="Times New Roman" w:cs="Times New Roman" w:eastAsia="Times New Roman" w:hAnsi="Times New Roman"/>
          <w:sz w:val="18"/>
          <w:szCs w:val="18"/>
          <w:color w:val="auto"/>
        </w:rPr>
      </w:pPr>
    </w:p>
    <w:p>
      <w:pPr>
        <w:ind w:firstLine="987"/>
        <w:spacing w:after="0" w:line="254" w:lineRule="auto"/>
        <w:tabs>
          <w:tab w:leader="none" w:pos="1236"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described more fully in Appendix D, the Subscriber may not Transfer all or any fraction of its Shares or Capital Commitment without the prior written consent of the Adviser. There are other substantial restrictions on the transferability of Shares or Capital Commitment under the Charter, the Advisory Agreement and under applicable law including, but not limited to, the fact that (i) there is no established market for the Shares and it is possible that no public market for the Shares will develop; (ii) the Shares are not currently, and Subscribers have no rights to require that the Shares be, registered under the 1933 Act or the securities laws of the various states or any non-U.S. jurisdiction and therefore cannot be Transferred unless subsequently registered or unless an exemption from such registration is available; and (iii) the Subscriber may have to hold the Shares herein subscribed for and bear the economic risk of this investment indefinitely, and it may not be possible for the Subscriber to liquidate its investment in the Company.</w:t>
      </w:r>
    </w:p>
    <w:p>
      <w:pPr>
        <w:spacing w:after="0" w:line="19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right="80" w:firstLine="987"/>
        <w:spacing w:after="0" w:line="282" w:lineRule="auto"/>
        <w:tabs>
          <w:tab w:leader="none" w:pos="1236"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tax and other legal consequences of an investment in the Shares, the Subscriber is relying solely upon the advice of its own tax and legal advisors and not upon the general discussion of such matters set forth in the Memorandum.</w:t>
      </w:r>
    </w:p>
    <w:p>
      <w:pPr>
        <w:spacing w:after="0" w:line="161" w:lineRule="exact"/>
        <w:rPr>
          <w:rFonts w:ascii="Times New Roman" w:cs="Times New Roman" w:eastAsia="Times New Roman" w:hAnsi="Times New Roman"/>
          <w:sz w:val="18"/>
          <w:szCs w:val="18"/>
          <w:color w:val="auto"/>
        </w:rPr>
      </w:pPr>
    </w:p>
    <w:p>
      <w:pPr>
        <w:ind w:right="20" w:firstLine="987"/>
        <w:spacing w:after="0" w:line="254" w:lineRule="auto"/>
        <w:tabs>
          <w:tab w:leader="none" w:pos="1216"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Simpson Thacher &amp; Bartlett LLP acts as U.S. counsel to the Company, the Adviser and certain of their respective Affiliates and other related parties and Morris, Nichols, Arsht &amp; Tunnell LLP acts as special Delaware counsel to the Company, the Adviser and certain of their respective Affiliates and other related parties. In connection with this offering of Shares and subsequent advice to such persons, Simpson Thacher &amp; Bartlett LLP and Morris, Nichols, Arsht &amp; Tunnell LLP will not be representing the Subscriber or any other investors in the Company in the absence of a clear and explicit written agreement to such effect between such counsel and the Subscriber or any other investors in the Company. In the absence of such an agreement, such counsel owes no duties to the Subscriber or any other investor in the Company (whether or not such counsel has in the past represented, or is currently representing, such Subscriber or any other investor with respect to other matters). No independent counsel has been retained to represent investors in the Company.</w:t>
      </w:r>
    </w:p>
    <w:p>
      <w:pPr>
        <w:spacing w:after="0" w:line="192" w:lineRule="exact"/>
        <w:rPr>
          <w:sz w:val="20"/>
          <w:szCs w:val="20"/>
          <w:color w:val="auto"/>
        </w:rPr>
      </w:pPr>
    </w:p>
    <w:p>
      <w:pPr>
        <w:ind w:right="7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u w:val="single" w:color="auto"/>
          <w:color w:val="auto"/>
        </w:rPr>
        <w:t>Special Provisions for Residents of Japan</w:t>
      </w:r>
      <w:r>
        <w:rPr>
          <w:rFonts w:ascii="Times New Roman" w:cs="Times New Roman" w:eastAsia="Times New Roman" w:hAnsi="Times New Roman"/>
          <w:sz w:val="18"/>
          <w:szCs w:val="18"/>
          <w:color w:val="auto"/>
        </w:rPr>
        <w:t>. If the Subscriber is a resident of Japan, the Subscriber acknowledges, represents, warrants and covenants to the Adviser and the Company as follows:</w:t>
      </w:r>
    </w:p>
    <w:p>
      <w:pPr>
        <w:spacing w:after="0" w:line="54" w:lineRule="exact"/>
        <w:rPr>
          <w:sz w:val="20"/>
          <w:szCs w:val="20"/>
          <w:color w:val="auto"/>
        </w:rPr>
      </w:pPr>
    </w:p>
    <w:p>
      <w:pPr>
        <w:ind w:right="120" w:firstLine="987"/>
        <w:spacing w:after="0" w:line="281" w:lineRule="auto"/>
        <w:tabs>
          <w:tab w:leader="none" w:pos="1236" w:val="left"/>
        </w:tabs>
        <w:numPr>
          <w:ilvl w:val="0"/>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Subscriber has received notice that (i) registration pursuant to Article 4, paragraph 1 of the Financial Instruments and Exchange Act of Japan (Act No. 25 of 1948, as amended, the “</w:t>
      </w:r>
      <w:r>
        <w:rPr>
          <w:rFonts w:ascii="Times New Roman" w:cs="Times New Roman" w:eastAsia="Times New Roman" w:hAnsi="Times New Roman"/>
          <w:sz w:val="17"/>
          <w:szCs w:val="17"/>
          <w:u w:val="single" w:color="auto"/>
          <w:color w:val="auto"/>
        </w:rPr>
        <w:t>FIEA</w:t>
      </w:r>
      <w:r>
        <w:rPr>
          <w:rFonts w:ascii="Times New Roman" w:cs="Times New Roman" w:eastAsia="Times New Roman" w:hAnsi="Times New Roman"/>
          <w:sz w:val="17"/>
          <w:szCs w:val="17"/>
          <w:color w:val="auto"/>
        </w:rPr>
        <w:t>”) has not been made and will not be made with respect to the offering of the Shares because, as such Shares are to be acquired by 499 or fewer investors, the offering of the Shares constitutes a solicitation for a small number of investors as defined in Article 23-13, paragraph 4 of the FIEA and (ii) the Shares are securities as set forth in Article 2, paragraph 2, item 6 of the FIEA.</w:t>
      </w:r>
    </w:p>
    <w:p>
      <w:pPr>
        <w:spacing w:after="0" w:line="164" w:lineRule="exact"/>
        <w:rPr>
          <w:rFonts w:ascii="Times New Roman" w:cs="Times New Roman" w:eastAsia="Times New Roman" w:hAnsi="Times New Roman"/>
          <w:sz w:val="17"/>
          <w:szCs w:val="17"/>
          <w:color w:val="auto"/>
        </w:rPr>
      </w:pPr>
    </w:p>
    <w:p>
      <w:pPr>
        <w:ind w:right="40" w:firstLine="987"/>
        <w:spacing w:after="0" w:line="266" w:lineRule="auto"/>
        <w:tabs>
          <w:tab w:leader="none" w:pos="1246"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Subscriber is a qualified institutional investor as defined in Article 2, paragraph 3, item 1 of the FIEA (a “</w:t>
      </w:r>
      <w:r>
        <w:rPr>
          <w:rFonts w:ascii="Times New Roman" w:cs="Times New Roman" w:eastAsia="Times New Roman" w:hAnsi="Times New Roman"/>
          <w:sz w:val="18"/>
          <w:szCs w:val="18"/>
          <w:u w:val="single" w:color="auto"/>
          <w:color w:val="auto"/>
        </w:rPr>
        <w:t>QII</w:t>
      </w:r>
      <w:r>
        <w:rPr>
          <w:rFonts w:ascii="Times New Roman" w:cs="Times New Roman" w:eastAsia="Times New Roman" w:hAnsi="Times New Roman"/>
          <w:sz w:val="18"/>
          <w:szCs w:val="18"/>
          <w:color w:val="auto"/>
        </w:rPr>
        <w:t>”), in no event shall it Transfer any Share to a person unless such person is a QII who is not a person set forth in article 63, paragraph 1, item 1, sub-items (i) to (iii) of the FIEA (a “</w:t>
      </w:r>
      <w:r>
        <w:rPr>
          <w:rFonts w:ascii="Times New Roman" w:cs="Times New Roman" w:eastAsia="Times New Roman" w:hAnsi="Times New Roman"/>
          <w:sz w:val="18"/>
          <w:szCs w:val="18"/>
          <w:u w:val="single" w:color="auto"/>
          <w:color w:val="auto"/>
        </w:rPr>
        <w:t>Disqualified Investor</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169" w:name="page170"/>
    <w:bookmarkEnd w:id="169"/>
    <w:p>
      <w:pPr>
        <w:ind w:right="220" w:firstLine="987"/>
        <w:spacing w:after="0" w:line="266" w:lineRule="auto"/>
        <w:tabs>
          <w:tab w:leader="none" w:pos="1236"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Subscriber is not a QII, in no event shall it Transfer any Shares to a person except to a single person who is (i) either a QII or a person listed in Article 17-21, Paragraph 1 of the Cabinet Order for Enforcement of the Financial Instruments and Exchange Act (an “</w:t>
      </w:r>
      <w:r>
        <w:rPr>
          <w:rFonts w:ascii="Times New Roman" w:cs="Times New Roman" w:eastAsia="Times New Roman" w:hAnsi="Times New Roman"/>
          <w:sz w:val="18"/>
          <w:szCs w:val="18"/>
          <w:u w:val="single" w:color="auto"/>
          <w:color w:val="auto"/>
        </w:rPr>
        <w:t>Eligible Non-QII</w:t>
      </w:r>
      <w:r>
        <w:rPr>
          <w:rFonts w:ascii="Times New Roman" w:cs="Times New Roman" w:eastAsia="Times New Roman" w:hAnsi="Times New Roman"/>
          <w:sz w:val="18"/>
          <w:szCs w:val="18"/>
          <w:color w:val="auto"/>
        </w:rPr>
        <w:t>”), and (ii) not classified as a Disqualified Investor through a single transaction of all of its Shares.</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Subscriber is not a Disqualified Investor and shall in no event become a Disqualified Investor.</w:t>
      </w:r>
    </w:p>
    <w:p>
      <w:pPr>
        <w:spacing w:after="0" w:line="225" w:lineRule="exact"/>
        <w:rPr>
          <w:rFonts w:ascii="Times New Roman" w:cs="Times New Roman" w:eastAsia="Times New Roman" w:hAnsi="Times New Roman"/>
          <w:sz w:val="18"/>
          <w:szCs w:val="18"/>
          <w:color w:val="auto"/>
        </w:rPr>
      </w:pPr>
    </w:p>
    <w:p>
      <w:pPr>
        <w:ind w:right="100" w:firstLine="987"/>
        <w:spacing w:after="0" w:line="282" w:lineRule="auto"/>
        <w:tabs>
          <w:tab w:leader="none" w:pos="1236"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Subscriber is either a (i) QII or (ii) Eligible Non-QII, and shall in no event become (x) a person other than a QII (if the Subscriber is a QII) or (y) a person other than a QII or Eligible Non-QII (if the Subscriber is an Eligible Non-QII).</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u w:val="single" w:color="auto"/>
          <w:color w:val="auto"/>
        </w:rPr>
        <w:t>Special Provisions for Residents of Canada</w:t>
      </w:r>
      <w:r>
        <w:rPr>
          <w:rFonts w:ascii="Times New Roman" w:cs="Times New Roman" w:eastAsia="Times New Roman" w:hAnsi="Times New Roman"/>
          <w:sz w:val="18"/>
          <w:szCs w:val="18"/>
          <w:color w:val="auto"/>
        </w:rPr>
        <w:t>. If the Subscriber is a resident of Canada:</w:t>
      </w:r>
    </w:p>
    <w:p>
      <w:pPr>
        <w:spacing w:after="0" w:line="225" w:lineRule="exact"/>
        <w:rPr>
          <w:sz w:val="20"/>
          <w:szCs w:val="20"/>
          <w:color w:val="auto"/>
        </w:rPr>
      </w:pPr>
    </w:p>
    <w:p>
      <w:pPr>
        <w:ind w:firstLine="987"/>
        <w:spacing w:after="0" w:line="282" w:lineRule="auto"/>
        <w:tabs>
          <w:tab w:leader="none" w:pos="1236"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Subscriber acknowledges, represents, warrants and covenants to the Adviser and the Company (and acknowledges that the Adviser and the Company are relying thereon) that:</w:t>
      </w:r>
    </w:p>
    <w:p>
      <w:pPr>
        <w:spacing w:after="0" w:line="53" w:lineRule="exact"/>
        <w:rPr>
          <w:rFonts w:ascii="Times New Roman" w:cs="Times New Roman" w:eastAsia="Times New Roman" w:hAnsi="Times New Roman"/>
          <w:sz w:val="18"/>
          <w:szCs w:val="18"/>
          <w:color w:val="auto"/>
        </w:rPr>
      </w:pPr>
    </w:p>
    <w:p>
      <w:pPr>
        <w:ind w:right="320" w:firstLine="436"/>
        <w:spacing w:after="0" w:line="312" w:lineRule="auto"/>
        <w:tabs>
          <w:tab w:leader="none" w:pos="655" w:val="left"/>
        </w:tabs>
        <w:numPr>
          <w:ilvl w:val="0"/>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Subscriber is a resident of either British Columbia, Alberta, Ontario, Quebec or Nova Scotia (the “</w:t>
      </w:r>
      <w:r>
        <w:rPr>
          <w:rFonts w:ascii="Times New Roman" w:cs="Times New Roman" w:eastAsia="Times New Roman" w:hAnsi="Times New Roman"/>
          <w:sz w:val="17"/>
          <w:szCs w:val="17"/>
          <w:u w:val="single" w:color="auto"/>
          <w:color w:val="auto"/>
        </w:rPr>
        <w:t>Private Placement Provinces</w:t>
      </w:r>
      <w:r>
        <w:rPr>
          <w:rFonts w:ascii="Times New Roman" w:cs="Times New Roman" w:eastAsia="Times New Roman" w:hAnsi="Times New Roman"/>
          <w:sz w:val="17"/>
          <w:szCs w:val="17"/>
          <w:color w:val="auto"/>
        </w:rPr>
        <w:t>”) and is entitled under applicable provincial securities laws to purchase the Shares without the benefit of a prospectus qualified under those securities laws;</w:t>
      </w:r>
    </w:p>
    <w:p>
      <w:pPr>
        <w:spacing w:after="0" w:line="139" w:lineRule="exact"/>
        <w:rPr>
          <w:rFonts w:ascii="Times New Roman" w:cs="Times New Roman" w:eastAsia="Times New Roman" w:hAnsi="Times New Roman"/>
          <w:sz w:val="17"/>
          <w:szCs w:val="17"/>
          <w:color w:val="auto"/>
        </w:rPr>
      </w:pPr>
    </w:p>
    <w:p>
      <w:pPr>
        <w:ind w:right="260" w:firstLine="436"/>
        <w:spacing w:after="0" w:line="282" w:lineRule="auto"/>
        <w:tabs>
          <w:tab w:leader="none" w:pos="70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Subscriber is basing its investment decision solely on the final version of the Memorandum (including any amendments or supplements thereto) and this Agreement and not on any other information concerning the Company or the offering and sale of the Shares;</w:t>
      </w:r>
    </w:p>
    <w:p>
      <w:pPr>
        <w:spacing w:after="0" w:line="161" w:lineRule="exact"/>
        <w:rPr>
          <w:rFonts w:ascii="Times New Roman" w:cs="Times New Roman" w:eastAsia="Times New Roman" w:hAnsi="Times New Roman"/>
          <w:sz w:val="18"/>
          <w:szCs w:val="18"/>
          <w:color w:val="auto"/>
        </w:rPr>
      </w:pPr>
    </w:p>
    <w:p>
      <w:pPr>
        <w:ind w:left="760" w:hanging="324"/>
        <w:spacing w:after="0"/>
        <w:tabs>
          <w:tab w:leader="none" w:pos="7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Subscriber is a “permitted client” as defined in National Instrument 31-103 (“</w:t>
      </w:r>
      <w:r>
        <w:rPr>
          <w:rFonts w:ascii="Times New Roman" w:cs="Times New Roman" w:eastAsia="Times New Roman" w:hAnsi="Times New Roman"/>
          <w:sz w:val="18"/>
          <w:szCs w:val="18"/>
          <w:u w:val="single" w:color="auto"/>
          <w:color w:val="auto"/>
        </w:rPr>
        <w:t>NI 31-103</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60" w:firstLine="436"/>
        <w:spacing w:after="0" w:line="266" w:lineRule="auto"/>
        <w:tabs>
          <w:tab w:leader="none" w:pos="74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Subscriber is an “accredited investor” as defined in National Instrument 45-106 (“</w:t>
      </w:r>
      <w:r>
        <w:rPr>
          <w:rFonts w:ascii="Times New Roman" w:cs="Times New Roman" w:eastAsia="Times New Roman" w:hAnsi="Times New Roman"/>
          <w:sz w:val="18"/>
          <w:szCs w:val="18"/>
          <w:u w:val="single" w:color="auto"/>
          <w:color w:val="auto"/>
        </w:rPr>
        <w:t>NI 45-106</w:t>
      </w:r>
      <w:r>
        <w:rPr>
          <w:rFonts w:ascii="Times New Roman" w:cs="Times New Roman" w:eastAsia="Times New Roman" w:hAnsi="Times New Roman"/>
          <w:sz w:val="18"/>
          <w:szCs w:val="18"/>
          <w:color w:val="auto"/>
        </w:rPr>
        <w:t>”) and was not created and is not being used solely to purchase or hold the Shares as an accredited investor as defined in paragraph (m) of the definition of “accredited investor” in Section 1.1 of NI 45-106;</w:t>
      </w:r>
    </w:p>
    <w:p>
      <w:pPr>
        <w:spacing w:after="0" w:line="175" w:lineRule="exact"/>
        <w:rPr>
          <w:rFonts w:ascii="Times New Roman" w:cs="Times New Roman" w:eastAsia="Times New Roman" w:hAnsi="Times New Roman"/>
          <w:sz w:val="18"/>
          <w:szCs w:val="18"/>
          <w:color w:val="auto"/>
        </w:rPr>
      </w:pPr>
    </w:p>
    <w:p>
      <w:pPr>
        <w:ind w:right="20" w:firstLine="436"/>
        <w:spacing w:after="0" w:line="261" w:lineRule="auto"/>
        <w:tabs>
          <w:tab w:leader="none" w:pos="69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Subscriber is either purchasing Shares as principal for its own account, or is deemed to be purchasing Shares for its own account by virtue of being either (i) a trust company or trust corporation as further described in subsection (p) of the “accredited investor” definition of NI 45-106; or (ii) a person acting on behalf of a fully managed account managed by that person as further described in subsection (q) of the “accredited investor” definition of NI 45-106; and</w:t>
      </w:r>
    </w:p>
    <w:p>
      <w:pPr>
        <w:spacing w:after="0" w:line="179" w:lineRule="exact"/>
        <w:rPr>
          <w:rFonts w:ascii="Times New Roman" w:cs="Times New Roman" w:eastAsia="Times New Roman" w:hAnsi="Times New Roman"/>
          <w:sz w:val="18"/>
          <w:szCs w:val="18"/>
          <w:color w:val="auto"/>
        </w:rPr>
      </w:pPr>
    </w:p>
    <w:p>
      <w:pPr>
        <w:ind w:right="200" w:firstLine="436"/>
        <w:spacing w:after="0" w:line="266" w:lineRule="auto"/>
        <w:tabs>
          <w:tab w:leader="none" w:pos="74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by applicable securities legislation, regulatory policy or order or by any securities commission or other regulatory authority, the Subscriber will execute, deliver, file and otherwise assist the Company and/or the Adviser in filing the necessary reports, questionnaires, undertakings and other documents with respect to the issue of the Shares.</w:t>
      </w:r>
    </w:p>
    <w:p>
      <w:pPr>
        <w:spacing w:after="0" w:line="17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Subscriber agrees that the above representations, warranties and covenants will be true and correct both as of the execution of this Agreement and as of the Closing Date and will survive the completion of the purchase and sale of the Shares.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70" w:right="459" w:bottom="1440" w:gutter="0" w:footer="0" w:header="0"/>
        </w:sectPr>
      </w:pPr>
    </w:p>
    <w:bookmarkStart w:id="170" w:name="page171"/>
    <w:bookmarkEnd w:id="170"/>
    <w:p>
      <w:pPr>
        <w:ind w:right="60" w:firstLine="987"/>
        <w:spacing w:after="0" w:line="261" w:lineRule="auto"/>
        <w:tabs>
          <w:tab w:leader="none" w:pos="1246"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foregoing representations, warranties and covenants are made by the Subscriber with the intent that they be relied upon in determining its suitability as a purchaser of Shares. The Subscriber undertakes to notify the Company and the Adviser immediately at the address of the Company (set forth in Section 10.05 of this Agreement) of any change in any representation, warranty or other information relating to the undersigned set forth herein.</w:t>
      </w:r>
    </w:p>
    <w:p>
      <w:pPr>
        <w:spacing w:after="0" w:line="179" w:lineRule="exact"/>
        <w:rPr>
          <w:rFonts w:ascii="Times New Roman" w:cs="Times New Roman" w:eastAsia="Times New Roman" w:hAnsi="Times New Roman"/>
          <w:sz w:val="18"/>
          <w:szCs w:val="18"/>
          <w:color w:val="auto"/>
        </w:rPr>
      </w:pPr>
    </w:p>
    <w:p>
      <w:pPr>
        <w:ind w:right="100" w:firstLine="987"/>
        <w:spacing w:after="0" w:line="261" w:lineRule="auto"/>
        <w:tabs>
          <w:tab w:leader="none" w:pos="1236"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purchaser of Shares in Canada hereby agrees that it is the purchaser’s express wish that all documents evidencing or relating in any way to the sale of the Shares be drafted in the English language only. Chaque acheteur au Canada des valeurs mobilières reconnaît que c’est sa volonté expresse que tous les documents faisant foi ou se rapportant de quelque manière à la vente des valeurs mobilières soient rédigés uniquement en anglais.</w:t>
      </w:r>
    </w:p>
    <w:p>
      <w:pPr>
        <w:spacing w:after="0" w:line="179" w:lineRule="exact"/>
        <w:rPr>
          <w:rFonts w:ascii="Times New Roman" w:cs="Times New Roman" w:eastAsia="Times New Roman" w:hAnsi="Times New Roman"/>
          <w:sz w:val="18"/>
          <w:szCs w:val="18"/>
          <w:color w:val="auto"/>
        </w:rPr>
      </w:pPr>
    </w:p>
    <w:p>
      <w:pPr>
        <w:ind w:right="200" w:firstLine="987"/>
        <w:spacing w:after="0" w:line="289" w:lineRule="auto"/>
        <w:tabs>
          <w:tab w:leader="none" w:pos="1246" w:val="left"/>
        </w:tabs>
        <w:numPr>
          <w:ilvl w:val="0"/>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Subscriber understands and acknowledges that its name and other specified information, including information pertaining to the Shares acquired by such Subscriber, may be disclosed to Canadian securities regulatory authorities and become available to the public in accordance with the requirements of applicable Canadian securities laws, and the Subscriber consents to the collection, use and disclosure of this information.</w:t>
      </w:r>
    </w:p>
    <w:p>
      <w:pPr>
        <w:spacing w:after="0" w:line="157" w:lineRule="exact"/>
        <w:rPr>
          <w:rFonts w:ascii="Times New Roman" w:cs="Times New Roman" w:eastAsia="Times New Roman" w:hAnsi="Times New Roman"/>
          <w:sz w:val="17"/>
          <w:szCs w:val="17"/>
          <w:color w:val="auto"/>
        </w:rPr>
      </w:pPr>
    </w:p>
    <w:p>
      <w:pPr>
        <w:ind w:firstLine="987"/>
        <w:spacing w:after="0" w:line="254" w:lineRule="auto"/>
        <w:tabs>
          <w:tab w:leader="none" w:pos="1236"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purchasing the Shares, the Subscriber (if the Subscriber is an individual) acknowledges that the following personal information about the Subscriber will be disclosed to Canadian securities regulatory authorities: his or her full legal name, residential street address, telephone number, email address (if available), details of securities purchased and details of the prospectus exemption relied on. This personal information is being collected on behalf of and used by the securities regulatory authority or regulator under the authority granted in securities legislation for the purposes of the administration and enforcement of securities legislation. By purchasing the Shares, the Subscriber shall be deemed to have authorized such indirect collection of personal information by the securities regulatory authorities and regulators. Questions about such indirect collection of personal information should be directed to the securities regulatory authority or regulator in the province where the Subscriber is located or resident, as set out below:</w:t>
      </w:r>
    </w:p>
    <w:p>
      <w:pPr>
        <w:sectPr>
          <w:pgSz w:w="11900" w:h="16838" w:orient="portrait"/>
          <w:cols w:equalWidth="0" w:num="1">
            <w:col w:w="10980"/>
          </w:cols>
          <w:pgMar w:left="440" w:top="270" w:right="479" w:bottom="1440" w:gutter="0" w:footer="0" w:header="0"/>
        </w:sect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Alberta Securities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600, 250 – 5th Street SW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Calgary, Alberta T2P 0R4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(403) 297-6454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Toll free in Canada: 1-877-355-0585</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(403) 297-2082</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Ontario Securities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 Queen Street West, 22</w:t>
      </w:r>
      <w:r>
        <w:rPr>
          <w:rFonts w:ascii="Times New Roman" w:cs="Times New Roman" w:eastAsia="Times New Roman" w:hAnsi="Times New Roman"/>
          <w:sz w:val="15"/>
          <w:szCs w:val="15"/>
          <w:color w:val="auto"/>
        </w:rPr>
        <w:t>nd</w:t>
      </w:r>
      <w:r>
        <w:rPr>
          <w:rFonts w:ascii="Times New Roman" w:cs="Times New Roman" w:eastAsia="Times New Roman" w:hAnsi="Times New Roman"/>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Ontario M5H 3S8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(416) 593-8314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Toll free in Canada: 1-877-785-1555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(416) 593-8122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exemptmarketfilings@osc.gov.on.ca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Public official contact regarding indirect collection of information :</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Inquiries Officer</w:t>
      </w:r>
    </w:p>
    <w:p>
      <w:pPr>
        <w:spacing w:after="0" w:line="112" w:lineRule="exact"/>
        <w:rPr>
          <w:sz w:val="20"/>
          <w:szCs w:val="20"/>
          <w:color w:val="auto"/>
        </w:rPr>
      </w:pPr>
    </w:p>
    <w:p>
      <w:pPr>
        <w:sectPr>
          <w:pgSz w:w="11900" w:h="16838" w:orient="portrait"/>
          <w:cols w:equalWidth="0" w:num="2">
            <w:col w:w="5020" w:space="720"/>
            <w:col w:w="5240"/>
          </w:cols>
          <w:pgMar w:left="440" w:top="270"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British Columbia Securities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 Box 10142, Pacific Centre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701 West Georgia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Vancouver, British Columbia V7Y 1L2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Inquiries: (604) 899-6854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Toll free in Canada: 1-800-373-6393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(604) 899-6581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inquiries@bcsc.bc.ca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Autorité des marchés financiers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800, Square Victoria, 22e étage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C.P. 246, Tour de la Bourse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Montreal, Quebec H4Z 1G3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(514) 395-0337 or 1-877-525-0337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(514) 873-6155 (For filing purposes only)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Facsimile: (514) 864-6381 (For privacy requests only)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financementdessocietes@lautorite.qc.ca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corporate finance issuers)</w:t>
      </w:r>
    </w:p>
    <w:p>
      <w:pPr>
        <w:spacing w:after="0" w:line="153" w:lineRule="exact"/>
        <w:rPr>
          <w:sz w:val="20"/>
          <w:szCs w:val="20"/>
          <w:color w:val="auto"/>
        </w:rPr>
      </w:pPr>
    </w:p>
    <w:p>
      <w:pPr>
        <w:sectPr>
          <w:pgSz w:w="11900" w:h="16838" w:orient="portrait"/>
          <w:cols w:equalWidth="0" w:num="2">
            <w:col w:w="5020" w:space="720"/>
            <w:col w:w="5240"/>
          </w:cols>
          <w:pgMar w:left="440" w:top="270" w:right="47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80"/>
          </w:cols>
          <w:pgMar w:left="440" w:top="270" w:right="479" w:bottom="1440" w:gutter="0" w:footer="0" w:header="0"/>
          <w:type w:val="continuous"/>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Nova Scotia Securities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400, 5251 Duke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Duke Tower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 Box 458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Halifax, Nova Scotia B3J 2P8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(902)-424-7768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(902)-424-4625</w:t>
      </w:r>
    </w:p>
    <w:p>
      <w:pPr>
        <w:spacing w:after="0" w:line="220" w:lineRule="exact"/>
        <w:rPr>
          <w:sz w:val="20"/>
          <w:szCs w:val="20"/>
          <w:color w:val="auto"/>
        </w:rPr>
      </w:pPr>
    </w:p>
    <w:p>
      <w:pPr>
        <w:ind w:right="740" w:firstLine="987"/>
        <w:spacing w:after="0" w:line="282" w:lineRule="auto"/>
        <w:tabs>
          <w:tab w:leader="none" w:pos="1216"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Subscriber understands and acknowledges that the Shares may not be resold except in reliance on an exemption from the prospectus requirements of applicable Canadian provincial securities laws.</w:t>
      </w:r>
    </w:p>
    <w:p>
      <w:pPr>
        <w:spacing w:after="0" w:line="161" w:lineRule="exact"/>
        <w:rPr>
          <w:rFonts w:ascii="Times New Roman" w:cs="Times New Roman" w:eastAsia="Times New Roman" w:hAnsi="Times New Roman"/>
          <w:sz w:val="18"/>
          <w:szCs w:val="18"/>
          <w:color w:val="auto"/>
        </w:rPr>
      </w:pPr>
    </w:p>
    <w:p>
      <w:pPr>
        <w:ind w:right="160" w:firstLine="987"/>
        <w:spacing w:after="0" w:line="258" w:lineRule="auto"/>
        <w:tabs>
          <w:tab w:leader="none" w:pos="1246"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Subscriber acknowledges that the Company, the Adviser and their respective directors and officers are or may be located outside of Canada and, as a result, it may not be possible for purchasers to effect service of process within Canada upon the Company, the Adviser or such persons. All or a substantial portion of the assets of the Company and the assets of the Adviser and such persons are or may be located outside of Canada and, as a result, it may not be possible to satisfy a judgment against the Company, the Adviser or such persons in Canada or to enforce a judgment obtained in Canadian courts against the Company, the Adviser or such persons outside of Canada.</w:t>
      </w:r>
    </w:p>
    <w:p>
      <w:pPr>
        <w:spacing w:after="0" w:line="183" w:lineRule="exact"/>
        <w:rPr>
          <w:sz w:val="20"/>
          <w:szCs w:val="20"/>
          <w:color w:val="auto"/>
        </w:rPr>
      </w:pPr>
    </w:p>
    <w:p>
      <w:pPr>
        <w:ind w:right="1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4.05.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The Subscriber shall prepare, execute and deliver such documents and other instruments and take such further actions (including the preparation, execution and delivery of further documents or instruments) as may be reasonably requested by the Adviser in connection with the Subscriber’s investment in the Company, including, but not limited to, furnishing the Adviser any updated or additional information that may be requested by the Adviser in connection with any change in law or regulation (which may include completing and executing additional documents or agreements).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ARTICLE V</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Company Representations</w:t>
      </w:r>
      <w:r>
        <w:rPr>
          <w:rFonts w:ascii="Times New Roman" w:cs="Times New Roman" w:eastAsia="Times New Roman" w:hAnsi="Times New Roman"/>
          <w:sz w:val="18"/>
          <w:szCs w:val="18"/>
          <w:color w:val="auto"/>
        </w:rPr>
        <w:t>. The Company represents to the Subscriber as follows:</w:t>
      </w:r>
    </w:p>
    <w:p>
      <w:pPr>
        <w:spacing w:after="0" w:line="117" w:lineRule="exact"/>
        <w:rPr>
          <w:sz w:val="20"/>
          <w:szCs w:val="20"/>
          <w:color w:val="auto"/>
        </w:rPr>
      </w:pPr>
    </w:p>
    <w:p>
      <w:pPr>
        <w:ind w:right="200" w:firstLine="987"/>
        <w:spacing w:after="0" w:line="266" w:lineRule="auto"/>
        <w:tabs>
          <w:tab w:leader="none" w:pos="1236"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empowered, authorized and qualified to enter into this Agreement, the Advisory Agreement and the Administration Agreement, and the person signing this Agreement, the Advisory Agreement and the Administration Agreement on behalf of the Company has been duly authorized by the Company to do so.</w:t>
      </w:r>
    </w:p>
    <w:p>
      <w:pPr>
        <w:spacing w:after="0" w:line="175" w:lineRule="exact"/>
        <w:rPr>
          <w:rFonts w:ascii="Times New Roman" w:cs="Times New Roman" w:eastAsia="Times New Roman" w:hAnsi="Times New Roman"/>
          <w:sz w:val="18"/>
          <w:szCs w:val="18"/>
          <w:color w:val="auto"/>
        </w:rPr>
      </w:pPr>
    </w:p>
    <w:p>
      <w:pPr>
        <w:ind w:firstLine="987"/>
        <w:spacing w:after="0" w:line="256" w:lineRule="auto"/>
        <w:tabs>
          <w:tab w:leader="none" w:pos="1246"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this Agreement, the Advisory Agreement and the Administration Agreement by the Company and the performance of its duties and obligations hereunder and thereunder do not and will not result in a breach of any of the terms, conditions or provisions of, or constitute a default under, any indenture, mortgage, deed of trust, credit agreement, note or other evidence of indebtedness, or any lease or other agreement, or any license, permit, franchise or certificate, to which the Company is a party or by which it is bound or to which any of its properties are subject, or require any authorization or approval under or pursuant to any of the foregoing, violate the organizational documents of the Company, or violate in any material respect any statute, regulation, law, order, writ, injunction or decree to which the Company is subject.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80"/>
          </w:cols>
          <w:pgMar w:left="440" w:top="270" w:right="479" w:bottom="1440" w:gutter="0" w:footer="0" w:header="0"/>
        </w:sectPr>
      </w:pPr>
    </w:p>
    <w:bookmarkStart w:id="172" w:name="page173"/>
    <w:bookmarkEnd w:id="172"/>
    <w:p>
      <w:pPr>
        <w:ind w:right="20" w:firstLine="987"/>
        <w:spacing w:after="0" w:line="255" w:lineRule="auto"/>
        <w:tabs>
          <w:tab w:leader="none" w:pos="1236"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is not in default (nor has any event occurred which with notice, lapse of time, or both, would constitute a default) in the performance of any obligation, agreement or condition contained in this Agreement, the Advisory Agreement and the Administration Agreement, any indenture, mortgage, deed of trust, credit agreement, note or other evidence of indebtedness or any lease or other agreement or understanding, or any license, permit, franchise or certificate, to which it is a party or by which it is bound or to which its properties are subject, nor is it in violation of any statute, regulation, law, order, writ, injunction, judgment or decree to which it is subject, which default or violation would materially adversely affect the business or financial condition of the Company or impair the Company’s ability to carry out its obligations under this Agreement or the Advisory Agreement.</w:t>
      </w:r>
    </w:p>
    <w:p>
      <w:pPr>
        <w:spacing w:after="0" w:line="188" w:lineRule="exact"/>
        <w:rPr>
          <w:rFonts w:ascii="Times New Roman" w:cs="Times New Roman" w:eastAsia="Times New Roman" w:hAnsi="Times New Roman"/>
          <w:sz w:val="18"/>
          <w:szCs w:val="18"/>
          <w:color w:val="auto"/>
        </w:rPr>
      </w:pPr>
    </w:p>
    <w:p>
      <w:pPr>
        <w:ind w:right="40" w:firstLine="987"/>
        <w:spacing w:after="0" w:line="266" w:lineRule="auto"/>
        <w:tabs>
          <w:tab w:leader="none" w:pos="1246"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litigation, investigation or other proceeding pending or, to the knowledge of the Company, threatened against the Company that, if adversely determined, would materially adversely affect the business or financial condition of the Company or the ability of the Company to perform its obligations under this Agreement, the Advisory Agreement and the Administration Agreement.</w:t>
      </w:r>
    </w:p>
    <w:p>
      <w:pPr>
        <w:spacing w:after="0" w:line="175" w:lineRule="exact"/>
        <w:rPr>
          <w:rFonts w:ascii="Times New Roman" w:cs="Times New Roman" w:eastAsia="Times New Roman" w:hAnsi="Times New Roman"/>
          <w:sz w:val="18"/>
          <w:szCs w:val="18"/>
          <w:color w:val="auto"/>
        </w:rPr>
      </w:pPr>
    </w:p>
    <w:p>
      <w:pPr>
        <w:ind w:right="640" w:firstLine="987"/>
        <w:spacing w:after="0" w:line="282" w:lineRule="auto"/>
        <w:tabs>
          <w:tab w:leader="none" w:pos="1236"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to be issued and sold by the Company to the Subscriber hereunder have been duly authorized and, when issued and delivered to the Subscriber against payment therefore as provided in this Agreement, will be validly issued, fully paid and non-assessable.</w:t>
      </w:r>
    </w:p>
    <w:p>
      <w:pPr>
        <w:spacing w:after="0" w:line="37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u w:val="single" w:color="auto"/>
          <w:color w:val="auto"/>
        </w:rPr>
        <w:t>ARTICLE VI</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Adviser represents and covenants to the Subscriber as follows:</w:t>
      </w:r>
    </w:p>
    <w:p>
      <w:pPr>
        <w:spacing w:after="0" w:line="117"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Minimum Commitment</w:t>
      </w:r>
      <w:r>
        <w:rPr>
          <w:rFonts w:ascii="Times New Roman" w:cs="Times New Roman" w:eastAsia="Times New Roman" w:hAnsi="Times New Roman"/>
          <w:sz w:val="18"/>
          <w:szCs w:val="18"/>
          <w:color w:val="auto"/>
        </w:rPr>
        <w:t>. The minimum commitment is $10,000,000; the Adviser may accept lower amounts or decline to accept particular commitments in its sole discretion.</w:t>
      </w:r>
    </w:p>
    <w:p>
      <w:pPr>
        <w:spacing w:after="0" w:line="162"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Compliance with Law</w:t>
      </w:r>
      <w:r>
        <w:rPr>
          <w:rFonts w:ascii="Times New Roman" w:cs="Times New Roman" w:eastAsia="Times New Roman" w:hAnsi="Times New Roman"/>
          <w:sz w:val="18"/>
          <w:szCs w:val="18"/>
          <w:color w:val="auto"/>
        </w:rPr>
        <w:t>. The Adviser, on behalf of the Company, hereby confirms that the Company shall, in the conduct of its business and affairs, reasonably endeavor to comply with all applicable laws the noncompliance with which would have a material adverse effect on the Company; provided that the Adviser shall not be in violation of the foregoing if it acts or omits to take any action in reliance on advice from legal counsel.</w:t>
      </w:r>
    </w:p>
    <w:p>
      <w:pPr>
        <w:spacing w:after="0" w:line="180"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u w:val="single" w:color="auto"/>
          <w:color w:val="auto"/>
        </w:rPr>
        <w:t>No Proceedings</w:t>
      </w:r>
      <w:r>
        <w:rPr>
          <w:rFonts w:ascii="Times New Roman" w:cs="Times New Roman" w:eastAsia="Times New Roman" w:hAnsi="Times New Roman"/>
          <w:sz w:val="18"/>
          <w:szCs w:val="18"/>
          <w:color w:val="auto"/>
        </w:rPr>
        <w:t>. The Adviser hereby represents and warrants that, to the best of its knowledge, having inquired of legal and compliance counsel of the Adviser, and except as disclosed to you in the Memorandum, (i) there are no actions, proceedings or investigations pending before any court or governmental authority, including, without limitation, the Securities and Exchange Commission or any state securities regulatory authority, against the Adviser or the Senior Professionals (other than in their capacities as directors or executive officers of a public company) that claim or allege (1) violation of any federal or state securities law, rule or regulation, (2) breach of fiduciary duties, or (3) commission of fraud, misrepresentation, willful misconduct or gross negligence, and (ii) during the five (5) years prior to the date hereof, none of the Adviser or the Senior Professionals (other than in their capacities as directors or executive officers of a public company) has been found liable for, nor settled, any such violation, claim or allegation in any such action, proceeding or investigation, in each case of clauses (i) and (ii) to the extent that such matter would be reasonably expected to have a material adverse effect on the Company or the Adviser.</w:t>
      </w:r>
    </w:p>
    <w:p>
      <w:pPr>
        <w:spacing w:after="0" w:line="188"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u w:val="single" w:color="auto"/>
          <w:color w:val="auto"/>
        </w:rPr>
        <w:t>Anti-Money Laundering</w:t>
      </w:r>
      <w:r>
        <w:rPr>
          <w:rFonts w:ascii="Times New Roman" w:cs="Times New Roman" w:eastAsia="Times New Roman" w:hAnsi="Times New Roman"/>
          <w:sz w:val="18"/>
          <w:szCs w:val="18"/>
          <w:color w:val="auto"/>
        </w:rPr>
        <w:t>. The Adviser confirms that it will use its reasonable efforts to cause the Company to avoid transactions, that would be in violation of (a) the United States Bank Secrecy Act, as amended by the USA PATRIOT Act of 2001 and the United States Money Laundering Control Act of 1986 (i.e., 18 U.S.C. §§ 1956 and 1957), as amended, or any similar laws or regulations, or (b) any legislation, rule, regulation or order administered by the Office of Foreign Assets Control of the U.S. Department of the Treasury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including Subtitle B, Chapter V of Title 31 of</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70" w:right="459" w:bottom="1440" w:gutter="0" w:footer="0" w:header="0"/>
        </w:sectPr>
      </w:pPr>
    </w:p>
    <w:bookmarkStart w:id="173" w:name="page174"/>
    <w:bookmarkEnd w:id="173"/>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U.S. Code of Federal Regulations, in each case as amended from time to time, including any transaction in violation of the foregoing with (i) any Person appearing on the Specially Designated Nationals and Blocked Persons List of OFAC, (ii) any other Person with whom a transaction is prohibited by Executive Order 13224, the USA PATRIOT Act, the Trading with the Enemy Act, the International Emergency Economic Powers Act or the foreign asset control regulations of the United States Treasury Department, in each case as amended from time to time, (iii) any person known by the Company (after reasonable inquiry) to be fifty percent (50%) or more owned by any person described in the foregoing items (i) or (ii), or (iv) any person having its principal place of business, or the majority of its business operations (measured by revenues), located in any country or territory such that such transactions with such person would be prohibited as described in the foregoing item (ii). For purposes of the foregoing, the Company’s reliance on a representation or warranty made by a counterparty at or prior to the time of an investment or transaction and/or the Adviser’s evaluation in good faith of the likelihood that such counterparty is in violation of such restrictions, shall in each case constitute reasonable inquiry. The Adviser confirms that the term “person” includes governments, territories and other political entities.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VII</w:t>
      </w:r>
    </w:p>
    <w:p>
      <w:pPr>
        <w:spacing w:after="0" w:line="225"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u w:val="single" w:color="auto"/>
          <w:color w:val="auto"/>
        </w:rPr>
        <w:t>Other Subscription Agreements</w:t>
      </w:r>
      <w:r>
        <w:rPr>
          <w:rFonts w:ascii="Times New Roman" w:cs="Times New Roman" w:eastAsia="Times New Roman" w:hAnsi="Times New Roman"/>
          <w:sz w:val="18"/>
          <w:szCs w:val="18"/>
          <w:color w:val="auto"/>
        </w:rPr>
        <w:t>. The Adviser, on behalf of the Company, hereby represents and warrants that the Other Subscription Agreements (as defined in this Agreement) shall be substantially similar in all material respects to your Subscription Agreement, except as to (i) the amount of Capital Commitments made thereby and (ii) any modification to address such Subscriber’s policies or procedures, or legal, regulatory or tax considerations (in each case other than the obligation to make Capital Commitments).</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The provisions of this Article VII shall terminate upon an Exchange Listing.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VIII</w:t>
      </w:r>
    </w:p>
    <w:p>
      <w:pPr>
        <w:spacing w:after="0" w:line="225" w:lineRule="exact"/>
        <w:rPr>
          <w:sz w:val="20"/>
          <w:szCs w:val="20"/>
          <w:color w:val="auto"/>
        </w:rPr>
      </w:pPr>
    </w:p>
    <w:p>
      <w:pPr>
        <w:jc w:val="both"/>
        <w:ind w:right="2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u w:val="single" w:color="auto"/>
          <w:color w:val="auto"/>
        </w:rPr>
        <w:t>Power of Attorney</w:t>
      </w:r>
      <w:r>
        <w:rPr>
          <w:rFonts w:ascii="Times New Roman" w:cs="Times New Roman" w:eastAsia="Times New Roman" w:hAnsi="Times New Roman"/>
          <w:sz w:val="18"/>
          <w:szCs w:val="18"/>
          <w:color w:val="auto"/>
        </w:rPr>
        <w:t>. (a) The Subscriber, by its execution hereof, hereby irrevocably makes, constitutes and appoints the Company as its true and lawful agent and attorney-in-fact, with full power of substitution and full power and authority in its name, place and stead, to make, execute, sign, acknowledge, swear to, record and file:</w:t>
      </w:r>
    </w:p>
    <w:p>
      <w:pPr>
        <w:spacing w:after="0" w:line="68" w:lineRule="exact"/>
        <w:rPr>
          <w:sz w:val="20"/>
          <w:szCs w:val="20"/>
          <w:color w:val="auto"/>
        </w:rPr>
      </w:pPr>
    </w:p>
    <w:p>
      <w:pPr>
        <w:ind w:left="440" w:right="440" w:firstLine="948"/>
        <w:spacing w:after="0" w:line="282" w:lineRule="auto"/>
        <w:tabs>
          <w:tab w:leader="none" w:pos="1607"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filings required to be made by the Subscriber under the 1934 Act with respect to any of the Company’s securities which may be deemed to be beneficially owned by the Subscriber under the 1934 Act;</w:t>
      </w:r>
    </w:p>
    <w:p>
      <w:pPr>
        <w:spacing w:after="0" w:line="53"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lock-up agreement negotiated between the Company and underwriters in connection with an Exchange Listing;</w:t>
      </w:r>
    </w:p>
    <w:p>
      <w:pPr>
        <w:spacing w:after="0" w:line="117" w:lineRule="exact"/>
        <w:rPr>
          <w:rFonts w:ascii="Times New Roman" w:cs="Times New Roman" w:eastAsia="Times New Roman" w:hAnsi="Times New Roman"/>
          <w:sz w:val="18"/>
          <w:szCs w:val="18"/>
          <w:color w:val="auto"/>
        </w:rPr>
      </w:pPr>
    </w:p>
    <w:p>
      <w:pPr>
        <w:ind w:left="440" w:right="40" w:firstLine="948"/>
        <w:spacing w:after="0" w:line="282" w:lineRule="auto"/>
        <w:tabs>
          <w:tab w:leader="none" w:pos="1707"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certificates and other instruments deemed advisable by the Company in order for the Company to enter into any borrowing or pledging arrangement;</w:t>
      </w:r>
    </w:p>
    <w:p>
      <w:pPr>
        <w:spacing w:after="0" w:line="53" w:lineRule="exact"/>
        <w:rPr>
          <w:rFonts w:ascii="Times New Roman" w:cs="Times New Roman" w:eastAsia="Times New Roman" w:hAnsi="Times New Roman"/>
          <w:sz w:val="18"/>
          <w:szCs w:val="18"/>
          <w:color w:val="auto"/>
        </w:rPr>
      </w:pPr>
    </w:p>
    <w:p>
      <w:pPr>
        <w:ind w:left="440" w:right="280" w:firstLine="948"/>
        <w:spacing w:after="0" w:line="282" w:lineRule="auto"/>
        <w:tabs>
          <w:tab w:leader="none" w:pos="1697"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certificates and other instruments deemed advisable by the Company to comply with the provisions of this Agreement and applicable law or to permit the Company to become or to continue as a business development corporation, and</w:t>
      </w:r>
    </w:p>
    <w:p>
      <w:pPr>
        <w:spacing w:after="0" w:line="53" w:lineRule="exact"/>
        <w:rPr>
          <w:rFonts w:ascii="Times New Roman" w:cs="Times New Roman" w:eastAsia="Times New Roman" w:hAnsi="Times New Roman"/>
          <w:sz w:val="18"/>
          <w:szCs w:val="18"/>
          <w:color w:val="auto"/>
        </w:rPr>
      </w:pPr>
    </w:p>
    <w:p>
      <w:pPr>
        <w:ind w:left="440" w:right="340" w:firstLine="948"/>
        <w:spacing w:after="0" w:line="282" w:lineRule="auto"/>
        <w:tabs>
          <w:tab w:leader="none" w:pos="1647"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instruments or papers not inconsistent with the terms of this Agreement which may be required by law to be filed on behalf of the Company.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70" w:right="459" w:bottom="1440" w:gutter="0" w:footer="0" w:header="0"/>
        </w:sectPr>
      </w:pPr>
    </w:p>
    <w:bookmarkStart w:id="174" w:name="page175"/>
    <w:bookmarkEnd w:id="174"/>
    <w:p>
      <w:pPr>
        <w:ind w:left="1240" w:hanging="253"/>
        <w:spacing w:after="0"/>
        <w:tabs>
          <w:tab w:leader="none" w:pos="124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respect to the Subscriber and the Company, the foregoing power of attorney:</w:t>
      </w:r>
    </w:p>
    <w:p>
      <w:pPr>
        <w:spacing w:after="0" w:line="117"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coupled with an interest and shall be irrevocable;</w:t>
      </w:r>
    </w:p>
    <w:p>
      <w:pPr>
        <w:spacing w:after="0" w:line="117" w:lineRule="exact"/>
        <w:rPr>
          <w:rFonts w:ascii="Times New Roman" w:cs="Times New Roman" w:eastAsia="Times New Roman" w:hAnsi="Times New Roman"/>
          <w:sz w:val="18"/>
          <w:szCs w:val="18"/>
          <w:color w:val="auto"/>
        </w:rPr>
      </w:pPr>
    </w:p>
    <w:p>
      <w:pPr>
        <w:ind w:left="440" w:right="340" w:firstLine="948"/>
        <w:spacing w:after="0" w:line="282" w:lineRule="auto"/>
        <w:tabs>
          <w:tab w:leader="none" w:pos="1657"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be exercised by the Company either by signing separately as attorney-in-fact for the Subscriber or, after listing all of the Subscribers executing an instrument, by a single signature of the Company acting as attorney-in-fact for all of them;</w:t>
      </w:r>
    </w:p>
    <w:p>
      <w:pPr>
        <w:spacing w:after="0" w:line="53"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survive the assignment by the Subscriber of the whole or any fraction of its Shares;</w:t>
      </w:r>
    </w:p>
    <w:p>
      <w:pPr>
        <w:spacing w:after="0" w:line="117"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terminate concurrently with the termination of the Capital Commitment, in accordance with Section 2.01(f); and</w:t>
      </w:r>
    </w:p>
    <w:p>
      <w:pPr>
        <w:spacing w:after="0" w:line="117" w:lineRule="exact"/>
        <w:rPr>
          <w:rFonts w:ascii="Times New Roman" w:cs="Times New Roman" w:eastAsia="Times New Roman" w:hAnsi="Times New Roman"/>
          <w:sz w:val="18"/>
          <w:szCs w:val="18"/>
          <w:color w:val="auto"/>
        </w:rPr>
      </w:pPr>
    </w:p>
    <w:p>
      <w:pPr>
        <w:ind w:left="440" w:right="480" w:firstLine="948"/>
        <w:spacing w:after="0" w:line="282" w:lineRule="auto"/>
        <w:tabs>
          <w:tab w:leader="none" w:pos="1647"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be used by the Company in any manner that is inconsistent with the terms of this Agreement and any other written agreement between the Company and the Subscriber.</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ARTICLE IX</w:t>
      </w:r>
    </w:p>
    <w:p>
      <w:pPr>
        <w:spacing w:after="0" w:line="225"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u w:val="single" w:color="auto"/>
          <w:color w:val="auto"/>
        </w:rPr>
        <w:t>Condition to Closing</w:t>
      </w:r>
      <w:r>
        <w:rPr>
          <w:rFonts w:ascii="Times New Roman" w:cs="Times New Roman" w:eastAsia="Times New Roman" w:hAnsi="Times New Roman"/>
          <w:sz w:val="18"/>
          <w:szCs w:val="18"/>
          <w:color w:val="auto"/>
        </w:rPr>
        <w:t>. The Subscriber’s obligations hereunder are subject to the fulfillment (or waiver by the Subscriber), prior to or on or about the time of closing on the Closing Date, of the following condition: The Company shall have duly performed and complied in all material respects with all agreements and conditions contained in this Agreement required to be performed or complied with by it prior to or at the Closing Date.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ARTICLE X</w:t>
      </w:r>
    </w:p>
    <w:p>
      <w:pPr>
        <w:spacing w:after="0" w:line="225"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10.01. </w:t>
      </w:r>
      <w:r>
        <w:rPr>
          <w:rFonts w:ascii="Times New Roman" w:cs="Times New Roman" w:eastAsia="Times New Roman" w:hAnsi="Times New Roman"/>
          <w:sz w:val="18"/>
          <w:szCs w:val="18"/>
          <w:u w:val="single" w:color="auto"/>
          <w:color w:val="auto"/>
        </w:rPr>
        <w:t>Indemnity</w:t>
      </w:r>
      <w:r>
        <w:rPr>
          <w:rFonts w:ascii="Times New Roman" w:cs="Times New Roman" w:eastAsia="Times New Roman" w:hAnsi="Times New Roman"/>
          <w:sz w:val="18"/>
          <w:szCs w:val="18"/>
          <w:color w:val="auto"/>
        </w:rPr>
        <w:t>. Each of the Company and the Subscriber agrees, to the fullest extent permitted by law, to indemnify and hold harmless the other and each other person, if any, who controls any person who is a partner in the Subscriber within the meaning of Section 15 of the 1933 Act against any and all direct losses, liabilities, claims, damages, and expenses whatsoever (including attorneys’ fees and disbursements, judgments, fines and amounts paid in settlement) arising out of or based upon any breach or failure by the Company or the Subscriber, as the case may be, to comply with any acknowledgment, representation, warranty, covenant, or agreement made by it herein (or reaffirmed or deemed to be made by it pursuant to this Agreement) or in any other document furnished by it to the Company or Subscriber pursuant to this Agreement, as applicable.</w:t>
      </w:r>
    </w:p>
    <w:p>
      <w:pPr>
        <w:spacing w:after="0" w:line="187"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10.02. </w:t>
      </w:r>
      <w:r>
        <w:rPr>
          <w:rFonts w:ascii="Times New Roman" w:cs="Times New Roman" w:eastAsia="Times New Roman" w:hAnsi="Times New Roman"/>
          <w:sz w:val="18"/>
          <w:szCs w:val="18"/>
          <w:u w:val="single" w:color="auto"/>
          <w:color w:val="auto"/>
        </w:rPr>
        <w:t>Acceptance or Rejection</w:t>
      </w:r>
      <w:r>
        <w:rPr>
          <w:rFonts w:ascii="Times New Roman" w:cs="Times New Roman" w:eastAsia="Times New Roman" w:hAnsi="Times New Roman"/>
          <w:sz w:val="18"/>
          <w:szCs w:val="18"/>
          <w:color w:val="auto"/>
        </w:rPr>
        <w:t>. (a) This subscription is irrevocable and, at any time prior to the Closing Date, notwithstanding the Subscriber’s prior receipt of a notice of acceptance of the Subscriber’s subscription, the Adviser shall have the right to accept an amount equal to or less than the subscribed amount, or reject this subscription, for any reason whatsoever. If the Adviser accepts less than the full requested Capital Commitment on the Closing Date, the Adviser shall have the right to accept up to the full requested Capital Commitment at any subsequent closing of the Company (can each of the Subscriber’s representations, warranties and covenants made herein shall be deemed to have been made and reaffirmed as of such subsequent closing) and no further consent or signature of the Subscriber shall be required.</w:t>
      </w:r>
    </w:p>
    <w:p>
      <w:pPr>
        <w:spacing w:after="0" w:line="187" w:lineRule="exact"/>
        <w:rPr>
          <w:sz w:val="20"/>
          <w:szCs w:val="20"/>
          <w:color w:val="auto"/>
        </w:rPr>
      </w:pPr>
    </w:p>
    <w:p>
      <w:pPr>
        <w:ind w:firstLine="987"/>
        <w:spacing w:after="0" w:line="266" w:lineRule="auto"/>
        <w:tabs>
          <w:tab w:leader="none" w:pos="1246"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full rejection of this subscription, the Company promptly thereupon shall return to the Subscriber the copies of this Agreement and any other documents submitted herewith (but the Company shall have the right to retain a copy for its records), and this Agreement shall have no further force or effect thereafter.</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80"/>
          </w:cols>
          <w:pgMar w:left="440" w:top="270" w:right="479" w:bottom="1440" w:gutter="0" w:footer="0" w:header="0"/>
        </w:sectPr>
      </w:pPr>
    </w:p>
    <w:bookmarkStart w:id="175" w:name="page176"/>
    <w:bookmarkEnd w:id="175"/>
    <w:p>
      <w:pPr>
        <w:ind w:right="200" w:firstLine="991"/>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10.03. </w:t>
      </w:r>
      <w:r>
        <w:rPr>
          <w:rFonts w:ascii="Times New Roman" w:cs="Times New Roman" w:eastAsia="Times New Roman" w:hAnsi="Times New Roman"/>
          <w:sz w:val="17"/>
          <w:szCs w:val="17"/>
          <w:u w:val="single" w:color="auto"/>
          <w:color w:val="auto"/>
        </w:rPr>
        <w:t>Modification</w:t>
      </w:r>
      <w:r>
        <w:rPr>
          <w:rFonts w:ascii="Times New Roman" w:cs="Times New Roman" w:eastAsia="Times New Roman" w:hAnsi="Times New Roman"/>
          <w:sz w:val="17"/>
          <w:szCs w:val="17"/>
          <w:color w:val="auto"/>
        </w:rPr>
        <w:t>. Neither this Agreement nor any provisions hereof shall be modified, changed, discharged, waived or terminated except by an instrument in writing signed by the party against whom any modification, change, discharge, waiver or termination is sought.</w:t>
      </w:r>
    </w:p>
    <w:p>
      <w:pPr>
        <w:spacing w:after="0" w:line="140" w:lineRule="exact"/>
        <w:rPr>
          <w:sz w:val="20"/>
          <w:szCs w:val="20"/>
          <w:color w:val="auto"/>
        </w:rPr>
      </w:pPr>
    </w:p>
    <w:p>
      <w:pPr>
        <w:ind w:right="5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10.04. </w:t>
      </w:r>
      <w:r>
        <w:rPr>
          <w:rFonts w:ascii="Times New Roman" w:cs="Times New Roman" w:eastAsia="Times New Roman" w:hAnsi="Times New Roman"/>
          <w:sz w:val="18"/>
          <w:szCs w:val="18"/>
          <w:u w:val="single" w:color="auto"/>
          <w:color w:val="auto"/>
        </w:rPr>
        <w:t>Revocability</w:t>
      </w:r>
      <w:r>
        <w:rPr>
          <w:rFonts w:ascii="Times New Roman" w:cs="Times New Roman" w:eastAsia="Times New Roman" w:hAnsi="Times New Roman"/>
          <w:sz w:val="18"/>
          <w:szCs w:val="18"/>
          <w:color w:val="auto"/>
        </w:rPr>
        <w:t>. This Agreement may not be withdrawn or revoked by the Subscriber in whole or in part without the consent of the Company.</w:t>
      </w:r>
    </w:p>
    <w:p>
      <w:pPr>
        <w:spacing w:after="0" w:line="162"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10.05.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consents, requests, demands, offers, reports, and other communications required or permitted to be given pursuant to this Agreement shall be in writing and shall be given, made or delivered (and shall be deemed to have been duly given, made or delivered upon receipt) by personal hand-delivery, by facsimile transmission, by electronic mail, by mailing the same in a sealed envelope, registered first-class mail, postage prepaid, return receipt requested, or by air courier guaranteeing overnight delivery, addressed, if to the Company, to:</w:t>
      </w:r>
    </w:p>
    <w:p>
      <w:pPr>
        <w:spacing w:after="0" w:line="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Sixth Street Lending Partners</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2100 McKinney Avenue, Suite 1500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Dallas, TX 75201</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Tel: (469) 621-3001</w:t>
      </w:r>
    </w:p>
    <w:p>
      <w:pPr>
        <w:spacing w:after="0" w:line="20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and, if to the Subscriber, to the address set forth in the Investor Suitability Questionnaire. The Company or the Subscriber may change its address by giving notice to the other in the manner described herein.</w:t>
      </w:r>
    </w:p>
    <w:p>
      <w:pPr>
        <w:spacing w:after="0" w:line="162"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10.06.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multiple counterpart copies, each of which will be considered an original and all of which constitute one and the same instrument binding on all the parties, notwithstanding that all parties are not signatories to the same counterpart. This Agreement may be signed by any party manually or by way of an electronic signature (including DocuSign or other similar method) or by a signature or a representation of a signature affixed by mechanical means and may be reproduced as an electronic record and delivered to the Adviser by facsimile, by electronic mail or by delivery through a web or other electronic portal. The Adviser may take such steps as it deems appropriate to determine the validity of any electronic signature.</w:t>
      </w:r>
    </w:p>
    <w:p>
      <w:pPr>
        <w:spacing w:after="0" w:line="187"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10.07. </w:t>
      </w: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 Except as otherwise provided herein, this Agreement and all of the terms and provisions hereof will be binding upon and inure to the benefit of the parties and their respective heirs, executors, administrators, successors, trustees and legal representatives. If the Subscriber is more than one person, the obligation of the Subscriber shall be joint and several and the agreements, representations, warranties, and acknowledgments herein contained will be deemed to be made by and be binding upon each such person and such person’s heirs, executors, administrators, successors, trustees and legal representatives.</w:t>
      </w:r>
    </w:p>
    <w:p>
      <w:pPr>
        <w:spacing w:after="0" w:line="183" w:lineRule="exact"/>
        <w:rPr>
          <w:sz w:val="20"/>
          <w:szCs w:val="20"/>
          <w:color w:val="auto"/>
        </w:rPr>
      </w:pPr>
    </w:p>
    <w:p>
      <w:pPr>
        <w:ind w:right="3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10.08. </w:t>
      </w:r>
      <w:r>
        <w:rPr>
          <w:rFonts w:ascii="Times New Roman" w:cs="Times New Roman" w:eastAsia="Times New Roman" w:hAnsi="Times New Roman"/>
          <w:sz w:val="18"/>
          <w:szCs w:val="18"/>
          <w:u w:val="single" w:color="auto"/>
          <w:color w:val="auto"/>
        </w:rPr>
        <w:t>Assignability</w:t>
      </w:r>
      <w:r>
        <w:rPr>
          <w:rFonts w:ascii="Times New Roman" w:cs="Times New Roman" w:eastAsia="Times New Roman" w:hAnsi="Times New Roman"/>
          <w:sz w:val="18"/>
          <w:szCs w:val="18"/>
          <w:color w:val="auto"/>
        </w:rPr>
        <w:t>. This Agreement is not transferable or assignable by the Subscriber. Any purported assignment of this Agreement will be null and void.</w:t>
      </w:r>
    </w:p>
    <w:p>
      <w:pPr>
        <w:spacing w:after="0" w:line="162" w:lineRule="exact"/>
        <w:rPr>
          <w:sz w:val="20"/>
          <w:szCs w:val="20"/>
          <w:color w:val="auto"/>
        </w:rPr>
      </w:pPr>
    </w:p>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10.09. </w:t>
      </w:r>
      <w:r>
        <w:rPr>
          <w:rFonts w:ascii="Times New Roman" w:cs="Times New Roman" w:eastAsia="Times New Roman" w:hAnsi="Times New Roman"/>
          <w:sz w:val="18"/>
          <w:szCs w:val="18"/>
          <w:u w:val="single" w:color="auto"/>
          <w:color w:val="auto"/>
        </w:rPr>
        <w:t>Entire Agreement; No Third Party Beneficiaries</w:t>
      </w:r>
      <w:r>
        <w:rPr>
          <w:rFonts w:ascii="Times New Roman" w:cs="Times New Roman" w:eastAsia="Times New Roman" w:hAnsi="Times New Roman"/>
          <w:sz w:val="18"/>
          <w:szCs w:val="18"/>
          <w:color w:val="auto"/>
        </w:rPr>
        <w:t>. This Agreement constitutes the entire agreement of the parties hereto with respect to the subject matter hereof, supersedes any prior agreement or understanding among them with respect to such subject matter, and is not intended to confer upon any person other than the parties hereto any rights or remedies hereunder. The foregoing limitation, however, shall not prohibit any Other Subscriber from enforcing Section 3.01(b) against any defaulting Subscriber.</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80"/>
          </w:cols>
          <w:pgMar w:left="440" w:top="270" w:right="479" w:bottom="1440" w:gutter="0" w:footer="0" w:header="0"/>
        </w:sectPr>
      </w:pPr>
    </w:p>
    <w:bookmarkStart w:id="176" w:name="page177"/>
    <w:bookmarkEnd w:id="176"/>
    <w:p>
      <w:pPr>
        <w:ind w:right="24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10.10. </w:t>
      </w: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THIS AGREEMENT SHALL BE GOVERNED BY AND CONSTRUED IN ACCORDANCE WITH THE LAWS OF THE STATE OF DELAWARE.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10.11. </w:t>
      </w:r>
      <w:r>
        <w:rPr>
          <w:rFonts w:ascii="Times New Roman" w:cs="Times New Roman" w:eastAsia="Times New Roman" w:hAnsi="Times New Roman"/>
          <w:sz w:val="18"/>
          <w:szCs w:val="18"/>
          <w:u w:val="single" w:color="auto"/>
          <w:color w:val="auto"/>
        </w:rPr>
        <w:t>Jurisdiction; Venue</w:t>
      </w:r>
      <w:r>
        <w:rPr>
          <w:rFonts w:ascii="Times New Roman" w:cs="Times New Roman" w:eastAsia="Times New Roman" w:hAnsi="Times New Roman"/>
          <w:sz w:val="18"/>
          <w:szCs w:val="18"/>
          <w:color w:val="auto"/>
        </w:rPr>
        <w:t>. Except as otherwise agreed by the Adviser or the Company in writing with the Subscriber:</w:t>
      </w:r>
    </w:p>
    <w:p>
      <w:pPr>
        <w:spacing w:after="0" w:line="117" w:lineRule="exact"/>
        <w:rPr>
          <w:sz w:val="20"/>
          <w:szCs w:val="20"/>
          <w:color w:val="auto"/>
        </w:rPr>
      </w:pPr>
    </w:p>
    <w:p>
      <w:pPr>
        <w:ind w:right="20" w:firstLine="987"/>
        <w:spacing w:after="0" w:line="256" w:lineRule="auto"/>
        <w:tabs>
          <w:tab w:leader="none" w:pos="1236"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proceeding relating in any way to this Agreement (including, without limitation, any action or proceeding based upon or arising out of or related to any marketing of the Shares) may be brought and enforced exclusively in the courts of the State of Delaware or (to the extent subject matter jurisdiction exists therefor) of the United States for the District of Delaware, and the parties (i) irrevocably submit to the jurisdiction of both such courts in respect of any such action or proceeding and (ii) agree that service of summons, complaint or other process in connection with any such action or proceeding may be made by overnight courier addressed to such party at the address provided in Section 10.05 of this Agreement and that service so made shall be as effective as if personally made in the State of Delaware.</w:t>
      </w:r>
    </w:p>
    <w:p>
      <w:pPr>
        <w:spacing w:after="0" w:line="187" w:lineRule="exact"/>
        <w:rPr>
          <w:rFonts w:ascii="Times New Roman" w:cs="Times New Roman" w:eastAsia="Times New Roman" w:hAnsi="Times New Roman"/>
          <w:sz w:val="18"/>
          <w:szCs w:val="18"/>
          <w:color w:val="auto"/>
        </w:rPr>
      </w:pPr>
    </w:p>
    <w:p>
      <w:pPr>
        <w:ind w:right="140" w:firstLine="987"/>
        <w:spacing w:after="0" w:line="258" w:lineRule="auto"/>
        <w:tabs>
          <w:tab w:leader="none" w:pos="1246"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Subscriber may be or may become entitled to any private right of action or to make any other claim for recourse of any nature under any laws, rules, regulations or other legal requirements related to the offering and sale of the Shares in the jurisdictions in which such Subscriber resides or is otherwise domiciled or in which the acquisition of the Shares is being consummated, the Subscriber hereby irrevocably waives such right and irrevocably agrees not to make any claim against the Company, the Adviser or their respective Affiliates under or pursuant to such laws, rules or regulations.</w:t>
      </w:r>
    </w:p>
    <w:p>
      <w:pPr>
        <w:spacing w:after="0" w:line="183" w:lineRule="exact"/>
        <w:rPr>
          <w:rFonts w:ascii="Times New Roman" w:cs="Times New Roman" w:eastAsia="Times New Roman" w:hAnsi="Times New Roman"/>
          <w:sz w:val="18"/>
          <w:szCs w:val="18"/>
          <w:color w:val="auto"/>
        </w:rPr>
      </w:pPr>
    </w:p>
    <w:p>
      <w:pPr>
        <w:ind w:firstLine="987"/>
        <w:spacing w:after="0" w:line="261" w:lineRule="auto"/>
        <w:tabs>
          <w:tab w:leader="none" w:pos="1236"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agreed by the Company in writing with the Subscriber, the parties irrevocably waive, to the fullest extent permitted by law, any objection that they may now or hereafter have to the laying of venue of any such action or proceeding in the courts of the State of Delaware or of the United States for the District of Delaware, and any claim that any such action or proceeding brought in any such court has been brought in any inconvenient forum.</w:t>
      </w:r>
    </w:p>
    <w:p>
      <w:pPr>
        <w:spacing w:after="0" w:line="180" w:lineRule="exact"/>
        <w:rPr>
          <w:sz w:val="20"/>
          <w:szCs w:val="20"/>
          <w:color w:val="auto"/>
        </w:rPr>
      </w:pPr>
    </w:p>
    <w:p>
      <w:pPr>
        <w:ind w:right="8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10.12. </w:t>
      </w:r>
      <w:r>
        <w:rPr>
          <w:rFonts w:ascii="Times New Roman" w:cs="Times New Roman" w:eastAsia="Times New Roman" w:hAnsi="Times New Roman"/>
          <w:sz w:val="18"/>
          <w:szCs w:val="18"/>
          <w:u w:val="single" w:color="auto"/>
          <w:color w:val="auto"/>
        </w:rPr>
        <w:t>Waiver of Immunity</w:t>
      </w:r>
      <w:r>
        <w:rPr>
          <w:rFonts w:ascii="Times New Roman" w:cs="Times New Roman" w:eastAsia="Times New Roman" w:hAnsi="Times New Roman"/>
          <w:sz w:val="18"/>
          <w:szCs w:val="18"/>
          <w:color w:val="auto"/>
        </w:rPr>
        <w:t>. Except as otherwise agreed by the Adviser and/or the Company in writing with the Subscriber, to the extent that the Subscriber may be or may become entitled, in any action or proceeding relating in any way to this Agreement to claim for itself or its properties or revenues any immunity from suit, court jurisdiction or attachment prior to judgment, attachment in aid of execution of a judgment, execution of a judgment or from any other legal process or remedy relating to its obligations under this Agreement and to the extent that in any such action or proceeding there may be attributed immunity (whether or not claimed), the Subscriber hereby irrevocably agrees not to claim and hereby irrevocably waives such immunity to the fullest extent permitted by laws of the State of Delaware.</w:t>
      </w:r>
    </w:p>
    <w:p>
      <w:pPr>
        <w:spacing w:after="0" w:line="187" w:lineRule="exact"/>
        <w:rPr>
          <w:sz w:val="20"/>
          <w:szCs w:val="20"/>
          <w:color w:val="auto"/>
        </w:rPr>
      </w:pPr>
    </w:p>
    <w:p>
      <w:pPr>
        <w:ind w:right="4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10.13.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(a) Each Subscriber shall maintain the confidentiality of (i) Non-Public Information (as defined below) and (ii) any information subject to a confidentiality agreement binding upon the Adviser, Sixth Street or the Company and made known to the Subscribers; provided that each Subscriber may disclose Non-Public Information to (i) its Affiliates, officers, employees, agents and professional consultants who have a bona fide need to know such information for purposes of monitoring or managing such Subscriber’s investments, or for financial, legal or accounting purposes, and who have agreed to or are otherwise subject to a duty to keep such information confidential and to not otherwise use such information in a manner inconsistent with this paragraph 10.13, it being understood that such Subscriber shall be responsible and liable for any disclosure or use by any such Affiliates, officers, employees, agents or professional consultants of such information in a manner inconsistent with this paragraph 10.13, (ii) persons having or purporting to have regulatory authority over such Subscriber or its Affiliates; provided that such persons are advised that the Non-Public Information is confidential, or (iii)</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440" w:top="270" w:right="459" w:bottom="1440" w:gutter="0" w:footer="0" w:header="0"/>
        </w:sectPr>
      </w:pPr>
    </w:p>
    <w:bookmarkStart w:id="177" w:name="page178"/>
    <w:bookmarkEnd w:id="177"/>
    <w:p>
      <w:pPr>
        <w:ind w:left="4"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a potential transferee of all or part of such Subscriber’s Shares, if such potential transferee agrees to be bound by a confidentiality agreement substantially identical to the provisions of this paragraph 10.13, it being understood that (unless otherwise agreed by the Adviser in writing) such Subscriber shall be responsible and liable for any breach by any such potential transferee; and provided, further, that each Subscriber may disclose Non-Public Information it is required to disclose pursuant to any law or legal process, in which event each Subscriber agrees to use its reasonable best efforts to provide the Adviser with notice of such intended disclosure, including, without limitation, by following the procedures set forth in the last sentence of paragraph 10.13(b). Without limitation of the foregoing, each Subscriber acknowledges that notices and reports to Subscribers hereunder may contain material Non-Public Information concerning, among other things, portfolio investments and agrees (i) to use any information provided to it by the Company or the Adviser only in good faith to monitor and manage its Shares in the Company and (ii) not to trade in securities on the basis of any material Non-Public Information provided to it by the Company or the Adviser.</w:t>
      </w:r>
    </w:p>
    <w:p>
      <w:pPr>
        <w:spacing w:after="0" w:line="188" w:lineRule="exact"/>
        <w:rPr>
          <w:sz w:val="20"/>
          <w:szCs w:val="20"/>
          <w:color w:val="auto"/>
        </w:rPr>
      </w:pPr>
    </w:p>
    <w:p>
      <w:pPr>
        <w:ind w:left="4" w:right="100" w:firstLine="987"/>
        <w:spacing w:after="0" w:line="267" w:lineRule="auto"/>
        <w:tabs>
          <w:tab w:leader="none" w:pos="1250" w:val="left"/>
        </w:tabs>
        <w:numPr>
          <w:ilvl w:val="1"/>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used in this paragraph 10.13, “</w:t>
      </w:r>
      <w:r>
        <w:rPr>
          <w:rFonts w:ascii="Times New Roman" w:cs="Times New Roman" w:eastAsia="Times New Roman" w:hAnsi="Times New Roman"/>
          <w:sz w:val="17"/>
          <w:szCs w:val="17"/>
          <w:u w:val="single" w:color="auto"/>
          <w:color w:val="auto"/>
        </w:rPr>
        <w:t>Non-Public Information</w:t>
      </w:r>
      <w:r>
        <w:rPr>
          <w:rFonts w:ascii="Times New Roman" w:cs="Times New Roman" w:eastAsia="Times New Roman" w:hAnsi="Times New Roman"/>
          <w:sz w:val="17"/>
          <w:szCs w:val="17"/>
          <w:color w:val="auto"/>
        </w:rPr>
        <w:t>” means information regarding the Company (including (i) information regarding any actual or potential investment or any person in which the Company holds, or contemplates acquiring, any investment and (ii) the provisions of this Agreement, any Subscription Agreement and any Side Letter) and Sixth Street (or its Affiliates) received by such Subscriber pursuant to this Agreement, but does not include information that (x) was publicly known at the time such Subscriber received such information pursuant to this Agreement, (y) subsequently becomes publicly known through no act or omission by such Subscriber or its Affiliates, employees, representatives, or agents, or (z) is communicated to such Subscriber by a third party free of any obligation of confidence known to such Subscriber. The Subscribers and Adviser acknowledge and agree that information relating to any person in which the Company holds, or contemplates acquiring, any investment, the provisions of this Agreement and the identities of the Subscribers are intended to be treated as “trade secrets” of the Company and the Adviser. Furthermore, each Subscriber agrees that it shall use its reasonable best efforts to (1) promptly notify the Adviser if it has received a request to disclose any Non-Public Information (other than Fund Level Information), (2) consult with the Adviser regarding the response to such disclosure request, and</w:t>
      </w:r>
    </w:p>
    <w:p>
      <w:pPr>
        <w:spacing w:after="0" w:line="3" w:lineRule="exact"/>
        <w:rPr>
          <w:rFonts w:ascii="Times New Roman" w:cs="Times New Roman" w:eastAsia="Times New Roman" w:hAnsi="Times New Roman"/>
          <w:sz w:val="17"/>
          <w:szCs w:val="17"/>
          <w:color w:val="auto"/>
        </w:rPr>
      </w:pPr>
    </w:p>
    <w:p>
      <w:pPr>
        <w:ind w:left="4" w:right="440" w:hanging="4"/>
        <w:spacing w:after="0" w:line="260" w:lineRule="auto"/>
        <w:tabs>
          <w:tab w:leader="none" w:pos="259"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together with the Adviser to reach an alternative arrangement with respect to such Subscriber’s information rights, satisfactory to both the Adviser and such Subscriber, if necessary to avoid or prevent any such disclosure or any future disclosures.</w:t>
      </w:r>
    </w:p>
    <w:p>
      <w:pPr>
        <w:spacing w:after="0" w:line="181" w:lineRule="exact"/>
        <w:rPr>
          <w:rFonts w:ascii="Times New Roman" w:cs="Times New Roman" w:eastAsia="Times New Roman" w:hAnsi="Times New Roman"/>
          <w:sz w:val="18"/>
          <w:szCs w:val="18"/>
          <w:color w:val="auto"/>
        </w:rPr>
      </w:pPr>
    </w:p>
    <w:p>
      <w:pPr>
        <w:ind w:left="4" w:right="40" w:firstLine="987"/>
        <w:spacing w:after="0" w:line="268" w:lineRule="auto"/>
        <w:tabs>
          <w:tab w:leader="none" w:pos="1240" w:val="left"/>
        </w:tabs>
        <w:numPr>
          <w:ilvl w:val="1"/>
          <w:numId w:val="1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that the Adviser determines in good faith (i) that a Subscriber has violated, or is reasonably likely to violate, the provisions of this paragraph 10.13, (ii) that the dissemination of certain confidential information of the Company to a Subscriber is reasonably likely to result in adverse consequences to the Company, its Affiliates, any portfolio investment or any proposed portfolio investment, or (iii) in the case of a Subscriber that is subject to the U.S. Freedom of Information Act, or any similar statutory or regulatory disclosure requirement of any state or other jurisdiction (collectively, “</w:t>
      </w:r>
      <w:r>
        <w:rPr>
          <w:rFonts w:ascii="Times New Roman" w:cs="Times New Roman" w:eastAsia="Times New Roman" w:hAnsi="Times New Roman"/>
          <w:sz w:val="17"/>
          <w:szCs w:val="17"/>
          <w:u w:val="single" w:color="auto"/>
          <w:color w:val="auto"/>
        </w:rPr>
        <w:t>FOIA</w:t>
      </w:r>
      <w:r>
        <w:rPr>
          <w:rFonts w:ascii="Times New Roman" w:cs="Times New Roman" w:eastAsia="Times New Roman" w:hAnsi="Times New Roman"/>
          <w:sz w:val="17"/>
          <w:szCs w:val="17"/>
          <w:color w:val="auto"/>
        </w:rPr>
        <w:t>”), that there is a reasonable likelihood that a request to such Subscriber pursuant to FOIA or any such law or statutory or regulatory requirement would result in the disclosure of Non-Public Information, other than aggregate performance information about the Company (including aggregate cash flows and overall “IRRs”), the year of formation of the Company, aggregate Capital Commitments to the Company and information about a Subscriber’s own Capital Commitment and Unused Capital Commitment (collectively, “</w:t>
      </w:r>
      <w:r>
        <w:rPr>
          <w:rFonts w:ascii="Times New Roman" w:cs="Times New Roman" w:eastAsia="Times New Roman" w:hAnsi="Times New Roman"/>
          <w:sz w:val="17"/>
          <w:szCs w:val="17"/>
          <w:u w:val="single" w:color="auto"/>
          <w:color w:val="auto"/>
        </w:rPr>
        <w:t>Fund Level Information</w:t>
      </w:r>
      <w:r>
        <w:rPr>
          <w:rFonts w:ascii="Times New Roman" w:cs="Times New Roman" w:eastAsia="Times New Roman" w:hAnsi="Times New Roman"/>
          <w:sz w:val="17"/>
          <w:szCs w:val="17"/>
          <w:color w:val="auto"/>
        </w:rPr>
        <w:t>”), the Adviser may</w:t>
      </w:r>
    </w:p>
    <w:p>
      <w:pPr>
        <w:ind w:left="4" w:hanging="4"/>
        <w:spacing w:after="0" w:line="252" w:lineRule="auto"/>
        <w:tabs>
          <w:tab w:leader="none" w:pos="259"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 all or any part of the information otherwise to be provided to such Subscriber other than Fund Level Information and redacted annual financial statements, (2) require such Subscriber to return, to the extent permitted by applicable law, any copies of any such information provided to it by the Adviser or the Company, (3) make any such information available to such Subscriber at the Adviser’s offices or at the offices of another person that has agreed to keep such information confidential, or (4) make such information available to such Subscriber only on the Company’s website in password-protected, non-downloadable, non-printable format. Each Subscriber shall promptly notify the Adviser if at any time such Subscriber is or becomes subject to FOIA, to the extent not previously set forth in such Subscriber’s Subscription Agreement.</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24"/>
          </w:cols>
          <w:pgMar w:left="436" w:top="270" w:right="439" w:bottom="1440" w:gutter="0" w:footer="0" w:header="0"/>
        </w:sectPr>
      </w:pPr>
    </w:p>
    <w:bookmarkStart w:id="178" w:name="page179"/>
    <w:bookmarkEnd w:id="178"/>
    <w:p>
      <w:pPr>
        <w:ind w:firstLine="987"/>
        <w:spacing w:after="0" w:line="254" w:lineRule="auto"/>
        <w:tabs>
          <w:tab w:leader="none" w:pos="1246"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as otherwise required by (or desirable in order to comply with) applicable law or regulations or the rules of relevant governmental entities or regulatory bodies, including as the Adviser determines to be necessary or advisable in connection with any regulatory or similar examination, the Adviser may not disclose the identity of the Subscribers, except (i) on a confidential basis, to the other Subscribers, to prospective subscribers in the Company, to prospective lenders to, or other creditors of, the Company or a portfolio investment, to other service providers to the Company, or any portfolio investment to the extent reasonably necessary or appropriate to satisfy any “know your customer”, anti-money laundering or other such similar requirements or to any of the Adviser’s Affiliates, officers, employees, agents and professional consultants upon notification to such Affiliate, officer, employee, agent or consultant that such disclosure is made in confidence and shall be kept in confidence or (ii) as may be necessary or desirable in connection with the making, management or disposition of any investment.</w:t>
      </w:r>
    </w:p>
    <w:p>
      <w:pPr>
        <w:spacing w:after="0" w:line="191" w:lineRule="exact"/>
        <w:rPr>
          <w:rFonts w:ascii="Times New Roman" w:cs="Times New Roman" w:eastAsia="Times New Roman" w:hAnsi="Times New Roman"/>
          <w:sz w:val="18"/>
          <w:szCs w:val="18"/>
          <w:color w:val="auto"/>
        </w:rPr>
      </w:pPr>
    </w:p>
    <w:p>
      <w:pPr>
        <w:ind w:firstLine="987"/>
        <w:spacing w:after="0" w:line="258" w:lineRule="auto"/>
        <w:tabs>
          <w:tab w:leader="none" w:pos="1236"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each Subscriber (and each employee, representative or other agent of the Subscriber) may disclose to any and all persons, without limitation of any kind, the tax treatment and tax structure of the offering of shares in the Company and all materials of any kind (including opinions or other tax analyses) that are provided to such Subscriber relating to such tax treatment and tax structure. For this purpose, “tax structure” means any facts relevant to the U.S. federal income tax treatment of the offering but does not include information relating to the identity of the Company or the Adviser.</w:t>
      </w:r>
    </w:p>
    <w:p>
      <w:pPr>
        <w:spacing w:after="0" w:line="183" w:lineRule="exact"/>
        <w:rPr>
          <w:rFonts w:ascii="Times New Roman" w:cs="Times New Roman" w:eastAsia="Times New Roman" w:hAnsi="Times New Roman"/>
          <w:sz w:val="18"/>
          <w:szCs w:val="18"/>
          <w:color w:val="auto"/>
        </w:rPr>
      </w:pPr>
    </w:p>
    <w:p>
      <w:pPr>
        <w:ind w:right="60" w:firstLine="987"/>
        <w:spacing w:after="0" w:line="261" w:lineRule="auto"/>
        <w:tabs>
          <w:tab w:leader="none" w:pos="1216"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and undertakings of each Subscriber under this paragraph 10.13 shall be continuing and shall survive dissolution of the Company and this Agreement and, with respect to any Subscriber, such Subscriber’s withdrawal from the Company. Any restriction or obligation imposed on a Subscriber pursuant to this paragraph 10.13 may be waived by the Adviser in its discretion. Any such waiver or modification by the Adviser shall not constitute a breach of this Agreement or of any duty stated or implied in law or in equity to any Subscriber.</w:t>
      </w:r>
    </w:p>
    <w:p>
      <w:pPr>
        <w:spacing w:after="0" w:line="179" w:lineRule="exact"/>
        <w:rPr>
          <w:rFonts w:ascii="Times New Roman" w:cs="Times New Roman" w:eastAsia="Times New Roman" w:hAnsi="Times New Roman"/>
          <w:sz w:val="18"/>
          <w:szCs w:val="18"/>
          <w:color w:val="auto"/>
        </w:rPr>
      </w:pPr>
    </w:p>
    <w:p>
      <w:pPr>
        <w:ind w:right="240" w:firstLine="987"/>
        <w:spacing w:after="0" w:line="281" w:lineRule="auto"/>
        <w:tabs>
          <w:tab w:leader="none" w:pos="1246" w:val="left"/>
        </w:tabs>
        <w:numPr>
          <w:ilvl w:val="0"/>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Subscribers acknowledge and agree that: (i) the Company or the Adviser and its members may acquire confidential information related to third parties that pursuant to fiduciary, contractual, legal or similar obligations cannot be disclosed to the Subscribers; and (ii) neither the Company nor the Adviser and its members shall be in breach of any duty (including any fiduciary duty) under this Agreement in consequence of acquiring, holding or failing to disclose such information to the Subscribers so long as such obligations were undertaken in good faith.</w:t>
      </w:r>
    </w:p>
    <w:p>
      <w:pPr>
        <w:spacing w:after="0" w:line="164" w:lineRule="exact"/>
        <w:rPr>
          <w:rFonts w:ascii="Times New Roman" w:cs="Times New Roman" w:eastAsia="Times New Roman" w:hAnsi="Times New Roman"/>
          <w:sz w:val="17"/>
          <w:szCs w:val="17"/>
          <w:color w:val="auto"/>
        </w:rPr>
      </w:pPr>
    </w:p>
    <w:p>
      <w:pPr>
        <w:jc w:val="both"/>
        <w:ind w:right="60" w:firstLine="987"/>
        <w:spacing w:after="0" w:line="261" w:lineRule="auto"/>
        <w:tabs>
          <w:tab w:leader="none" w:pos="1246"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agree that irreparable damage would occur if the provisions of this paragraph 10.13 were breached. It is accordingly agreed that the parties hereto shall be entitled to seek an injunction or injunctions to prevent breaches of this paragraph 10.13 and to enforce specifically the terms and provisions hereof in any court of the United States or any state having jurisdiction, in addition to any other remedy to which they are entitled at law or in equity.</w:t>
      </w:r>
    </w:p>
    <w:p>
      <w:pPr>
        <w:spacing w:after="0" w:line="288" w:lineRule="exact"/>
        <w:rPr>
          <w:sz w:val="20"/>
          <w:szCs w:val="20"/>
          <w:color w:val="auto"/>
        </w:rPr>
      </w:pPr>
    </w:p>
    <w:p>
      <w:pPr>
        <w:ind w:right="3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10.14. </w:t>
      </w:r>
      <w:r>
        <w:rPr>
          <w:rFonts w:ascii="Times New Roman" w:cs="Times New Roman" w:eastAsia="Times New Roman" w:hAnsi="Times New Roman"/>
          <w:sz w:val="18"/>
          <w:szCs w:val="18"/>
          <w:u w:val="single" w:color="auto"/>
          <w:color w:val="auto"/>
        </w:rPr>
        <w:t>Necessary Acts, Further Assurances</w:t>
      </w:r>
      <w:r>
        <w:rPr>
          <w:rFonts w:ascii="Times New Roman" w:cs="Times New Roman" w:eastAsia="Times New Roman" w:hAnsi="Times New Roman"/>
          <w:sz w:val="18"/>
          <w:szCs w:val="18"/>
          <w:color w:val="auto"/>
        </w:rPr>
        <w:t>. The parties shall at their own cost and expense execute and deliver such further documents and instruments and shall take such other actions as may be reasonably required or appropriate to evidence or carry out the intent and purposes of this Agreement or to show the ability to carry out the intent and purposes of this Agreement.</w:t>
      </w:r>
    </w:p>
    <w:p>
      <w:pPr>
        <w:spacing w:after="0" w:line="284"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10.15. </w:t>
      </w:r>
      <w:r>
        <w:rPr>
          <w:rFonts w:ascii="Times New Roman" w:cs="Times New Roman" w:eastAsia="Times New Roman" w:hAnsi="Times New Roman"/>
          <w:sz w:val="18"/>
          <w:szCs w:val="18"/>
          <w:u w:val="single" w:color="auto"/>
          <w:color w:val="auto"/>
        </w:rPr>
        <w:t>No Joint Liability Among Company and Adviser</w:t>
      </w:r>
      <w:r>
        <w:rPr>
          <w:rFonts w:ascii="Times New Roman" w:cs="Times New Roman" w:eastAsia="Times New Roman" w:hAnsi="Times New Roman"/>
          <w:sz w:val="18"/>
          <w:szCs w:val="18"/>
          <w:color w:val="auto"/>
        </w:rPr>
        <w:t>. The Company shall not be liable for the fulfillment of any obligation or the accuracy of any representation of the Adviser under or in connection with this Agreement, and the Adviser shall not be liable for the fulfillment of any obligation or the accuracy of any representation of the Company under or in connection with this Agreement. There shall be no joint and several liability of the Company and the Adviser for any obligation under or in connection with this Agreement.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0"/>
          </w:cols>
          <w:pgMar w:left="440" w:top="270" w:right="459" w:bottom="1440" w:gutter="0" w:footer="0" w:header="0"/>
        </w:sectPr>
      </w:pPr>
    </w:p>
    <w:bookmarkStart w:id="179" w:name="page180"/>
    <w:bookmarkEnd w:id="179"/>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10.16.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representations, warranties, acknowledgments and covenants in Sections 4.01, 4.02, 4.03, 4.04 and 5.01 and the provisions of Sections 10.01, 10.10, 10.11, 10.13 and 10.15 shall, in the event this subscription is accepted, survive such acceptance and the formation and dissolution of the Company.</w:t>
      </w:r>
    </w:p>
    <w:p>
      <w:pPr>
        <w:spacing w:after="0" w:line="176"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10.17. </w:t>
      </w:r>
      <w:r>
        <w:rPr>
          <w:rFonts w:ascii="Times New Roman" w:cs="Times New Roman" w:eastAsia="Times New Roman" w:hAnsi="Times New Roman"/>
          <w:sz w:val="18"/>
          <w:szCs w:val="18"/>
          <w:u w:val="single" w:color="auto"/>
          <w:color w:val="auto"/>
        </w:rPr>
        <w:t>Non-petition</w:t>
      </w:r>
      <w:r>
        <w:rPr>
          <w:rFonts w:ascii="Times New Roman" w:cs="Times New Roman" w:eastAsia="Times New Roman" w:hAnsi="Times New Roman"/>
          <w:sz w:val="18"/>
          <w:szCs w:val="18"/>
          <w:color w:val="auto"/>
        </w:rPr>
        <w:t>. The Subscriber hereby agrees that it shall not take any action to present a petition or commence any case, proceeding, proposal or other action under any existing or future law of any jurisdiction, domestic or foreign, relating to bankruptcy, insolvency, reorganization, arrangement in the nature of insolvency proceedings, adjustment, winding-up, liquidation, dissolution, composition or analogous relief with respect to the Company or the Adviser or the debts of the Company or the Adviser unless and until a debt is immediately due and payable by the Company or the Adviser to the Subscriber.</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880"/>
          </w:cols>
          <w:pgMar w:left="440" w:top="270" w:right="579" w:bottom="1440" w:gutter="0" w:footer="0" w:header="0"/>
        </w:sectPr>
      </w:pPr>
    </w:p>
    <w:bookmarkStart w:id="180" w:name="page181"/>
    <w:bookmarkEnd w:id="180"/>
    <w:p>
      <w:pPr>
        <w:ind w:left="4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Subscriber, intending to be legally bound, has executed this Agreement as of the date first written above.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PURCHASE PRICE OF SHARES SUBSCRIBED FOR: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3403600</wp:posOffset>
            </wp:positionH>
            <wp:positionV relativeFrom="paragraph">
              <wp:posOffset>-7620</wp:posOffset>
            </wp:positionV>
            <wp:extent cx="139954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399540"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LEGAL NAME OF SUBSCRIBER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-127635</wp:posOffset>
            </wp:positionV>
            <wp:extent cx="279463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and accepted as of the date first set forth above: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LENDING PARTNERS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Solely for the purposes of Article VI of this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LENDING PARTNERS ADVISERS,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220"/>
          </w:cols>
          <w:pgMar w:left="440" w:top="270" w:right="1239" w:bottom="1440" w:gutter="0" w:footer="0" w:header="0"/>
        </w:sectPr>
      </w:pPr>
    </w:p>
    <w:bookmarkStart w:id="181" w:name="page182"/>
    <w:bookmarkEnd w:id="18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Appendix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Sixth Street Lending Partners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Investor Suitability Questionnaire</w:t>
      </w:r>
    </w:p>
    <w:p>
      <w:pPr>
        <w:sectPr>
          <w:pgSz w:w="11900" w:h="16838" w:orient="portrait"/>
          <w:cols w:equalWidth="0" w:num="1">
            <w:col w:w="9019"/>
          </w:cols>
          <w:pgMar w:left="1440" w:top="266" w:right="1440" w:bottom="1440" w:gutter="0" w:footer="0" w:header="0"/>
        </w:sectPr>
      </w:pPr>
    </w:p>
    <w:bookmarkStart w:id="182" w:name="page183"/>
    <w:bookmarkEnd w:id="182"/>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 Proposed Total Capital</w:t>
      </w:r>
    </w:p>
    <w:p>
      <w:pPr>
        <w:spacing w:after="0" w:line="31" w:lineRule="exact"/>
        <w:rPr>
          <w:sz w:val="20"/>
          <w:szCs w:val="20"/>
          <w:color w:val="auto"/>
        </w:rPr>
      </w:pPr>
    </w:p>
    <w:p>
      <w:pPr>
        <w:ind w:right="840"/>
        <w:spacing w:after="0" w:line="394" w:lineRule="auto"/>
        <w:rPr>
          <w:sz w:val="20"/>
          <w:szCs w:val="20"/>
          <w:color w:val="auto"/>
        </w:rPr>
      </w:pPr>
      <w:r>
        <w:rPr>
          <w:rFonts w:ascii="Times New Roman" w:cs="Times New Roman" w:eastAsia="Times New Roman" w:hAnsi="Times New Roman"/>
          <w:sz w:val="17"/>
          <w:szCs w:val="17"/>
          <w:b w:val="1"/>
          <w:bCs w:val="1"/>
          <w:color w:val="auto"/>
        </w:rPr>
        <w:t>      Commitment to the Company II.    General Information</w:t>
      </w:r>
    </w:p>
    <w:p>
      <w:pPr>
        <w:spacing w:after="0" w:line="1" w:lineRule="exact"/>
        <w:rPr>
          <w:sz w:val="20"/>
          <w:szCs w:val="20"/>
          <w:color w:val="auto"/>
        </w:rPr>
      </w:pPr>
    </w:p>
    <w:p>
      <w:pPr>
        <w:ind w:left="360" w:right="260"/>
        <w:spacing w:after="0" w:line="261" w:lineRule="auto"/>
        <w:rPr>
          <w:sz w:val="20"/>
          <w:szCs w:val="20"/>
          <w:color w:val="auto"/>
        </w:rPr>
      </w:pPr>
      <w:r>
        <w:rPr>
          <w:rFonts w:ascii="Times New Roman" w:cs="Times New Roman" w:eastAsia="Times New Roman" w:hAnsi="Times New Roman"/>
          <w:sz w:val="18"/>
          <w:szCs w:val="18"/>
          <w:color w:val="auto"/>
        </w:rPr>
        <w:t>(A)   Subscriber’s Legal Name, Address       and</w:t>
      </w:r>
    </w:p>
    <w:p>
      <w:pPr>
        <w:ind w:left="360"/>
        <w:spacing w:after="0"/>
        <w:rPr>
          <w:sz w:val="20"/>
          <w:szCs w:val="20"/>
          <w:color w:val="auto"/>
        </w:rPr>
      </w:pPr>
      <w:r>
        <w:rPr>
          <w:rFonts w:ascii="Times New Roman" w:cs="Times New Roman" w:eastAsia="Times New Roman" w:hAnsi="Times New Roman"/>
          <w:sz w:val="18"/>
          <w:szCs w:val="18"/>
          <w:color w:val="auto"/>
        </w:rPr>
        <w:t>       Tax Identification 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60" w:right="240"/>
        <w:spacing w:after="0" w:line="282" w:lineRule="auto"/>
        <w:rPr>
          <w:sz w:val="20"/>
          <w:szCs w:val="20"/>
          <w:color w:val="auto"/>
        </w:rPr>
      </w:pPr>
      <w:r>
        <w:rPr>
          <w:rFonts w:ascii="Times New Roman" w:cs="Times New Roman" w:eastAsia="Times New Roman" w:hAnsi="Times New Roman"/>
          <w:sz w:val="18"/>
          <w:szCs w:val="18"/>
          <w:color w:val="auto"/>
        </w:rPr>
        <w:t>(B)   Subscriber’s Address for Notices if       Different from Address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60" w:right="500"/>
        <w:spacing w:after="0" w:line="282" w:lineRule="auto"/>
        <w:rPr>
          <w:sz w:val="20"/>
          <w:szCs w:val="20"/>
          <w:color w:val="auto"/>
        </w:rPr>
      </w:pPr>
      <w:r>
        <w:rPr>
          <w:rFonts w:ascii="Times New Roman" w:cs="Times New Roman" w:eastAsia="Times New Roman" w:hAnsi="Times New Roman"/>
          <w:sz w:val="18"/>
          <w:szCs w:val="18"/>
          <w:color w:val="auto"/>
        </w:rPr>
        <w:t>(C)   Subscriber’s Principal Business       Contact: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Investor Suitability Questionnaire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-2750185</wp:posOffset>
            </wp:positionH>
            <wp:positionV relativeFrom="paragraph">
              <wp:posOffset>-210820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711835</wp:posOffset>
            </wp:positionV>
            <wp:extent cx="342011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420110" cy="8255"/>
                    </a:xfrm>
                    <a:prstGeom prst="rect">
                      <a:avLst/>
                    </a:prstGeom>
                    <a:noFill/>
                  </pic:spPr>
                </pic:pic>
              </a:graphicData>
            </a:graphic>
          </wp:anchor>
        </w:drawing>
        <w:drawing>
          <wp:anchor simplePos="0" relativeHeight="251657728" behindDoc="1" locked="0" layoutInCell="0" allowOverlap="1">
            <wp:simplePos x="0" y="0"/>
            <wp:positionH relativeFrom="column">
              <wp:posOffset>904875</wp:posOffset>
            </wp:positionH>
            <wp:positionV relativeFrom="paragraph">
              <wp:posOffset>17145</wp:posOffset>
            </wp:positionV>
            <wp:extent cx="342011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222885</wp:posOffset>
            </wp:positionV>
            <wp:extent cx="342011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420110" cy="8890"/>
                    </a:xfrm>
                    <a:prstGeom prst="rect">
                      <a:avLst/>
                    </a:prstGeom>
                    <a:noFill/>
                  </pic:spPr>
                </pic:pic>
              </a:graphicData>
            </a:graphic>
          </wp:anchor>
        </w:drawing>
        <w:drawing>
          <wp:anchor simplePos="0" relativeHeight="251657728" behindDoc="1" locked="0" layoutInCell="0" allowOverlap="1">
            <wp:simplePos x="0" y="0"/>
            <wp:positionH relativeFrom="column">
              <wp:posOffset>904875</wp:posOffset>
            </wp:positionH>
            <wp:positionV relativeFrom="paragraph">
              <wp:posOffset>17145</wp:posOffset>
            </wp:positionV>
            <wp:extent cx="342011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420110" cy="8255"/>
                    </a:xfrm>
                    <a:prstGeom prst="rect">
                      <a:avLst/>
                    </a:prstGeom>
                    <a:noFill/>
                  </pic:spPr>
                </pic:pic>
              </a:graphicData>
            </a:graphic>
          </wp:anchor>
        </w:drawing>
        <w:drawing>
          <wp:anchor simplePos="0" relativeHeight="251657728" behindDoc="1" locked="0" layoutInCell="0" allowOverlap="1">
            <wp:simplePos x="0" y="0"/>
            <wp:positionH relativeFrom="column">
              <wp:posOffset>904875</wp:posOffset>
            </wp:positionH>
            <wp:positionV relativeFrom="paragraph">
              <wp:posOffset>-127635</wp:posOffset>
            </wp:positionV>
            <wp:extent cx="342011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17145</wp:posOffset>
            </wp:positionV>
            <wp:extent cx="342011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327" w:lineRule="exact"/>
        <w:rPr>
          <w:sz w:val="20"/>
          <w:szCs w:val="20"/>
          <w:color w:val="auto"/>
        </w:rPr>
      </w:pPr>
    </w:p>
    <w:p>
      <w:pPr>
        <w:ind w:left="2200"/>
        <w:spacing w:after="0"/>
        <w:tabs>
          <w:tab w:leader="none" w:pos="3980" w:val="left"/>
          <w:tab w:leader="none" w:pos="5460" w:val="left"/>
        </w:tabs>
        <w:rPr>
          <w:sz w:val="20"/>
          <w:szCs w:val="20"/>
          <w:color w:val="auto"/>
        </w:rPr>
      </w:pPr>
      <w:r>
        <w:rPr>
          <w:rFonts w:ascii="Times New Roman" w:cs="Times New Roman" w:eastAsia="Times New Roman" w:hAnsi="Times New Roman"/>
          <w:sz w:val="18"/>
          <w:szCs w:val="18"/>
          <w:color w:val="auto"/>
        </w:rPr>
        <w:t>City</w:t>
      </w:r>
      <w:r>
        <w:rPr>
          <w:sz w:val="20"/>
          <w:szCs w:val="20"/>
          <w:color w:val="auto"/>
        </w:rPr>
        <w:tab/>
      </w:r>
      <w:r>
        <w:rPr>
          <w:rFonts w:ascii="Times New Roman" w:cs="Times New Roman" w:eastAsia="Times New Roman" w:hAnsi="Times New Roman"/>
          <w:sz w:val="18"/>
          <w:szCs w:val="18"/>
          <w:color w:val="auto"/>
        </w:rPr>
        <w:t>State</w:t>
      </w:r>
      <w:r>
        <w:rPr>
          <w:sz w:val="20"/>
          <w:szCs w:val="20"/>
          <w:color w:val="auto"/>
        </w:rPr>
        <w:tab/>
      </w:r>
      <w:r>
        <w:rPr>
          <w:rFonts w:ascii="Times New Roman" w:cs="Times New Roman" w:eastAsia="Times New Roman" w:hAnsi="Times New Roman"/>
          <w:sz w:val="17"/>
          <w:szCs w:val="17"/>
          <w:color w:val="auto"/>
        </w:rPr>
        <w:t>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222885</wp:posOffset>
            </wp:positionV>
            <wp:extent cx="342011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420110" cy="8255"/>
                    </a:xfrm>
                    <a:prstGeom prst="rect">
                      <a:avLst/>
                    </a:prstGeom>
                    <a:noFill/>
                  </pic:spPr>
                </pic:pic>
              </a:graphicData>
            </a:graphic>
          </wp:anchor>
        </w:drawing>
        <w:drawing>
          <wp:anchor simplePos="0" relativeHeight="251657728" behindDoc="1" locked="0" layoutInCell="0" allowOverlap="1">
            <wp:simplePos x="0" y="0"/>
            <wp:positionH relativeFrom="column">
              <wp:posOffset>904875</wp:posOffset>
            </wp:positionH>
            <wp:positionV relativeFrom="paragraph">
              <wp:posOffset>17145</wp:posOffset>
            </wp:positionV>
            <wp:extent cx="342011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420110" cy="8890"/>
                    </a:xfrm>
                    <a:prstGeom prst="rect">
                      <a:avLst/>
                    </a:prstGeom>
                    <a:noFill/>
                  </pic:spPr>
                </pic:pic>
              </a:graphicData>
            </a:graphic>
          </wp:anchor>
        </w:drawing>
        <w:drawing>
          <wp:anchor simplePos="0" relativeHeight="251657728" behindDoc="1" locked="0" layoutInCell="0" allowOverlap="1">
            <wp:simplePos x="0" y="0"/>
            <wp:positionH relativeFrom="column">
              <wp:posOffset>904875</wp:posOffset>
            </wp:positionH>
            <wp:positionV relativeFrom="paragraph">
              <wp:posOffset>-127635</wp:posOffset>
            </wp:positionV>
            <wp:extent cx="342011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left="-1079"/>
        <w:spacing w:after="0"/>
        <w:rPr>
          <w:sz w:val="20"/>
          <w:szCs w:val="20"/>
          <w:color w:val="auto"/>
        </w:rPr>
      </w:pPr>
      <w:r>
        <w:rPr>
          <w:rFonts w:ascii="Times New Roman" w:cs="Times New Roman" w:eastAsia="Times New Roman" w:hAnsi="Times New Roman"/>
          <w:sz w:val="18"/>
          <w:szCs w:val="18"/>
          <w:color w:val="auto"/>
        </w:rPr>
        <w:t>Country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17145</wp:posOffset>
            </wp:positionV>
            <wp:extent cx="342011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97" w:lineRule="exact"/>
        <w:rPr>
          <w:sz w:val="20"/>
          <w:szCs w:val="20"/>
          <w:color w:val="auto"/>
        </w:rPr>
      </w:pPr>
    </w:p>
    <w:p>
      <w:pPr>
        <w:jc w:val="center"/>
        <w:ind w:left="-1079"/>
        <w:spacing w:after="0"/>
        <w:rPr>
          <w:sz w:val="20"/>
          <w:szCs w:val="20"/>
          <w:color w:val="auto"/>
        </w:rPr>
      </w:pPr>
      <w:r>
        <w:rPr>
          <w:rFonts w:ascii="Times New Roman" w:cs="Times New Roman" w:eastAsia="Times New Roman" w:hAnsi="Times New Roman"/>
          <w:sz w:val="18"/>
          <w:szCs w:val="18"/>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17145</wp:posOffset>
            </wp:positionV>
            <wp:extent cx="342011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97" w:lineRule="exact"/>
        <w:rPr>
          <w:sz w:val="20"/>
          <w:szCs w:val="20"/>
          <w:color w:val="auto"/>
        </w:rPr>
      </w:pPr>
    </w:p>
    <w:p>
      <w:pPr>
        <w:jc w:val="center"/>
        <w:ind w:left="-1079"/>
        <w:spacing w:after="0"/>
        <w:rPr>
          <w:sz w:val="20"/>
          <w:szCs w:val="20"/>
          <w:color w:val="auto"/>
        </w:rPr>
      </w:pPr>
      <w:r>
        <w:rPr>
          <w:rFonts w:ascii="Times New Roman" w:cs="Times New Roman" w:eastAsia="Times New Roman" w:hAnsi="Times New Roman"/>
          <w:sz w:val="18"/>
          <w:szCs w:val="18"/>
          <w:color w:val="auto"/>
        </w:rPr>
        <w:t>Facsimile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17145</wp:posOffset>
            </wp:positionV>
            <wp:extent cx="342011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97" w:lineRule="exact"/>
        <w:rPr>
          <w:sz w:val="20"/>
          <w:szCs w:val="20"/>
          <w:color w:val="auto"/>
        </w:rPr>
      </w:pPr>
    </w:p>
    <w:p>
      <w:pPr>
        <w:jc w:val="center"/>
        <w:ind w:left="-1079"/>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17145</wp:posOffset>
            </wp:positionV>
            <wp:extent cx="342011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97" w:lineRule="exact"/>
        <w:rPr>
          <w:sz w:val="20"/>
          <w:szCs w:val="20"/>
          <w:color w:val="auto"/>
        </w:rPr>
      </w:pPr>
    </w:p>
    <w:p>
      <w:pPr>
        <w:jc w:val="center"/>
        <w:ind w:left="-1079"/>
        <w:spacing w:after="0"/>
        <w:rPr>
          <w:sz w:val="20"/>
          <w:szCs w:val="20"/>
          <w:color w:val="auto"/>
        </w:rPr>
      </w:pPr>
      <w:r>
        <w:rPr>
          <w:rFonts w:ascii="Times New Roman" w:cs="Times New Roman" w:eastAsia="Times New Roman" w:hAnsi="Times New Roman"/>
          <w:sz w:val="18"/>
          <w:szCs w:val="18"/>
          <w:color w:val="auto"/>
        </w:rPr>
        <w:t>Tax Identification or Social Security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368935</wp:posOffset>
            </wp:positionV>
            <wp:extent cx="342011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420110" cy="8255"/>
                    </a:xfrm>
                    <a:prstGeom prst="rect">
                      <a:avLst/>
                    </a:prstGeom>
                    <a:noFill/>
                  </pic:spPr>
                </pic:pic>
              </a:graphicData>
            </a:graphic>
          </wp:anchor>
        </w:drawing>
        <w:drawing>
          <wp:anchor simplePos="0" relativeHeight="251657728" behindDoc="1" locked="0" layoutInCell="0" allowOverlap="1">
            <wp:simplePos x="0" y="0"/>
            <wp:positionH relativeFrom="column">
              <wp:posOffset>904875</wp:posOffset>
            </wp:positionH>
            <wp:positionV relativeFrom="paragraph">
              <wp:posOffset>17145</wp:posOffset>
            </wp:positionV>
            <wp:extent cx="342011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17145</wp:posOffset>
            </wp:positionV>
            <wp:extent cx="342011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420110" cy="8255"/>
                    </a:xfrm>
                    <a:prstGeom prst="rect">
                      <a:avLst/>
                    </a:prstGeom>
                    <a:noFill/>
                  </pic:spPr>
                </pic:pic>
              </a:graphicData>
            </a:graphic>
          </wp:anchor>
        </w:drawing>
        <w:drawing>
          <wp:anchor simplePos="0" relativeHeight="251657728" behindDoc="1" locked="0" layoutInCell="0" allowOverlap="1">
            <wp:simplePos x="0" y="0"/>
            <wp:positionH relativeFrom="column">
              <wp:posOffset>904875</wp:posOffset>
            </wp:positionH>
            <wp:positionV relativeFrom="paragraph">
              <wp:posOffset>-127635</wp:posOffset>
            </wp:positionV>
            <wp:extent cx="342011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327" w:lineRule="exact"/>
        <w:rPr>
          <w:sz w:val="20"/>
          <w:szCs w:val="20"/>
          <w:color w:val="auto"/>
        </w:rPr>
      </w:pPr>
    </w:p>
    <w:p>
      <w:pPr>
        <w:jc w:val="right"/>
        <w:ind w:right="660"/>
        <w:spacing w:after="0"/>
        <w:tabs>
          <w:tab w:leader="none" w:pos="2800" w:val="left"/>
          <w:tab w:leader="none" w:pos="1320" w:val="left"/>
        </w:tabs>
        <w:rPr>
          <w:sz w:val="20"/>
          <w:szCs w:val="20"/>
          <w:color w:val="auto"/>
        </w:rPr>
      </w:pPr>
      <w:r>
        <w:rPr>
          <w:rFonts w:ascii="Times New Roman" w:cs="Times New Roman" w:eastAsia="Times New Roman" w:hAnsi="Times New Roman"/>
          <w:sz w:val="18"/>
          <w:szCs w:val="18"/>
          <w:color w:val="auto"/>
        </w:rPr>
        <w:t>Street City</w:t>
      </w:r>
      <w:r>
        <w:rPr>
          <w:sz w:val="20"/>
          <w:szCs w:val="20"/>
          <w:color w:val="auto"/>
        </w:rPr>
        <w:tab/>
      </w:r>
      <w:r>
        <w:rPr>
          <w:rFonts w:ascii="Times New Roman" w:cs="Times New Roman" w:eastAsia="Times New Roman" w:hAnsi="Times New Roman"/>
          <w:sz w:val="18"/>
          <w:szCs w:val="18"/>
          <w:color w:val="auto"/>
        </w:rPr>
        <w:t>State</w:t>
      </w:r>
      <w:r>
        <w:rPr>
          <w:sz w:val="20"/>
          <w:szCs w:val="20"/>
          <w:color w:val="auto"/>
        </w:rPr>
        <w:tab/>
      </w:r>
      <w:r>
        <w:rPr>
          <w:rFonts w:ascii="Times New Roman" w:cs="Times New Roman" w:eastAsia="Times New Roman" w:hAnsi="Times New Roman"/>
          <w:sz w:val="18"/>
          <w:szCs w:val="18"/>
          <w:color w:val="auto"/>
        </w:rPr>
        <w:t>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222885</wp:posOffset>
            </wp:positionV>
            <wp:extent cx="342011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420110" cy="8890"/>
                    </a:xfrm>
                    <a:prstGeom prst="rect">
                      <a:avLst/>
                    </a:prstGeom>
                    <a:noFill/>
                  </pic:spPr>
                </pic:pic>
              </a:graphicData>
            </a:graphic>
          </wp:anchor>
        </w:drawing>
        <w:drawing>
          <wp:anchor simplePos="0" relativeHeight="251657728" behindDoc="1" locked="0" layoutInCell="0" allowOverlap="1">
            <wp:simplePos x="0" y="0"/>
            <wp:positionH relativeFrom="column">
              <wp:posOffset>904875</wp:posOffset>
            </wp:positionH>
            <wp:positionV relativeFrom="paragraph">
              <wp:posOffset>17145</wp:posOffset>
            </wp:positionV>
            <wp:extent cx="342011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420110" cy="8255"/>
                    </a:xfrm>
                    <a:prstGeom prst="rect">
                      <a:avLst/>
                    </a:prstGeom>
                    <a:noFill/>
                  </pic:spPr>
                </pic:pic>
              </a:graphicData>
            </a:graphic>
          </wp:anchor>
        </w:drawing>
        <w:drawing>
          <wp:anchor simplePos="0" relativeHeight="251657728" behindDoc="1" locked="0" layoutInCell="0" allowOverlap="1">
            <wp:simplePos x="0" y="0"/>
            <wp:positionH relativeFrom="column">
              <wp:posOffset>904875</wp:posOffset>
            </wp:positionH>
            <wp:positionV relativeFrom="paragraph">
              <wp:posOffset>-127635</wp:posOffset>
            </wp:positionV>
            <wp:extent cx="342011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left="-1079"/>
        <w:spacing w:after="0"/>
        <w:rPr>
          <w:sz w:val="20"/>
          <w:szCs w:val="20"/>
          <w:color w:val="auto"/>
        </w:rPr>
      </w:pPr>
      <w:r>
        <w:rPr>
          <w:rFonts w:ascii="Times New Roman" w:cs="Times New Roman" w:eastAsia="Times New Roman" w:hAnsi="Times New Roman"/>
          <w:sz w:val="18"/>
          <w:szCs w:val="18"/>
          <w:color w:val="auto"/>
        </w:rPr>
        <w:t>Country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17145</wp:posOffset>
            </wp:positionV>
            <wp:extent cx="342011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97" w:lineRule="exact"/>
        <w:rPr>
          <w:sz w:val="20"/>
          <w:szCs w:val="20"/>
          <w:color w:val="auto"/>
        </w:rPr>
      </w:pPr>
    </w:p>
    <w:p>
      <w:pPr>
        <w:jc w:val="center"/>
        <w:ind w:left="-1079"/>
        <w:spacing w:after="0"/>
        <w:rPr>
          <w:sz w:val="20"/>
          <w:szCs w:val="20"/>
          <w:color w:val="auto"/>
        </w:rPr>
      </w:pPr>
      <w:r>
        <w:rPr>
          <w:rFonts w:ascii="Times New Roman" w:cs="Times New Roman" w:eastAsia="Times New Roman" w:hAnsi="Times New Roman"/>
          <w:sz w:val="18"/>
          <w:szCs w:val="18"/>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17145</wp:posOffset>
            </wp:positionV>
            <wp:extent cx="342011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97" w:lineRule="exact"/>
        <w:rPr>
          <w:sz w:val="20"/>
          <w:szCs w:val="20"/>
          <w:color w:val="auto"/>
        </w:rPr>
      </w:pPr>
    </w:p>
    <w:p>
      <w:pPr>
        <w:jc w:val="center"/>
        <w:ind w:left="-1079"/>
        <w:spacing w:after="0"/>
        <w:rPr>
          <w:sz w:val="20"/>
          <w:szCs w:val="20"/>
          <w:color w:val="auto"/>
        </w:rPr>
      </w:pPr>
      <w:r>
        <w:rPr>
          <w:rFonts w:ascii="Times New Roman" w:cs="Times New Roman" w:eastAsia="Times New Roman" w:hAnsi="Times New Roman"/>
          <w:sz w:val="18"/>
          <w:szCs w:val="18"/>
          <w:color w:val="auto"/>
        </w:rPr>
        <w:t>Facsimile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17145</wp:posOffset>
            </wp:positionV>
            <wp:extent cx="342011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97" w:lineRule="exact"/>
        <w:rPr>
          <w:sz w:val="20"/>
          <w:szCs w:val="20"/>
          <w:color w:val="auto"/>
        </w:rPr>
      </w:pPr>
    </w:p>
    <w:p>
      <w:pPr>
        <w:jc w:val="center"/>
        <w:ind w:left="-1079"/>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368935</wp:posOffset>
            </wp:positionV>
            <wp:extent cx="342011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420110" cy="8255"/>
                    </a:xfrm>
                    <a:prstGeom prst="rect">
                      <a:avLst/>
                    </a:prstGeom>
                    <a:noFill/>
                  </pic:spPr>
                </pic:pic>
              </a:graphicData>
            </a:graphic>
          </wp:anchor>
        </w:drawing>
        <w:drawing>
          <wp:anchor simplePos="0" relativeHeight="251657728" behindDoc="1" locked="0" layoutInCell="0" allowOverlap="1">
            <wp:simplePos x="0" y="0"/>
            <wp:positionH relativeFrom="column">
              <wp:posOffset>904875</wp:posOffset>
            </wp:positionH>
            <wp:positionV relativeFrom="paragraph">
              <wp:posOffset>17145</wp:posOffset>
            </wp:positionV>
            <wp:extent cx="342011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17145</wp:posOffset>
            </wp:positionV>
            <wp:extent cx="342011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420110" cy="8890"/>
                    </a:xfrm>
                    <a:prstGeom prst="rect">
                      <a:avLst/>
                    </a:prstGeom>
                    <a:noFill/>
                  </pic:spPr>
                </pic:pic>
              </a:graphicData>
            </a:graphic>
          </wp:anchor>
        </w:drawing>
        <w:drawing>
          <wp:anchor simplePos="0" relativeHeight="251657728" behindDoc="1" locked="0" layoutInCell="0" allowOverlap="1">
            <wp:simplePos x="0" y="0"/>
            <wp:positionH relativeFrom="column">
              <wp:posOffset>904875</wp:posOffset>
            </wp:positionH>
            <wp:positionV relativeFrom="paragraph">
              <wp:posOffset>-127635</wp:posOffset>
            </wp:positionV>
            <wp:extent cx="342011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311" w:lineRule="exact"/>
        <w:rPr>
          <w:sz w:val="20"/>
          <w:szCs w:val="20"/>
          <w:color w:val="auto"/>
        </w:rPr>
      </w:pPr>
    </w:p>
    <w:tbl>
      <w:tblPr>
        <w:tblLayout w:type="fixed"/>
        <w:tblInd w:w="1420" w:type="dxa"/>
        <w:tblCellMar>
          <w:top w:w="0" w:type="dxa"/>
          <w:left w:w="0" w:type="dxa"/>
          <w:bottom w:w="0" w:type="dxa"/>
          <w:right w:w="0" w:type="dxa"/>
        </w:tblCellMar>
      </w:tblPr>
      <w:tr>
        <w:trPr>
          <w:trHeight w:val="230"/>
        </w:trPr>
        <w:tc>
          <w:tcPr>
            <w:tcW w:w="180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Street City</w:t>
            </w:r>
          </w:p>
        </w:tc>
        <w:tc>
          <w:tcPr>
            <w:tcW w:w="19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w:t>
            </w:r>
          </w:p>
        </w:tc>
        <w:tc>
          <w:tcPr>
            <w:tcW w:w="164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Zip Code</w:t>
            </w:r>
          </w:p>
        </w:tc>
      </w:tr>
      <w:tr>
        <w:trPr>
          <w:trHeight w:val="304"/>
        </w:trPr>
        <w:tc>
          <w:tcPr>
            <w:tcW w:w="18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Country</w:t>
            </w:r>
          </w:p>
        </w:tc>
        <w:tc>
          <w:tcPr>
            <w:tcW w:w="1640" w:type="dxa"/>
            <w:vAlign w:val="bottom"/>
            <w:tcBorders>
              <w:bottom w:val="single" w:sz="8" w:color="auto"/>
            </w:tcBorders>
          </w:tcPr>
          <w:p>
            <w:pPr>
              <w:spacing w:after="0"/>
              <w:rPr>
                <w:sz w:val="24"/>
                <w:szCs w:val="24"/>
                <w:color w:val="auto"/>
              </w:rPr>
            </w:pPr>
          </w:p>
        </w:tc>
      </w:tr>
      <w:tr>
        <w:trPr>
          <w:trHeight w:val="304"/>
        </w:trPr>
        <w:tc>
          <w:tcPr>
            <w:tcW w:w="18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Telephone Number</w:t>
            </w:r>
          </w:p>
        </w:tc>
        <w:tc>
          <w:tcPr>
            <w:tcW w:w="1640" w:type="dxa"/>
            <w:vAlign w:val="bottom"/>
            <w:tcBorders>
              <w:bottom w:val="single" w:sz="8" w:color="auto"/>
            </w:tcBorders>
          </w:tcPr>
          <w:p>
            <w:pPr>
              <w:spacing w:after="0"/>
              <w:rPr>
                <w:sz w:val="24"/>
                <w:szCs w:val="24"/>
                <w:color w:val="auto"/>
              </w:rPr>
            </w:pPr>
          </w:p>
        </w:tc>
      </w:tr>
      <w:tr>
        <w:trPr>
          <w:trHeight w:val="209"/>
        </w:trPr>
        <w:tc>
          <w:tcPr>
            <w:tcW w:w="18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Facsimile Number</w:t>
            </w:r>
          </w:p>
        </w:tc>
        <w:tc>
          <w:tcPr>
            <w:tcW w:w="1640" w:type="dxa"/>
            <w:vAlign w:val="bottom"/>
            <w:tcBorders>
              <w:bottom w:val="single" w:sz="8" w:color="auto"/>
            </w:tcBorders>
          </w:tcPr>
          <w:p>
            <w:pPr>
              <w:spacing w:after="0"/>
              <w:rPr>
                <w:sz w:val="18"/>
                <w:szCs w:val="18"/>
                <w:color w:val="auto"/>
              </w:rPr>
            </w:pPr>
          </w:p>
        </w:tc>
      </w:tr>
      <w:tr>
        <w:trPr>
          <w:trHeight w:val="228"/>
        </w:trPr>
        <w:tc>
          <w:tcPr>
            <w:tcW w:w="180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Email Address</w:t>
            </w:r>
          </w:p>
        </w:tc>
        <w:tc>
          <w:tcPr>
            <w:tcW w:w="1640" w:type="dxa"/>
            <w:vAlign w:val="bottom"/>
          </w:tcPr>
          <w:p>
            <w:pPr>
              <w:spacing w:after="0"/>
              <w:rPr>
                <w:sz w:val="19"/>
                <w:szCs w:val="19"/>
                <w:color w:val="auto"/>
              </w:rPr>
            </w:pPr>
          </w:p>
        </w:tc>
      </w:tr>
    </w:tbl>
    <w:p>
      <w:pPr>
        <w:sectPr>
          <w:pgSz w:w="11900" w:h="16838" w:orient="portrait"/>
          <w:cols w:equalWidth="0" w:num="2">
            <w:col w:w="3480" w:space="720"/>
            <w:col w:w="6820"/>
          </w:cols>
          <w:pgMar w:left="440" w:top="266" w:right="439" w:bottom="1440" w:gutter="0" w:footer="0" w:header="0"/>
        </w:sectPr>
      </w:pPr>
    </w:p>
    <w:bookmarkStart w:id="183" w:name="page184"/>
    <w:bookmarkEnd w:id="183"/>
    <w:p>
      <w:pPr>
        <w:ind w:left="960" w:right="20" w:hanging="532"/>
        <w:spacing w:after="0" w:line="282" w:lineRule="auto"/>
        <w:tabs>
          <w:tab w:leader="none" w:pos="96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Please provide contact information below for each contact authorized to receive information related to the subscriber listed above. Use the check boxes to indicate the permissions for which access should be provided.</w:t>
      </w:r>
    </w:p>
    <w:p>
      <w:pPr>
        <w:spacing w:after="0" w:line="158"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IMPORTANT: </w:t>
      </w:r>
      <w:r>
        <w:rPr>
          <w:rFonts w:ascii="Times New Roman" w:cs="Times New Roman" w:eastAsia="Times New Roman" w:hAnsi="Times New Roman"/>
          <w:sz w:val="18"/>
          <w:szCs w:val="18"/>
          <w:color w:val="auto"/>
        </w:rPr>
        <w:t>If a contact matrix is provided in lieu of completing this form, please make sure the contacts authorized to confirm wire instructions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identified on the contact list. If your list does not identify contacts authorized to confirm or make changes to wire instructions, please provide the required contact information below.</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4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Definition of Contact Permissions</w:t>
            </w:r>
          </w:p>
        </w:tc>
        <w:tc>
          <w:tcPr>
            <w:tcW w:w="4360" w:type="dxa"/>
            <w:vAlign w:val="bottom"/>
          </w:tcPr>
          <w:p>
            <w:pPr>
              <w:spacing w:after="0"/>
              <w:rPr>
                <w:sz w:val="13"/>
                <w:szCs w:val="13"/>
                <w:color w:val="auto"/>
              </w:rPr>
            </w:pPr>
          </w:p>
        </w:tc>
      </w:tr>
      <w:tr>
        <w:trPr>
          <w:trHeight w:val="263"/>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Capital Calls</w:t>
            </w:r>
          </w:p>
        </w:tc>
        <w:tc>
          <w:tcPr>
            <w:tcW w:w="936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Authorized to receive Capital Call notices and related investment memos</w:t>
            </w:r>
          </w:p>
        </w:tc>
      </w:tr>
      <w:tr>
        <w:trPr>
          <w:trHeight w:val="270"/>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Distributions</w:t>
            </w:r>
          </w:p>
        </w:tc>
        <w:tc>
          <w:tcPr>
            <w:tcW w:w="936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Authorized to receive Distribution notices and related information</w:t>
            </w:r>
          </w:p>
        </w:tc>
      </w:tr>
      <w:tr>
        <w:trPr>
          <w:trHeight w:val="270"/>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Financial Reporting</w:t>
            </w:r>
          </w:p>
        </w:tc>
        <w:tc>
          <w:tcPr>
            <w:tcW w:w="936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Authorized to receive all quarterly and/or annual reporting</w:t>
            </w:r>
          </w:p>
        </w:tc>
      </w:tr>
      <w:tr>
        <w:trPr>
          <w:trHeight w:val="270"/>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Legal Notices</w:t>
            </w:r>
          </w:p>
        </w:tc>
        <w:tc>
          <w:tcPr>
            <w:tcW w:w="936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Authorized to receive all legal agreements, correspondence and notices</w:t>
            </w:r>
          </w:p>
        </w:tc>
      </w:tr>
      <w:tr>
        <w:trPr>
          <w:trHeight w:val="270"/>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Tax Documents</w:t>
            </w:r>
          </w:p>
        </w:tc>
        <w:tc>
          <w:tcPr>
            <w:tcW w:w="936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Authorized to receive all tax related correspondence</w:t>
            </w:r>
          </w:p>
        </w:tc>
      </w:tr>
      <w:tr>
        <w:trPr>
          <w:trHeight w:val="270"/>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Wire Instructions</w:t>
            </w:r>
          </w:p>
        </w:tc>
        <w:tc>
          <w:tcPr>
            <w:tcW w:w="936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Authorized to confirm or make changes to wire instructions</w:t>
            </w:r>
          </w:p>
        </w:tc>
      </w:tr>
      <w:tr>
        <w:trPr>
          <w:trHeight w:val="540"/>
        </w:trPr>
        <w:tc>
          <w:tcPr>
            <w:tcW w:w="1540" w:type="dxa"/>
            <w:vAlign w:val="bottom"/>
          </w:tcPr>
          <w:p>
            <w:pPr>
              <w:spacing w:after="0"/>
              <w:rPr>
                <w:sz w:val="24"/>
                <w:szCs w:val="24"/>
                <w:color w:val="auto"/>
              </w:rPr>
            </w:pPr>
          </w:p>
        </w:tc>
        <w:tc>
          <w:tcPr>
            <w:tcW w:w="9360" w:type="dxa"/>
            <w:vAlign w:val="bottom"/>
            <w:gridSpan w:val="3"/>
          </w:tcPr>
          <w:p>
            <w:pPr>
              <w:jc w:val="center"/>
              <w:ind w:right="1420"/>
              <w:spacing w:after="0"/>
              <w:rPr>
                <w:sz w:val="20"/>
                <w:szCs w:val="20"/>
                <w:color w:val="auto"/>
              </w:rPr>
            </w:pPr>
            <w:r>
              <w:rPr>
                <w:rFonts w:ascii="Times New Roman" w:cs="Times New Roman" w:eastAsia="Times New Roman" w:hAnsi="Times New Roman"/>
                <w:sz w:val="18"/>
                <w:szCs w:val="18"/>
                <w:i w:val="1"/>
                <w:iCs w:val="1"/>
                <w:color w:val="auto"/>
                <w:w w:val="99"/>
              </w:rPr>
              <w:t>*First name, last name and email address are required information for access to the investor reporting site.</w:t>
            </w:r>
          </w:p>
        </w:tc>
      </w:tr>
      <w:tr>
        <w:trPr>
          <w:trHeight w:val="338"/>
        </w:trPr>
        <w:tc>
          <w:tcPr>
            <w:tcW w:w="15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360" w:type="dxa"/>
            <w:vAlign w:val="bottom"/>
          </w:tcPr>
          <w:p>
            <w:pPr>
              <w:spacing w:after="0"/>
              <w:rPr>
                <w:sz w:val="24"/>
                <w:szCs w:val="24"/>
                <w:color w:val="auto"/>
              </w:rPr>
            </w:pPr>
          </w:p>
        </w:tc>
      </w:tr>
      <w:tr>
        <w:trPr>
          <w:trHeight w:val="68"/>
        </w:trPr>
        <w:tc>
          <w:tcPr>
            <w:tcW w:w="1540" w:type="dxa"/>
            <w:vAlign w:val="bottom"/>
            <w:shd w:val="clear" w:color="auto" w:fill="000000"/>
          </w:tcPr>
          <w:p>
            <w:pPr>
              <w:spacing w:after="0"/>
              <w:rPr>
                <w:sz w:val="5"/>
                <w:szCs w:val="5"/>
                <w:color w:val="auto"/>
              </w:rPr>
            </w:pPr>
          </w:p>
        </w:tc>
        <w:tc>
          <w:tcPr>
            <w:tcW w:w="2940" w:type="dxa"/>
            <w:vAlign w:val="bottom"/>
            <w:shd w:val="clear" w:color="auto" w:fill="000000"/>
          </w:tcPr>
          <w:p>
            <w:pPr>
              <w:spacing w:after="0"/>
              <w:rPr>
                <w:sz w:val="5"/>
                <w:szCs w:val="5"/>
                <w:color w:val="auto"/>
              </w:rPr>
            </w:pPr>
          </w:p>
        </w:tc>
        <w:tc>
          <w:tcPr>
            <w:tcW w:w="2060" w:type="dxa"/>
            <w:vAlign w:val="bottom"/>
            <w:shd w:val="clear" w:color="auto" w:fill="000000"/>
          </w:tcPr>
          <w:p>
            <w:pPr>
              <w:spacing w:after="0"/>
              <w:rPr>
                <w:sz w:val="5"/>
                <w:szCs w:val="5"/>
                <w:color w:val="auto"/>
              </w:rPr>
            </w:pPr>
          </w:p>
        </w:tc>
        <w:tc>
          <w:tcPr>
            <w:tcW w:w="4360" w:type="dxa"/>
            <w:vAlign w:val="bottom"/>
            <w:shd w:val="clear" w:color="auto" w:fill="000000"/>
          </w:tcPr>
          <w:p>
            <w:pPr>
              <w:spacing w:after="0"/>
              <w:rPr>
                <w:sz w:val="5"/>
                <w:szCs w:val="5"/>
                <w:color w:val="auto"/>
              </w:rPr>
            </w:pPr>
          </w:p>
        </w:tc>
      </w:tr>
    </w:tbl>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24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First Name*</w:t>
            </w:r>
          </w:p>
        </w:tc>
        <w:tc>
          <w:tcPr>
            <w:tcW w:w="5900" w:type="dxa"/>
            <w:vAlign w:val="bottom"/>
            <w:tcBorders>
              <w:top w:val="single" w:sz="8" w:color="auto"/>
              <w:bottom w:val="single" w:sz="8" w:color="auto"/>
              <w:right w:val="single" w:sz="8" w:color="auto"/>
            </w:tcBorders>
          </w:tcPr>
          <w:p>
            <w:pPr>
              <w:spacing w:after="0"/>
              <w:rPr>
                <w:sz w:val="24"/>
                <w:szCs w:val="24"/>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Capital Calls</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4"/>
        </w:trPr>
        <w:tc>
          <w:tcPr>
            <w:tcW w:w="24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Last Name*</w:t>
            </w:r>
          </w:p>
        </w:tc>
        <w:tc>
          <w:tcPr>
            <w:tcW w:w="5900" w:type="dxa"/>
            <w:vAlign w:val="bottom"/>
            <w:tcBorders>
              <w:bottom w:val="single" w:sz="8" w:color="auto"/>
              <w:right w:val="single" w:sz="8" w:color="auto"/>
            </w:tcBorders>
          </w:tcPr>
          <w:p>
            <w:pPr>
              <w:spacing w:after="0"/>
              <w:rPr>
                <w:sz w:val="24"/>
                <w:szCs w:val="24"/>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Distributions</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4"/>
        </w:trPr>
        <w:tc>
          <w:tcPr>
            <w:tcW w:w="24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Email Address*</w:t>
            </w:r>
          </w:p>
        </w:tc>
        <w:tc>
          <w:tcPr>
            <w:tcW w:w="5900" w:type="dxa"/>
            <w:vAlign w:val="bottom"/>
            <w:tcBorders>
              <w:bottom w:val="single" w:sz="8" w:color="auto"/>
              <w:right w:val="single" w:sz="8" w:color="auto"/>
            </w:tcBorders>
          </w:tcPr>
          <w:p>
            <w:pPr>
              <w:spacing w:after="0"/>
              <w:rPr>
                <w:sz w:val="24"/>
                <w:szCs w:val="24"/>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Financial Reporting</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4"/>
        </w:trPr>
        <w:tc>
          <w:tcPr>
            <w:tcW w:w="24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Phone*</w:t>
            </w:r>
          </w:p>
        </w:tc>
        <w:tc>
          <w:tcPr>
            <w:tcW w:w="5900" w:type="dxa"/>
            <w:vAlign w:val="bottom"/>
            <w:tcBorders>
              <w:bottom w:val="single" w:sz="8" w:color="auto"/>
              <w:right w:val="single" w:sz="8" w:color="auto"/>
            </w:tcBorders>
          </w:tcPr>
          <w:p>
            <w:pPr>
              <w:spacing w:after="0"/>
              <w:rPr>
                <w:sz w:val="24"/>
                <w:szCs w:val="24"/>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Legal Notices</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4"/>
        </w:trPr>
        <w:tc>
          <w:tcPr>
            <w:tcW w:w="24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Company</w:t>
            </w:r>
          </w:p>
        </w:tc>
        <w:tc>
          <w:tcPr>
            <w:tcW w:w="5900" w:type="dxa"/>
            <w:vAlign w:val="bottom"/>
            <w:tcBorders>
              <w:bottom w:val="single" w:sz="8" w:color="auto"/>
              <w:right w:val="single" w:sz="8" w:color="auto"/>
            </w:tcBorders>
          </w:tcPr>
          <w:p>
            <w:pPr>
              <w:spacing w:after="0"/>
              <w:rPr>
                <w:sz w:val="24"/>
                <w:szCs w:val="24"/>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Tax Documents</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4"/>
        </w:trPr>
        <w:tc>
          <w:tcPr>
            <w:tcW w:w="24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Address Line 1</w:t>
            </w:r>
          </w:p>
        </w:tc>
        <w:tc>
          <w:tcPr>
            <w:tcW w:w="5900" w:type="dxa"/>
            <w:vAlign w:val="bottom"/>
            <w:tcBorders>
              <w:bottom w:val="single" w:sz="8" w:color="auto"/>
              <w:right w:val="single" w:sz="8" w:color="auto"/>
            </w:tcBorders>
          </w:tcPr>
          <w:p>
            <w:pPr>
              <w:spacing w:after="0"/>
              <w:rPr>
                <w:sz w:val="24"/>
                <w:szCs w:val="24"/>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Wire Instructions</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4"/>
        </w:trPr>
        <w:tc>
          <w:tcPr>
            <w:tcW w:w="24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Address Line 2</w:t>
            </w:r>
          </w:p>
        </w:tc>
        <w:tc>
          <w:tcPr>
            <w:tcW w:w="5900" w:type="dxa"/>
            <w:vAlign w:val="bottom"/>
            <w:tcBorders>
              <w:bottom w:val="single" w:sz="8" w:color="auto"/>
              <w:right w:val="single" w:sz="8" w:color="auto"/>
            </w:tcBorders>
          </w:tcPr>
          <w:p>
            <w:pPr>
              <w:spacing w:after="0"/>
              <w:rPr>
                <w:sz w:val="24"/>
                <w:szCs w:val="24"/>
                <w:color w:val="auto"/>
              </w:rPr>
            </w:pPr>
          </w:p>
        </w:tc>
        <w:tc>
          <w:tcPr>
            <w:tcW w:w="23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04"/>
        </w:trPr>
        <w:tc>
          <w:tcPr>
            <w:tcW w:w="24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City, State, Zip Code</w:t>
            </w:r>
          </w:p>
        </w:tc>
        <w:tc>
          <w:tcPr>
            <w:tcW w:w="5900" w:type="dxa"/>
            <w:vAlign w:val="bottom"/>
            <w:tcBorders>
              <w:bottom w:val="single" w:sz="8" w:color="auto"/>
              <w:right w:val="single" w:sz="8" w:color="auto"/>
            </w:tcBorders>
          </w:tcPr>
          <w:p>
            <w:pPr>
              <w:spacing w:after="0"/>
              <w:rPr>
                <w:sz w:val="24"/>
                <w:szCs w:val="24"/>
                <w:color w:val="auto"/>
              </w:rPr>
            </w:pPr>
          </w:p>
        </w:tc>
        <w:tc>
          <w:tcPr>
            <w:tcW w:w="23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12"/>
        </w:trPr>
        <w:tc>
          <w:tcPr>
            <w:tcW w:w="240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68"/>
        </w:trPr>
        <w:tc>
          <w:tcPr>
            <w:tcW w:w="2400" w:type="dxa"/>
            <w:vAlign w:val="bottom"/>
            <w:tcBorders>
              <w:right w:val="single" w:sz="8" w:color="auto"/>
            </w:tcBorders>
            <w:shd w:val="clear" w:color="auto" w:fill="000000"/>
          </w:tcPr>
          <w:p>
            <w:pPr>
              <w:spacing w:after="0"/>
              <w:rPr>
                <w:sz w:val="5"/>
                <w:szCs w:val="5"/>
                <w:color w:val="auto"/>
              </w:rPr>
            </w:pPr>
          </w:p>
        </w:tc>
        <w:tc>
          <w:tcPr>
            <w:tcW w:w="5900" w:type="dxa"/>
            <w:vAlign w:val="bottom"/>
            <w:tcBorders>
              <w:right w:val="single" w:sz="8" w:color="auto"/>
            </w:tcBorders>
            <w:shd w:val="clear" w:color="auto" w:fill="000000"/>
          </w:tcPr>
          <w:p>
            <w:pPr>
              <w:spacing w:after="0"/>
              <w:rPr>
                <w:sz w:val="5"/>
                <w:szCs w:val="5"/>
                <w:color w:val="auto"/>
              </w:rPr>
            </w:pPr>
          </w:p>
        </w:tc>
        <w:tc>
          <w:tcPr>
            <w:tcW w:w="236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r>
    </w:tbl>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24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First Name*</w:t>
            </w:r>
          </w:p>
        </w:tc>
        <w:tc>
          <w:tcPr>
            <w:tcW w:w="5900" w:type="dxa"/>
            <w:vAlign w:val="bottom"/>
            <w:tcBorders>
              <w:top w:val="single" w:sz="8" w:color="auto"/>
              <w:bottom w:val="single" w:sz="8" w:color="auto"/>
              <w:right w:val="single" w:sz="8" w:color="auto"/>
            </w:tcBorders>
          </w:tcPr>
          <w:p>
            <w:pPr>
              <w:spacing w:after="0"/>
              <w:rPr>
                <w:sz w:val="24"/>
                <w:szCs w:val="24"/>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Capital Calls</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4"/>
        </w:trPr>
        <w:tc>
          <w:tcPr>
            <w:tcW w:w="24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Last Name*</w:t>
            </w:r>
          </w:p>
        </w:tc>
        <w:tc>
          <w:tcPr>
            <w:tcW w:w="5900" w:type="dxa"/>
            <w:vAlign w:val="bottom"/>
            <w:tcBorders>
              <w:bottom w:val="single" w:sz="8" w:color="auto"/>
              <w:right w:val="single" w:sz="8" w:color="auto"/>
            </w:tcBorders>
          </w:tcPr>
          <w:p>
            <w:pPr>
              <w:spacing w:after="0"/>
              <w:rPr>
                <w:sz w:val="24"/>
                <w:szCs w:val="24"/>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Distributions</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4"/>
        </w:trPr>
        <w:tc>
          <w:tcPr>
            <w:tcW w:w="24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Email Address*</w:t>
            </w:r>
          </w:p>
        </w:tc>
        <w:tc>
          <w:tcPr>
            <w:tcW w:w="5900" w:type="dxa"/>
            <w:vAlign w:val="bottom"/>
            <w:tcBorders>
              <w:bottom w:val="single" w:sz="8" w:color="auto"/>
              <w:right w:val="single" w:sz="8" w:color="auto"/>
            </w:tcBorders>
          </w:tcPr>
          <w:p>
            <w:pPr>
              <w:spacing w:after="0"/>
              <w:rPr>
                <w:sz w:val="24"/>
                <w:szCs w:val="24"/>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Financial Reporting</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4"/>
        </w:trPr>
        <w:tc>
          <w:tcPr>
            <w:tcW w:w="24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Phone*</w:t>
            </w:r>
          </w:p>
        </w:tc>
        <w:tc>
          <w:tcPr>
            <w:tcW w:w="5900" w:type="dxa"/>
            <w:vAlign w:val="bottom"/>
            <w:tcBorders>
              <w:bottom w:val="single" w:sz="8" w:color="auto"/>
              <w:right w:val="single" w:sz="8" w:color="auto"/>
            </w:tcBorders>
          </w:tcPr>
          <w:p>
            <w:pPr>
              <w:spacing w:after="0"/>
              <w:rPr>
                <w:sz w:val="24"/>
                <w:szCs w:val="24"/>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Legal Notices</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bl>
    <w:p>
      <w:pPr>
        <w:sectPr>
          <w:pgSz w:w="11900" w:h="16838" w:orient="portrait"/>
          <w:cols w:equalWidth="0" w:num="1">
            <w:col w:w="10940"/>
          </w:cols>
          <w:pgMar w:left="440" w:top="270" w:right="519" w:bottom="1440" w:gutter="0" w:footer="0" w:header="0"/>
        </w:sectPr>
      </w:pPr>
    </w:p>
    <w:bookmarkStart w:id="184" w:name="page185"/>
    <w:bookmarkEnd w:id="18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324"/>
        </w:trPr>
        <w:tc>
          <w:tcPr>
            <w:tcW w:w="24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Company</w:t>
            </w:r>
          </w:p>
        </w:tc>
        <w:tc>
          <w:tcPr>
            <w:tcW w:w="5900" w:type="dxa"/>
            <w:vAlign w:val="bottom"/>
            <w:tcBorders>
              <w:top w:val="single" w:sz="8" w:color="auto"/>
              <w:bottom w:val="single" w:sz="8" w:color="auto"/>
              <w:right w:val="single" w:sz="8" w:color="auto"/>
            </w:tcBorders>
          </w:tcPr>
          <w:p>
            <w:pPr>
              <w:spacing w:after="0"/>
              <w:rPr>
                <w:sz w:val="24"/>
                <w:szCs w:val="24"/>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Tax Documents</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4"/>
        </w:trPr>
        <w:tc>
          <w:tcPr>
            <w:tcW w:w="24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Address Line 1</w:t>
            </w:r>
          </w:p>
        </w:tc>
        <w:tc>
          <w:tcPr>
            <w:tcW w:w="5900" w:type="dxa"/>
            <w:vAlign w:val="bottom"/>
            <w:tcBorders>
              <w:bottom w:val="single" w:sz="8" w:color="auto"/>
              <w:right w:val="single" w:sz="8" w:color="auto"/>
            </w:tcBorders>
          </w:tcPr>
          <w:p>
            <w:pPr>
              <w:spacing w:after="0"/>
              <w:rPr>
                <w:sz w:val="24"/>
                <w:szCs w:val="24"/>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Wire Instructions</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4"/>
        </w:trPr>
        <w:tc>
          <w:tcPr>
            <w:tcW w:w="24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Address Line 2</w:t>
            </w:r>
          </w:p>
        </w:tc>
        <w:tc>
          <w:tcPr>
            <w:tcW w:w="5900" w:type="dxa"/>
            <w:vAlign w:val="bottom"/>
            <w:tcBorders>
              <w:bottom w:val="single" w:sz="8" w:color="auto"/>
              <w:right w:val="single" w:sz="8" w:color="auto"/>
            </w:tcBorders>
          </w:tcPr>
          <w:p>
            <w:pPr>
              <w:spacing w:after="0"/>
              <w:rPr>
                <w:sz w:val="24"/>
                <w:szCs w:val="24"/>
                <w:color w:val="auto"/>
              </w:rPr>
            </w:pPr>
          </w:p>
        </w:tc>
        <w:tc>
          <w:tcPr>
            <w:tcW w:w="23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04"/>
        </w:trPr>
        <w:tc>
          <w:tcPr>
            <w:tcW w:w="24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City, State, Zip Code</w:t>
            </w:r>
          </w:p>
        </w:tc>
        <w:tc>
          <w:tcPr>
            <w:tcW w:w="5900" w:type="dxa"/>
            <w:vAlign w:val="bottom"/>
            <w:tcBorders>
              <w:bottom w:val="single" w:sz="8" w:color="auto"/>
              <w:right w:val="single" w:sz="8" w:color="auto"/>
            </w:tcBorders>
          </w:tcPr>
          <w:p>
            <w:pPr>
              <w:spacing w:after="0"/>
              <w:rPr>
                <w:sz w:val="24"/>
                <w:szCs w:val="24"/>
                <w:color w:val="auto"/>
              </w:rPr>
            </w:pPr>
          </w:p>
        </w:tc>
        <w:tc>
          <w:tcPr>
            <w:tcW w:w="23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12"/>
        </w:trPr>
        <w:tc>
          <w:tcPr>
            <w:tcW w:w="240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68"/>
        </w:trPr>
        <w:tc>
          <w:tcPr>
            <w:tcW w:w="2400" w:type="dxa"/>
            <w:vAlign w:val="bottom"/>
            <w:tcBorders>
              <w:right w:val="single" w:sz="8" w:color="auto"/>
            </w:tcBorders>
            <w:shd w:val="clear" w:color="auto" w:fill="000000"/>
          </w:tcPr>
          <w:p>
            <w:pPr>
              <w:spacing w:after="0"/>
              <w:rPr>
                <w:sz w:val="5"/>
                <w:szCs w:val="5"/>
                <w:color w:val="auto"/>
              </w:rPr>
            </w:pPr>
          </w:p>
        </w:tc>
        <w:tc>
          <w:tcPr>
            <w:tcW w:w="5900" w:type="dxa"/>
            <w:vAlign w:val="bottom"/>
            <w:tcBorders>
              <w:right w:val="single" w:sz="8" w:color="auto"/>
            </w:tcBorders>
            <w:shd w:val="clear" w:color="auto" w:fill="000000"/>
          </w:tcPr>
          <w:p>
            <w:pPr>
              <w:spacing w:after="0"/>
              <w:rPr>
                <w:sz w:val="5"/>
                <w:szCs w:val="5"/>
                <w:color w:val="auto"/>
              </w:rPr>
            </w:pPr>
          </w:p>
        </w:tc>
        <w:tc>
          <w:tcPr>
            <w:tcW w:w="236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r>
    </w:tbl>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24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First Name*</w:t>
            </w:r>
          </w:p>
        </w:tc>
        <w:tc>
          <w:tcPr>
            <w:tcW w:w="5900" w:type="dxa"/>
            <w:vAlign w:val="bottom"/>
            <w:tcBorders>
              <w:top w:val="single" w:sz="8" w:color="auto"/>
              <w:bottom w:val="single" w:sz="8" w:color="auto"/>
              <w:right w:val="single" w:sz="8" w:color="auto"/>
            </w:tcBorders>
          </w:tcPr>
          <w:p>
            <w:pPr>
              <w:spacing w:after="0"/>
              <w:rPr>
                <w:sz w:val="24"/>
                <w:szCs w:val="24"/>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Capital Calls</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4"/>
        </w:trPr>
        <w:tc>
          <w:tcPr>
            <w:tcW w:w="24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Last Name*</w:t>
            </w:r>
          </w:p>
        </w:tc>
        <w:tc>
          <w:tcPr>
            <w:tcW w:w="5900" w:type="dxa"/>
            <w:vAlign w:val="bottom"/>
            <w:tcBorders>
              <w:bottom w:val="single" w:sz="8" w:color="auto"/>
              <w:right w:val="single" w:sz="8" w:color="auto"/>
            </w:tcBorders>
          </w:tcPr>
          <w:p>
            <w:pPr>
              <w:spacing w:after="0"/>
              <w:rPr>
                <w:sz w:val="24"/>
                <w:szCs w:val="24"/>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Distributions</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4"/>
        </w:trPr>
        <w:tc>
          <w:tcPr>
            <w:tcW w:w="24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Email Address*</w:t>
            </w:r>
          </w:p>
        </w:tc>
        <w:tc>
          <w:tcPr>
            <w:tcW w:w="5900" w:type="dxa"/>
            <w:vAlign w:val="bottom"/>
            <w:tcBorders>
              <w:bottom w:val="single" w:sz="8" w:color="auto"/>
              <w:right w:val="single" w:sz="8" w:color="auto"/>
            </w:tcBorders>
          </w:tcPr>
          <w:p>
            <w:pPr>
              <w:spacing w:after="0"/>
              <w:rPr>
                <w:sz w:val="24"/>
                <w:szCs w:val="24"/>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Financial Reporting</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4"/>
        </w:trPr>
        <w:tc>
          <w:tcPr>
            <w:tcW w:w="24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Phone*</w:t>
            </w:r>
          </w:p>
        </w:tc>
        <w:tc>
          <w:tcPr>
            <w:tcW w:w="5900" w:type="dxa"/>
            <w:vAlign w:val="bottom"/>
            <w:tcBorders>
              <w:bottom w:val="single" w:sz="8" w:color="auto"/>
              <w:right w:val="single" w:sz="8" w:color="auto"/>
            </w:tcBorders>
          </w:tcPr>
          <w:p>
            <w:pPr>
              <w:spacing w:after="0"/>
              <w:rPr>
                <w:sz w:val="24"/>
                <w:szCs w:val="24"/>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Legal Notices</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4"/>
        </w:trPr>
        <w:tc>
          <w:tcPr>
            <w:tcW w:w="24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Company</w:t>
            </w:r>
          </w:p>
        </w:tc>
        <w:tc>
          <w:tcPr>
            <w:tcW w:w="5900" w:type="dxa"/>
            <w:vAlign w:val="bottom"/>
            <w:tcBorders>
              <w:bottom w:val="single" w:sz="8" w:color="auto"/>
              <w:right w:val="single" w:sz="8" w:color="auto"/>
            </w:tcBorders>
          </w:tcPr>
          <w:p>
            <w:pPr>
              <w:spacing w:after="0"/>
              <w:rPr>
                <w:sz w:val="24"/>
                <w:szCs w:val="24"/>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Tax Documents</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4"/>
        </w:trPr>
        <w:tc>
          <w:tcPr>
            <w:tcW w:w="24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Address Line 1</w:t>
            </w:r>
          </w:p>
        </w:tc>
        <w:tc>
          <w:tcPr>
            <w:tcW w:w="5900" w:type="dxa"/>
            <w:vAlign w:val="bottom"/>
            <w:tcBorders>
              <w:bottom w:val="single" w:sz="8" w:color="auto"/>
              <w:right w:val="single" w:sz="8" w:color="auto"/>
            </w:tcBorders>
          </w:tcPr>
          <w:p>
            <w:pPr>
              <w:spacing w:after="0"/>
              <w:rPr>
                <w:sz w:val="24"/>
                <w:szCs w:val="24"/>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Wire Instructions</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4"/>
        </w:trPr>
        <w:tc>
          <w:tcPr>
            <w:tcW w:w="24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Address Line 2</w:t>
            </w:r>
          </w:p>
        </w:tc>
        <w:tc>
          <w:tcPr>
            <w:tcW w:w="5900" w:type="dxa"/>
            <w:vAlign w:val="bottom"/>
            <w:tcBorders>
              <w:bottom w:val="single" w:sz="8" w:color="auto"/>
              <w:right w:val="single" w:sz="8" w:color="auto"/>
            </w:tcBorders>
          </w:tcPr>
          <w:p>
            <w:pPr>
              <w:spacing w:after="0"/>
              <w:rPr>
                <w:sz w:val="24"/>
                <w:szCs w:val="24"/>
                <w:color w:val="auto"/>
              </w:rPr>
            </w:pPr>
          </w:p>
        </w:tc>
        <w:tc>
          <w:tcPr>
            <w:tcW w:w="23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04"/>
        </w:trPr>
        <w:tc>
          <w:tcPr>
            <w:tcW w:w="24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City, State, Zip Code</w:t>
            </w:r>
          </w:p>
        </w:tc>
        <w:tc>
          <w:tcPr>
            <w:tcW w:w="5900" w:type="dxa"/>
            <w:vAlign w:val="bottom"/>
            <w:tcBorders>
              <w:bottom w:val="single" w:sz="8" w:color="auto"/>
              <w:right w:val="single" w:sz="8" w:color="auto"/>
            </w:tcBorders>
          </w:tcPr>
          <w:p>
            <w:pPr>
              <w:spacing w:after="0"/>
              <w:rPr>
                <w:sz w:val="24"/>
                <w:szCs w:val="24"/>
                <w:color w:val="auto"/>
              </w:rPr>
            </w:pPr>
          </w:p>
        </w:tc>
        <w:tc>
          <w:tcPr>
            <w:tcW w:w="23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12"/>
        </w:trPr>
        <w:tc>
          <w:tcPr>
            <w:tcW w:w="240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68"/>
        </w:trPr>
        <w:tc>
          <w:tcPr>
            <w:tcW w:w="2400" w:type="dxa"/>
            <w:vAlign w:val="bottom"/>
            <w:tcBorders>
              <w:right w:val="single" w:sz="8" w:color="auto"/>
            </w:tcBorders>
            <w:shd w:val="clear" w:color="auto" w:fill="000000"/>
          </w:tcPr>
          <w:p>
            <w:pPr>
              <w:spacing w:after="0"/>
              <w:rPr>
                <w:sz w:val="5"/>
                <w:szCs w:val="5"/>
                <w:color w:val="auto"/>
              </w:rPr>
            </w:pPr>
          </w:p>
        </w:tc>
        <w:tc>
          <w:tcPr>
            <w:tcW w:w="5900" w:type="dxa"/>
            <w:vAlign w:val="bottom"/>
            <w:tcBorders>
              <w:right w:val="single" w:sz="8" w:color="auto"/>
            </w:tcBorders>
            <w:shd w:val="clear" w:color="auto" w:fill="000000"/>
          </w:tcPr>
          <w:p>
            <w:pPr>
              <w:spacing w:after="0"/>
              <w:rPr>
                <w:sz w:val="5"/>
                <w:szCs w:val="5"/>
                <w:color w:val="auto"/>
              </w:rPr>
            </w:pPr>
          </w:p>
        </w:tc>
        <w:tc>
          <w:tcPr>
            <w:tcW w:w="236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r>
    </w:tbl>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24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First Name*</w:t>
            </w:r>
          </w:p>
        </w:tc>
        <w:tc>
          <w:tcPr>
            <w:tcW w:w="5900" w:type="dxa"/>
            <w:vAlign w:val="bottom"/>
            <w:tcBorders>
              <w:top w:val="single" w:sz="8" w:color="auto"/>
              <w:bottom w:val="single" w:sz="8" w:color="auto"/>
              <w:right w:val="single" w:sz="8" w:color="auto"/>
            </w:tcBorders>
          </w:tcPr>
          <w:p>
            <w:pPr>
              <w:spacing w:after="0"/>
              <w:rPr>
                <w:sz w:val="24"/>
                <w:szCs w:val="24"/>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Capital Calls</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4"/>
        </w:trPr>
        <w:tc>
          <w:tcPr>
            <w:tcW w:w="24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Last Name*</w:t>
            </w:r>
          </w:p>
        </w:tc>
        <w:tc>
          <w:tcPr>
            <w:tcW w:w="5900" w:type="dxa"/>
            <w:vAlign w:val="bottom"/>
            <w:tcBorders>
              <w:bottom w:val="single" w:sz="8" w:color="auto"/>
              <w:right w:val="single" w:sz="8" w:color="auto"/>
            </w:tcBorders>
          </w:tcPr>
          <w:p>
            <w:pPr>
              <w:spacing w:after="0"/>
              <w:rPr>
                <w:sz w:val="24"/>
                <w:szCs w:val="24"/>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Distributions</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4"/>
        </w:trPr>
        <w:tc>
          <w:tcPr>
            <w:tcW w:w="24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Email Address*</w:t>
            </w:r>
          </w:p>
        </w:tc>
        <w:tc>
          <w:tcPr>
            <w:tcW w:w="5900" w:type="dxa"/>
            <w:vAlign w:val="bottom"/>
            <w:tcBorders>
              <w:bottom w:val="single" w:sz="8" w:color="auto"/>
              <w:right w:val="single" w:sz="8" w:color="auto"/>
            </w:tcBorders>
          </w:tcPr>
          <w:p>
            <w:pPr>
              <w:spacing w:after="0"/>
              <w:rPr>
                <w:sz w:val="24"/>
                <w:szCs w:val="24"/>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Financial Reporting</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4"/>
        </w:trPr>
        <w:tc>
          <w:tcPr>
            <w:tcW w:w="24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Phone*</w:t>
            </w:r>
          </w:p>
        </w:tc>
        <w:tc>
          <w:tcPr>
            <w:tcW w:w="5900" w:type="dxa"/>
            <w:vAlign w:val="bottom"/>
            <w:tcBorders>
              <w:bottom w:val="single" w:sz="8" w:color="auto"/>
              <w:right w:val="single" w:sz="8" w:color="auto"/>
            </w:tcBorders>
          </w:tcPr>
          <w:p>
            <w:pPr>
              <w:spacing w:after="0"/>
              <w:rPr>
                <w:sz w:val="24"/>
                <w:szCs w:val="24"/>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Legal Notices</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4"/>
        </w:trPr>
        <w:tc>
          <w:tcPr>
            <w:tcW w:w="24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Company</w:t>
            </w:r>
          </w:p>
        </w:tc>
        <w:tc>
          <w:tcPr>
            <w:tcW w:w="5900" w:type="dxa"/>
            <w:vAlign w:val="bottom"/>
            <w:tcBorders>
              <w:bottom w:val="single" w:sz="8" w:color="auto"/>
              <w:right w:val="single" w:sz="8" w:color="auto"/>
            </w:tcBorders>
          </w:tcPr>
          <w:p>
            <w:pPr>
              <w:spacing w:after="0"/>
              <w:rPr>
                <w:sz w:val="24"/>
                <w:szCs w:val="24"/>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Tax Documents</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4"/>
        </w:trPr>
        <w:tc>
          <w:tcPr>
            <w:tcW w:w="24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Address Line 1</w:t>
            </w:r>
          </w:p>
        </w:tc>
        <w:tc>
          <w:tcPr>
            <w:tcW w:w="5900" w:type="dxa"/>
            <w:vAlign w:val="bottom"/>
            <w:tcBorders>
              <w:bottom w:val="single" w:sz="8" w:color="auto"/>
              <w:right w:val="single" w:sz="8" w:color="auto"/>
            </w:tcBorders>
          </w:tcPr>
          <w:p>
            <w:pPr>
              <w:spacing w:after="0"/>
              <w:rPr>
                <w:sz w:val="24"/>
                <w:szCs w:val="24"/>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Wire Instructions</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4"/>
        </w:trPr>
        <w:tc>
          <w:tcPr>
            <w:tcW w:w="24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Address Line 2</w:t>
            </w:r>
          </w:p>
        </w:tc>
        <w:tc>
          <w:tcPr>
            <w:tcW w:w="5900" w:type="dxa"/>
            <w:vAlign w:val="bottom"/>
            <w:tcBorders>
              <w:bottom w:val="single" w:sz="8" w:color="auto"/>
              <w:right w:val="single" w:sz="8" w:color="auto"/>
            </w:tcBorders>
          </w:tcPr>
          <w:p>
            <w:pPr>
              <w:spacing w:after="0"/>
              <w:rPr>
                <w:sz w:val="24"/>
                <w:szCs w:val="24"/>
                <w:color w:val="auto"/>
              </w:rPr>
            </w:pPr>
          </w:p>
        </w:tc>
        <w:tc>
          <w:tcPr>
            <w:tcW w:w="23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04"/>
        </w:trPr>
        <w:tc>
          <w:tcPr>
            <w:tcW w:w="24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City, State, Zip Code</w:t>
            </w:r>
          </w:p>
        </w:tc>
        <w:tc>
          <w:tcPr>
            <w:tcW w:w="5900" w:type="dxa"/>
            <w:vAlign w:val="bottom"/>
            <w:tcBorders>
              <w:bottom w:val="single" w:sz="8" w:color="auto"/>
              <w:right w:val="single" w:sz="8" w:color="auto"/>
            </w:tcBorders>
          </w:tcPr>
          <w:p>
            <w:pPr>
              <w:spacing w:after="0"/>
              <w:rPr>
                <w:sz w:val="24"/>
                <w:szCs w:val="24"/>
                <w:color w:val="auto"/>
              </w:rPr>
            </w:pPr>
          </w:p>
        </w:tc>
        <w:tc>
          <w:tcPr>
            <w:tcW w:w="23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12"/>
        </w:trPr>
        <w:tc>
          <w:tcPr>
            <w:tcW w:w="240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68"/>
        </w:trPr>
        <w:tc>
          <w:tcPr>
            <w:tcW w:w="2400" w:type="dxa"/>
            <w:vAlign w:val="bottom"/>
            <w:tcBorders>
              <w:right w:val="single" w:sz="8" w:color="auto"/>
            </w:tcBorders>
            <w:shd w:val="clear" w:color="auto" w:fill="000000"/>
          </w:tcPr>
          <w:p>
            <w:pPr>
              <w:spacing w:after="0"/>
              <w:rPr>
                <w:sz w:val="5"/>
                <w:szCs w:val="5"/>
                <w:color w:val="auto"/>
              </w:rPr>
            </w:pPr>
          </w:p>
        </w:tc>
        <w:tc>
          <w:tcPr>
            <w:tcW w:w="5900" w:type="dxa"/>
            <w:vAlign w:val="bottom"/>
            <w:tcBorders>
              <w:right w:val="single" w:sz="8" w:color="auto"/>
            </w:tcBorders>
            <w:shd w:val="clear" w:color="auto" w:fill="000000"/>
          </w:tcPr>
          <w:p>
            <w:pPr>
              <w:spacing w:after="0"/>
              <w:rPr>
                <w:sz w:val="5"/>
                <w:szCs w:val="5"/>
                <w:color w:val="auto"/>
              </w:rPr>
            </w:pPr>
          </w:p>
        </w:tc>
        <w:tc>
          <w:tcPr>
            <w:tcW w:w="236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r>
    </w:tbl>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24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First Name*</w:t>
            </w:r>
          </w:p>
        </w:tc>
        <w:tc>
          <w:tcPr>
            <w:tcW w:w="5900" w:type="dxa"/>
            <w:vAlign w:val="bottom"/>
            <w:tcBorders>
              <w:top w:val="single" w:sz="8" w:color="auto"/>
              <w:bottom w:val="single" w:sz="8" w:color="auto"/>
              <w:right w:val="single" w:sz="8" w:color="auto"/>
            </w:tcBorders>
          </w:tcPr>
          <w:p>
            <w:pPr>
              <w:spacing w:after="0"/>
              <w:rPr>
                <w:sz w:val="24"/>
                <w:szCs w:val="24"/>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Capital Calls</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4"/>
        </w:trPr>
        <w:tc>
          <w:tcPr>
            <w:tcW w:w="24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Last Name*</w:t>
            </w:r>
          </w:p>
        </w:tc>
        <w:tc>
          <w:tcPr>
            <w:tcW w:w="5900" w:type="dxa"/>
            <w:vAlign w:val="bottom"/>
            <w:tcBorders>
              <w:bottom w:val="single" w:sz="8" w:color="auto"/>
              <w:right w:val="single" w:sz="8" w:color="auto"/>
            </w:tcBorders>
          </w:tcPr>
          <w:p>
            <w:pPr>
              <w:spacing w:after="0"/>
              <w:rPr>
                <w:sz w:val="24"/>
                <w:szCs w:val="24"/>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Distributions</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4"/>
        </w:trPr>
        <w:tc>
          <w:tcPr>
            <w:tcW w:w="24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Email Address*</w:t>
            </w:r>
          </w:p>
        </w:tc>
        <w:tc>
          <w:tcPr>
            <w:tcW w:w="5900" w:type="dxa"/>
            <w:vAlign w:val="bottom"/>
            <w:tcBorders>
              <w:bottom w:val="single" w:sz="8" w:color="auto"/>
              <w:right w:val="single" w:sz="8" w:color="auto"/>
            </w:tcBorders>
          </w:tcPr>
          <w:p>
            <w:pPr>
              <w:spacing w:after="0"/>
              <w:rPr>
                <w:sz w:val="24"/>
                <w:szCs w:val="24"/>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Financial Reporting</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4"/>
        </w:trPr>
        <w:tc>
          <w:tcPr>
            <w:tcW w:w="24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Phone*</w:t>
            </w:r>
          </w:p>
        </w:tc>
        <w:tc>
          <w:tcPr>
            <w:tcW w:w="5900" w:type="dxa"/>
            <w:vAlign w:val="bottom"/>
            <w:tcBorders>
              <w:bottom w:val="single" w:sz="8" w:color="auto"/>
              <w:right w:val="single" w:sz="8" w:color="auto"/>
            </w:tcBorders>
          </w:tcPr>
          <w:p>
            <w:pPr>
              <w:spacing w:after="0"/>
              <w:rPr>
                <w:sz w:val="24"/>
                <w:szCs w:val="24"/>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Legal Notices</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4"/>
        </w:trPr>
        <w:tc>
          <w:tcPr>
            <w:tcW w:w="24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Company</w:t>
            </w:r>
          </w:p>
        </w:tc>
        <w:tc>
          <w:tcPr>
            <w:tcW w:w="5900" w:type="dxa"/>
            <w:vAlign w:val="bottom"/>
            <w:tcBorders>
              <w:bottom w:val="single" w:sz="8" w:color="auto"/>
              <w:right w:val="single" w:sz="8" w:color="auto"/>
            </w:tcBorders>
          </w:tcPr>
          <w:p>
            <w:pPr>
              <w:spacing w:after="0"/>
              <w:rPr>
                <w:sz w:val="24"/>
                <w:szCs w:val="24"/>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Tax Documents</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4"/>
        </w:trPr>
        <w:tc>
          <w:tcPr>
            <w:tcW w:w="24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Address Line 1</w:t>
            </w:r>
          </w:p>
        </w:tc>
        <w:tc>
          <w:tcPr>
            <w:tcW w:w="5900" w:type="dxa"/>
            <w:vAlign w:val="bottom"/>
            <w:tcBorders>
              <w:bottom w:val="single" w:sz="8" w:color="auto"/>
              <w:right w:val="single" w:sz="8" w:color="auto"/>
            </w:tcBorders>
          </w:tcPr>
          <w:p>
            <w:pPr>
              <w:spacing w:after="0"/>
              <w:rPr>
                <w:sz w:val="24"/>
                <w:szCs w:val="24"/>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Wire Instructions</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4"/>
        </w:trPr>
        <w:tc>
          <w:tcPr>
            <w:tcW w:w="24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Address Line 2</w:t>
            </w:r>
          </w:p>
        </w:tc>
        <w:tc>
          <w:tcPr>
            <w:tcW w:w="5900" w:type="dxa"/>
            <w:vAlign w:val="bottom"/>
            <w:tcBorders>
              <w:bottom w:val="single" w:sz="8" w:color="auto"/>
              <w:right w:val="single" w:sz="8" w:color="auto"/>
            </w:tcBorders>
          </w:tcPr>
          <w:p>
            <w:pPr>
              <w:spacing w:after="0"/>
              <w:rPr>
                <w:sz w:val="24"/>
                <w:szCs w:val="24"/>
                <w:color w:val="auto"/>
              </w:rPr>
            </w:pPr>
          </w:p>
        </w:tc>
        <w:tc>
          <w:tcPr>
            <w:tcW w:w="23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04"/>
        </w:trPr>
        <w:tc>
          <w:tcPr>
            <w:tcW w:w="24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City, State, Zip Code</w:t>
            </w:r>
          </w:p>
        </w:tc>
        <w:tc>
          <w:tcPr>
            <w:tcW w:w="5900" w:type="dxa"/>
            <w:vAlign w:val="bottom"/>
            <w:tcBorders>
              <w:bottom w:val="single" w:sz="8" w:color="auto"/>
              <w:right w:val="single" w:sz="8" w:color="auto"/>
            </w:tcBorders>
          </w:tcPr>
          <w:p>
            <w:pPr>
              <w:spacing w:after="0"/>
              <w:rPr>
                <w:sz w:val="24"/>
                <w:szCs w:val="24"/>
                <w:color w:val="auto"/>
              </w:rPr>
            </w:pPr>
          </w:p>
        </w:tc>
        <w:tc>
          <w:tcPr>
            <w:tcW w:w="2360" w:type="dxa"/>
            <w:vAlign w:val="bottom"/>
          </w:tcPr>
          <w:p>
            <w:pPr>
              <w:spacing w:after="0"/>
              <w:rPr>
                <w:sz w:val="24"/>
                <w:szCs w:val="24"/>
                <w:color w:val="auto"/>
              </w:rPr>
            </w:pPr>
          </w:p>
        </w:tc>
        <w:tc>
          <w:tcPr>
            <w:tcW w:w="240" w:type="dxa"/>
            <w:vAlign w:val="bottom"/>
          </w:tcPr>
          <w:p>
            <w:pPr>
              <w:spacing w:after="0"/>
              <w:rPr>
                <w:sz w:val="24"/>
                <w:szCs w:val="24"/>
                <w:color w:val="auto"/>
              </w:rPr>
            </w:pPr>
          </w:p>
        </w:tc>
      </w:tr>
    </w:tbl>
    <w:p>
      <w:pPr>
        <w:sectPr>
          <w:pgSz w:w="11900" w:h="16838" w:orient="portrait"/>
          <w:cols w:equalWidth="0" w:num="1">
            <w:col w:w="10900"/>
          </w:cols>
          <w:pgMar w:left="440" w:top="268" w:right="559" w:bottom="1440" w:gutter="0" w:footer="0" w:header="0"/>
        </w:sectPr>
      </w:pPr>
    </w:p>
    <w:bookmarkStart w:id="185" w:name="page186"/>
    <w:bookmarkEnd w:id="185"/>
    <w:p>
      <w:pPr>
        <w:spacing w:after="0" w:line="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364"/>
        <w:spacing w:after="0"/>
        <w:rPr>
          <w:sz w:val="20"/>
          <w:szCs w:val="20"/>
          <w:color w:val="auto"/>
        </w:rPr>
      </w:pPr>
      <w:r>
        <w:rPr>
          <w:rFonts w:ascii="Times New Roman" w:cs="Times New Roman" w:eastAsia="Times New Roman" w:hAnsi="Times New Roman"/>
          <w:sz w:val="18"/>
          <w:szCs w:val="18"/>
          <w:color w:val="auto"/>
        </w:rPr>
        <w:t>(E)   Subscriber’s Wiring Instructions:</w:t>
      </w:r>
    </w:p>
    <w:p>
      <w:pPr>
        <w:spacing w:after="0" w:line="225" w:lineRule="exact"/>
        <w:rPr>
          <w:sz w:val="20"/>
          <w:szCs w:val="20"/>
          <w:color w:val="auto"/>
        </w:rPr>
      </w:pPr>
    </w:p>
    <w:p>
      <w:pPr>
        <w:ind w:left="184" w:right="240" w:hanging="184"/>
        <w:spacing w:after="0" w:line="261" w:lineRule="auto"/>
        <w:tabs>
          <w:tab w:leader="none" w:pos="211" w:val="left"/>
        </w:tabs>
        <w:numPr>
          <w:ilvl w:val="0"/>
          <w:numId w:val="17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Please check here if these wiring instructions differ from those you or your affiliates have previously provided to Sixth Street Lending Partners Advisers, LLC or its affiliates for Sixth Street partnership(s) in which you are currently invested (if any).</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Times New Roman" w:cs="Times New Roman" w:eastAsia="Times New Roman" w:hAnsi="Times New Roman"/>
          <w:sz w:val="18"/>
          <w:szCs w:val="18"/>
          <w:b w:val="1"/>
          <w:bCs w:val="1"/>
          <w:color w:val="auto"/>
        </w:rPr>
        <w:t>U.S. Bank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19685</wp:posOffset>
            </wp:positionV>
            <wp:extent cx="342011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of Subscriber’s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-127635</wp:posOffset>
            </wp:positionV>
            <wp:extent cx="342011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Fed Wire ABA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68580</wp:posOffset>
            </wp:positionV>
            <wp:extent cx="342011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420110" cy="8890"/>
                    </a:xfrm>
                    <a:prstGeom prst="rect">
                      <a:avLst/>
                    </a:prstGeom>
                    <a:noFill/>
                  </pic:spPr>
                </pic:pic>
              </a:graphicData>
            </a:graphic>
          </wp:anchor>
        </w:drawing>
        <w:drawing>
          <wp:anchor simplePos="0" relativeHeight="251657728" behindDoc="1" locked="0" layoutInCell="0" allowOverlap="1">
            <wp:simplePos x="0" y="0"/>
            <wp:positionH relativeFrom="column">
              <wp:posOffset>-593090</wp:posOffset>
            </wp:positionH>
            <wp:positionV relativeFrom="paragraph">
              <wp:posOffset>-127635</wp:posOffset>
            </wp:positionV>
            <wp:extent cx="342011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 Credit To (Brokerage or Trust Accounts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33020</wp:posOffset>
            </wp:positionV>
            <wp:extent cx="342011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Subscriber’s Account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26035</wp:posOffset>
            </wp:positionV>
            <wp:extent cx="342011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Subscriber’s 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26035</wp:posOffset>
            </wp:positionV>
            <wp:extent cx="342011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Non-U.S. Bank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28575</wp:posOffset>
            </wp:positionV>
            <wp:extent cx="342011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of U.S. Correspondent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26035</wp:posOffset>
            </wp:positionV>
            <wp:extent cx="342011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Fed Wire ABA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26035</wp:posOffset>
            </wp:positionV>
            <wp:extent cx="342011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of Foreign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26035</wp:posOffset>
            </wp:positionV>
            <wp:extent cx="342011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Foreign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26035</wp:posOffset>
            </wp:positionV>
            <wp:extent cx="342011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SWIFT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26035</wp:posOffset>
            </wp:positionV>
            <wp:extent cx="342011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 Credit To (Brokerage or Trust Accounts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33020</wp:posOffset>
            </wp:positionV>
            <wp:extent cx="342011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Subscriber’s Account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26035</wp:posOffset>
            </wp:positionV>
            <wp:extent cx="342011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21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Subscriber’s Account Number</w:t>
      </w:r>
    </w:p>
    <w:p>
      <w:pPr>
        <w:sectPr>
          <w:pgSz w:w="11900" w:h="16838" w:orient="portrait"/>
          <w:cols w:equalWidth="0" w:num="2">
            <w:col w:w="5844" w:space="720"/>
            <w:col w:w="3620"/>
          </w:cols>
          <w:pgMar w:left="436" w:top="266" w:right="1279" w:bottom="1440" w:gutter="0" w:footer="0" w:header="0"/>
        </w:sectPr>
      </w:pPr>
    </w:p>
    <w:bookmarkStart w:id="186" w:name="page187"/>
    <w:bookmarkEnd w:id="186"/>
    <w:p>
      <w:pPr>
        <w:ind w:left="740" w:hanging="532"/>
        <w:spacing w:after="0"/>
        <w:tabs>
          <w:tab w:leader="none" w:pos="740" w:val="left"/>
        </w:tabs>
        <w:numPr>
          <w:ilvl w:val="0"/>
          <w:numId w:val="1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Type of Ownership</w:t>
      </w:r>
    </w:p>
    <w:p>
      <w:pPr>
        <w:spacing w:after="0" w:line="135" w:lineRule="exact"/>
        <w:rPr>
          <w:sz w:val="20"/>
          <w:szCs w:val="20"/>
          <w:color w:val="auto"/>
        </w:rPr>
      </w:pPr>
    </w:p>
    <w:p>
      <w:pPr>
        <w:ind w:left="740" w:hanging="532"/>
        <w:spacing w:after="0"/>
        <w:tabs>
          <w:tab w:leader="none" w:pos="74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check all that apply:</w:t>
      </w:r>
    </w:p>
    <w:p>
      <w:pPr>
        <w:spacing w:after="0" w:line="131" w:lineRule="exact"/>
        <w:rPr>
          <w:sz w:val="20"/>
          <w:szCs w:val="20"/>
          <w:color w:val="auto"/>
        </w:rPr>
      </w:pPr>
    </w:p>
    <w:p>
      <w:pPr>
        <w:ind w:left="740" w:hanging="532"/>
        <w:spacing w:after="0"/>
        <w:tabs>
          <w:tab w:leader="none" w:pos="740" w:val="left"/>
        </w:tabs>
        <w:numPr>
          <w:ilvl w:val="0"/>
          <w:numId w:val="17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Individual</w:t>
      </w:r>
    </w:p>
    <w:p>
      <w:pPr>
        <w:spacing w:after="0" w:line="130" w:lineRule="exact"/>
        <w:rPr>
          <w:rFonts w:ascii="MS PGothic" w:cs="MS PGothic" w:eastAsia="MS PGothic" w:hAnsi="MS PGothic"/>
          <w:sz w:val="18"/>
          <w:szCs w:val="18"/>
          <w:color w:val="auto"/>
        </w:rPr>
      </w:pPr>
    </w:p>
    <w:p>
      <w:pPr>
        <w:ind w:left="740" w:hanging="532"/>
        <w:spacing w:after="0"/>
        <w:tabs>
          <w:tab w:leader="none" w:pos="740" w:val="left"/>
        </w:tabs>
        <w:numPr>
          <w:ilvl w:val="0"/>
          <w:numId w:val="17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Trust (If YES, please complete Section III(C) below)</w:t>
      </w:r>
    </w:p>
    <w:p>
      <w:pPr>
        <w:spacing w:after="0" w:line="130" w:lineRule="exact"/>
        <w:rPr>
          <w:rFonts w:ascii="MS PGothic" w:cs="MS PGothic" w:eastAsia="MS PGothic" w:hAnsi="MS PGothic"/>
          <w:sz w:val="18"/>
          <w:szCs w:val="18"/>
          <w:color w:val="auto"/>
        </w:rPr>
      </w:pPr>
    </w:p>
    <w:p>
      <w:pPr>
        <w:ind w:left="740" w:hanging="532"/>
        <w:spacing w:after="0"/>
        <w:tabs>
          <w:tab w:leader="none" w:pos="740" w:val="left"/>
        </w:tabs>
        <w:numPr>
          <w:ilvl w:val="0"/>
          <w:numId w:val="17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Corporation</w:t>
      </w:r>
    </w:p>
    <w:p>
      <w:pPr>
        <w:spacing w:after="0" w:line="130" w:lineRule="exact"/>
        <w:rPr>
          <w:rFonts w:ascii="MS PGothic" w:cs="MS PGothic" w:eastAsia="MS PGothic" w:hAnsi="MS PGothic"/>
          <w:sz w:val="18"/>
          <w:szCs w:val="18"/>
          <w:color w:val="auto"/>
        </w:rPr>
      </w:pPr>
    </w:p>
    <w:p>
      <w:pPr>
        <w:ind w:left="740" w:hanging="532"/>
        <w:spacing w:after="0"/>
        <w:tabs>
          <w:tab w:leader="none" w:pos="740" w:val="left"/>
        </w:tabs>
        <w:numPr>
          <w:ilvl w:val="0"/>
          <w:numId w:val="17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Partnership</w:t>
      </w:r>
    </w:p>
    <w:p>
      <w:pPr>
        <w:spacing w:after="0" w:line="130" w:lineRule="exact"/>
        <w:rPr>
          <w:rFonts w:ascii="MS PGothic" w:cs="MS PGothic" w:eastAsia="MS PGothic" w:hAnsi="MS PGothic"/>
          <w:sz w:val="18"/>
          <w:szCs w:val="18"/>
          <w:color w:val="auto"/>
        </w:rPr>
      </w:pPr>
    </w:p>
    <w:p>
      <w:pPr>
        <w:ind w:left="740" w:hanging="532"/>
        <w:spacing w:after="0"/>
        <w:tabs>
          <w:tab w:leader="none" w:pos="740" w:val="left"/>
        </w:tabs>
        <w:numPr>
          <w:ilvl w:val="0"/>
          <w:numId w:val="17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Limited Liability Company</w:t>
      </w:r>
    </w:p>
    <w:p>
      <w:pPr>
        <w:spacing w:after="0" w:line="130" w:lineRule="exact"/>
        <w:rPr>
          <w:rFonts w:ascii="MS PGothic" w:cs="MS PGothic" w:eastAsia="MS PGothic" w:hAnsi="MS PGothic"/>
          <w:sz w:val="18"/>
          <w:szCs w:val="18"/>
          <w:color w:val="auto"/>
        </w:rPr>
      </w:pPr>
    </w:p>
    <w:p>
      <w:pPr>
        <w:ind w:left="740" w:hanging="532"/>
        <w:spacing w:after="0"/>
        <w:tabs>
          <w:tab w:leader="none" w:pos="740" w:val="left"/>
        </w:tabs>
        <w:numPr>
          <w:ilvl w:val="0"/>
          <w:numId w:val="17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Fund of Funds</w:t>
      </w:r>
    </w:p>
    <w:p>
      <w:pPr>
        <w:spacing w:after="0" w:line="130" w:lineRule="exact"/>
        <w:rPr>
          <w:rFonts w:ascii="MS PGothic" w:cs="MS PGothic" w:eastAsia="MS PGothic" w:hAnsi="MS PGothic"/>
          <w:sz w:val="18"/>
          <w:szCs w:val="18"/>
          <w:color w:val="auto"/>
        </w:rPr>
      </w:pPr>
    </w:p>
    <w:p>
      <w:pPr>
        <w:ind w:left="740" w:hanging="532"/>
        <w:spacing w:after="0"/>
        <w:tabs>
          <w:tab w:leader="none" w:pos="740" w:val="left"/>
        </w:tabs>
        <w:numPr>
          <w:ilvl w:val="0"/>
          <w:numId w:val="17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Governmental Entity</w:t>
      </w:r>
    </w:p>
    <w:p>
      <w:pPr>
        <w:spacing w:after="0" w:line="130" w:lineRule="exact"/>
        <w:rPr>
          <w:rFonts w:ascii="MS PGothic" w:cs="MS PGothic" w:eastAsia="MS PGothic" w:hAnsi="MS PGothic"/>
          <w:sz w:val="18"/>
          <w:szCs w:val="18"/>
          <w:color w:val="auto"/>
        </w:rPr>
      </w:pPr>
    </w:p>
    <w:p>
      <w:pPr>
        <w:ind w:left="740" w:hanging="532"/>
        <w:spacing w:after="0"/>
        <w:tabs>
          <w:tab w:leader="none" w:pos="740" w:val="left"/>
        </w:tabs>
        <w:numPr>
          <w:ilvl w:val="0"/>
          <w:numId w:val="17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Foundation</w:t>
      </w:r>
    </w:p>
    <w:p>
      <w:pPr>
        <w:spacing w:after="0" w:line="130" w:lineRule="exact"/>
        <w:rPr>
          <w:rFonts w:ascii="MS PGothic" w:cs="MS PGothic" w:eastAsia="MS PGothic" w:hAnsi="MS PGothic"/>
          <w:sz w:val="18"/>
          <w:szCs w:val="18"/>
          <w:color w:val="auto"/>
        </w:rPr>
      </w:pPr>
    </w:p>
    <w:p>
      <w:pPr>
        <w:ind w:left="740" w:hanging="532"/>
        <w:spacing w:after="0"/>
        <w:tabs>
          <w:tab w:leader="none" w:pos="740" w:val="left"/>
        </w:tabs>
        <w:numPr>
          <w:ilvl w:val="0"/>
          <w:numId w:val="17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Endowment</w:t>
      </w:r>
    </w:p>
    <w:p>
      <w:pPr>
        <w:spacing w:after="0" w:line="130" w:lineRule="exact"/>
        <w:rPr>
          <w:rFonts w:ascii="MS PGothic" w:cs="MS PGothic" w:eastAsia="MS PGothic" w:hAnsi="MS PGothic"/>
          <w:sz w:val="18"/>
          <w:szCs w:val="18"/>
          <w:color w:val="auto"/>
        </w:rPr>
      </w:pPr>
    </w:p>
    <w:p>
      <w:pPr>
        <w:ind w:left="740" w:hanging="532"/>
        <w:spacing w:after="0"/>
        <w:tabs>
          <w:tab w:leader="none" w:pos="740" w:val="left"/>
        </w:tabs>
        <w:numPr>
          <w:ilvl w:val="0"/>
          <w:numId w:val="17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Registered investment company under the 1940 Act</w:t>
      </w:r>
    </w:p>
    <w:p>
      <w:pPr>
        <w:spacing w:after="0" w:line="130" w:lineRule="exact"/>
        <w:rPr>
          <w:rFonts w:ascii="MS PGothic" w:cs="MS PGothic" w:eastAsia="MS PGothic" w:hAnsi="MS PGothic"/>
          <w:sz w:val="18"/>
          <w:szCs w:val="18"/>
          <w:color w:val="auto"/>
        </w:rPr>
      </w:pPr>
    </w:p>
    <w:p>
      <w:pPr>
        <w:ind w:left="740" w:hanging="532"/>
        <w:spacing w:after="0"/>
        <w:tabs>
          <w:tab w:leader="none" w:pos="740" w:val="left"/>
        </w:tabs>
        <w:numPr>
          <w:ilvl w:val="0"/>
          <w:numId w:val="17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Business Development Company (“BDC”) under the 1940 Act</w:t>
      </w:r>
    </w:p>
    <w:p>
      <w:pPr>
        <w:spacing w:after="0" w:line="130" w:lineRule="exact"/>
        <w:rPr>
          <w:rFonts w:ascii="MS PGothic" w:cs="MS PGothic" w:eastAsia="MS PGothic" w:hAnsi="MS PGothic"/>
          <w:sz w:val="18"/>
          <w:szCs w:val="18"/>
          <w:color w:val="auto"/>
        </w:rPr>
      </w:pPr>
    </w:p>
    <w:p>
      <w:pPr>
        <w:ind w:left="740" w:hanging="532"/>
        <w:spacing w:after="0"/>
        <w:tabs>
          <w:tab w:leader="none" w:pos="740" w:val="left"/>
        </w:tabs>
        <w:numPr>
          <w:ilvl w:val="0"/>
          <w:numId w:val="17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Entity relying on the exception from the definition of “investment company” under Section 3(c)(1) or 3(c)(7) of the 1940 Act</w:t>
      </w:r>
    </w:p>
    <w:p>
      <w:pPr>
        <w:spacing w:after="0" w:line="130" w:lineRule="exact"/>
        <w:rPr>
          <w:rFonts w:ascii="MS PGothic" w:cs="MS PGothic" w:eastAsia="MS PGothic" w:hAnsi="MS PGothic"/>
          <w:sz w:val="18"/>
          <w:szCs w:val="18"/>
          <w:color w:val="auto"/>
        </w:rPr>
      </w:pPr>
    </w:p>
    <w:p>
      <w:pPr>
        <w:ind w:left="740" w:hanging="532"/>
        <w:spacing w:after="0"/>
        <w:tabs>
          <w:tab w:leader="none" w:pos="740" w:val="left"/>
        </w:tabs>
        <w:numPr>
          <w:ilvl w:val="0"/>
          <w:numId w:val="17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Pension Plan</w:t>
      </w:r>
    </w:p>
    <w:p>
      <w:pPr>
        <w:spacing w:after="0" w:line="130" w:lineRule="exact"/>
        <w:rPr>
          <w:rFonts w:ascii="MS PGothic" w:cs="MS PGothic" w:eastAsia="MS PGothic" w:hAnsi="MS PGothic"/>
          <w:sz w:val="18"/>
          <w:szCs w:val="18"/>
          <w:color w:val="auto"/>
        </w:rPr>
      </w:pPr>
    </w:p>
    <w:p>
      <w:pPr>
        <w:ind w:left="740" w:hanging="532"/>
        <w:spacing w:after="0"/>
        <w:tabs>
          <w:tab w:leader="none" w:pos="740" w:val="left"/>
        </w:tabs>
        <w:numPr>
          <w:ilvl w:val="0"/>
          <w:numId w:val="17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Other. Please specify: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1468120</wp:posOffset>
            </wp:positionH>
            <wp:positionV relativeFrom="paragraph">
              <wp:posOffset>-7620</wp:posOffset>
            </wp:positionV>
            <wp:extent cx="257048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570480" cy="8890"/>
                    </a:xfrm>
                    <a:prstGeom prst="rect">
                      <a:avLst/>
                    </a:prstGeom>
                    <a:noFill/>
                  </pic:spPr>
                </pic:pic>
              </a:graphicData>
            </a:graphic>
          </wp:anchor>
        </w:drawing>
      </w:r>
    </w:p>
    <w:p>
      <w:pPr>
        <w:spacing w:after="0" w:line="82" w:lineRule="exact"/>
        <w:rPr>
          <w:sz w:val="20"/>
          <w:szCs w:val="20"/>
          <w:color w:val="auto"/>
        </w:rPr>
      </w:pPr>
    </w:p>
    <w:p>
      <w:pPr>
        <w:ind w:left="740" w:hanging="532"/>
        <w:spacing w:after="0" w:line="207" w:lineRule="exact"/>
        <w:tabs>
          <w:tab w:leader="none" w:pos="74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Are you subscribing for Shares with one or more co-owners?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4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If YES, please indicate after your names in Section II if you will hold as joint tenants with rights of survivorship, tenants by the entirety or tenants in common. </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xml:space="preserve"> If any co-owner is not a subscriber’s spouse, each co-owner must complete a separate Investor Suitability Questionnaire.</w:t>
      </w:r>
    </w:p>
    <w:p>
      <w:pPr>
        <w:spacing w:after="0" w:line="67" w:lineRule="exact"/>
        <w:rPr>
          <w:sz w:val="20"/>
          <w:szCs w:val="20"/>
          <w:color w:val="auto"/>
        </w:rPr>
      </w:pPr>
    </w:p>
    <w:p>
      <w:pPr>
        <w:ind w:left="740" w:hanging="532"/>
        <w:spacing w:after="0"/>
        <w:tabs>
          <w:tab w:leader="none" w:pos="74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subscriber is a trust, please complete (C)(1) and (C)(2) below:</w:t>
      </w:r>
    </w:p>
    <w:p>
      <w:pPr>
        <w:spacing w:after="0" w:line="102" w:lineRule="exact"/>
        <w:rPr>
          <w:sz w:val="20"/>
          <w:szCs w:val="20"/>
          <w:color w:val="auto"/>
        </w:rPr>
      </w:pPr>
    </w:p>
    <w:p>
      <w:pPr>
        <w:ind w:left="200"/>
        <w:spacing w:after="0" w:line="207" w:lineRule="exact"/>
        <w:tabs>
          <w:tab w:leader="none" w:pos="720" w:val="left"/>
          <w:tab w:leader="none" w:pos="5560" w:val="left"/>
          <w:tab w:leader="none" w:pos="634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8"/>
          <w:szCs w:val="18"/>
          <w:color w:val="auto"/>
        </w:rPr>
        <w:t>Is the subscriber a revocable trust?</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YES</w:t>
      </w:r>
      <w:r>
        <w:rPr>
          <w:sz w:val="20"/>
          <w:szCs w:val="20"/>
          <w:color w:val="auto"/>
        </w:rPr>
        <w:tab/>
      </w:r>
      <w:r>
        <w:rPr>
          <w:rFonts w:ascii="MS PGothic" w:cs="MS PGothic" w:eastAsia="MS PGothic" w:hAnsi="MS PGothic"/>
          <w:sz w:val="16"/>
          <w:szCs w:val="16"/>
          <w:color w:val="auto"/>
        </w:rPr>
        <w:t xml:space="preserve">☐ </w:t>
      </w:r>
      <w:r>
        <w:rPr>
          <w:rFonts w:ascii="Times New Roman" w:cs="Times New Roman" w:eastAsia="Times New Roman" w:hAnsi="Times New Roman"/>
          <w:sz w:val="16"/>
          <w:szCs w:val="16"/>
          <w:color w:val="auto"/>
        </w:rPr>
        <w:t>NO</w:t>
      </w:r>
    </w:p>
    <w:p>
      <w:pPr>
        <w:spacing w:after="0" w:line="146"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 xml:space="preserve">If YES, </w:t>
      </w:r>
      <w:r>
        <w:rPr>
          <w:rFonts w:ascii="Times New Roman" w:cs="Times New Roman" w:eastAsia="Times New Roman" w:hAnsi="Times New Roman"/>
          <w:sz w:val="18"/>
          <w:szCs w:val="18"/>
          <w:u w:val="single" w:color="auto"/>
          <w:color w:val="auto"/>
        </w:rPr>
        <w:t>each grantor</w:t>
      </w:r>
      <w:r>
        <w:rPr>
          <w:rFonts w:ascii="Times New Roman" w:cs="Times New Roman" w:eastAsia="Times New Roman" w:hAnsi="Times New Roman"/>
          <w:sz w:val="18"/>
          <w:szCs w:val="18"/>
          <w:color w:val="auto"/>
        </w:rPr>
        <w:t xml:space="preserve"> of the revocable trust must complete and execute a Subscription Booklet as if the grantor were subscribing for Shares. In the event that the grantor revokes the trust, such grantor shall also thereafter be liable for all obligations of the trust as an investor of the Company and such revocation may be deemed to be a transfer of the Shares.</w:t>
      </w:r>
    </w:p>
    <w:p>
      <w:pPr>
        <w:spacing w:after="0" w:line="53" w:lineRule="exact"/>
        <w:rPr>
          <w:sz w:val="20"/>
          <w:szCs w:val="20"/>
          <w:color w:val="auto"/>
        </w:rPr>
      </w:pPr>
    </w:p>
    <w:tbl>
      <w:tblPr>
        <w:tblLayout w:type="fixed"/>
        <w:tblInd w:w="200" w:type="dxa"/>
        <w:tblCellMar>
          <w:top w:w="0" w:type="dxa"/>
          <w:left w:w="0" w:type="dxa"/>
          <w:bottom w:w="0" w:type="dxa"/>
          <w:right w:w="0" w:type="dxa"/>
        </w:tblCellMar>
      </w:tblPr>
      <w:tr>
        <w:trPr>
          <w:trHeight w:val="283"/>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4980" w:type="dxa"/>
            <w:vAlign w:val="bottom"/>
            <w:gridSpan w:val="7"/>
          </w:tcPr>
          <w:p>
            <w:pPr>
              <w:ind w:left="140"/>
              <w:spacing w:after="0"/>
              <w:rPr>
                <w:sz w:val="20"/>
                <w:szCs w:val="20"/>
                <w:color w:val="auto"/>
              </w:rPr>
            </w:pPr>
            <w:r>
              <w:rPr>
                <w:rFonts w:ascii="Times New Roman" w:cs="Times New Roman" w:eastAsia="Times New Roman" w:hAnsi="Times New Roman"/>
                <w:sz w:val="18"/>
                <w:szCs w:val="18"/>
                <w:color w:val="auto"/>
              </w:rPr>
              <w:t>Is the subscriber a charitable remainder trust?</w:t>
            </w:r>
          </w:p>
        </w:tc>
        <w:tc>
          <w:tcPr>
            <w:tcW w:w="680" w:type="dxa"/>
            <w:vAlign w:val="bottom"/>
          </w:tcPr>
          <w:p>
            <w:pPr>
              <w:ind w:left="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w:t>
            </w:r>
          </w:p>
        </w:tc>
        <w:tc>
          <w:tcPr>
            <w:tcW w:w="580" w:type="dxa"/>
            <w:vAlign w:val="bottom"/>
          </w:tcPr>
          <w:p>
            <w:pPr>
              <w:ind w:left="100"/>
              <w:spacing w:after="0" w:line="207" w:lineRule="exact"/>
              <w:rPr>
                <w:sz w:val="20"/>
                <w:szCs w:val="20"/>
                <w:color w:val="auto"/>
              </w:rPr>
            </w:pPr>
            <w:r>
              <w:rPr>
                <w:rFonts w:ascii="MS PGothic" w:cs="MS PGothic" w:eastAsia="MS PGothic" w:hAnsi="MS PGothic"/>
                <w:sz w:val="18"/>
                <w:szCs w:val="18"/>
                <w:color w:val="auto"/>
                <w:w w:val="94"/>
              </w:rPr>
              <w:t>☐</w:t>
            </w:r>
            <w:r>
              <w:rPr>
                <w:rFonts w:ascii="Times New Roman" w:cs="Times New Roman" w:eastAsia="Times New Roman" w:hAnsi="Times New Roman"/>
                <w:sz w:val="18"/>
                <w:szCs w:val="18"/>
                <w:color w:val="auto"/>
                <w:w w:val="94"/>
              </w:rPr>
              <w:t xml:space="preserve"> NO</w:t>
            </w:r>
          </w:p>
        </w:tc>
      </w:tr>
      <w:tr>
        <w:trPr>
          <w:trHeight w:val="398"/>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(D)</w:t>
            </w:r>
          </w:p>
        </w:tc>
        <w:tc>
          <w:tcPr>
            <w:tcW w:w="4980" w:type="dxa"/>
            <w:vAlign w:val="bottom"/>
            <w:gridSpan w:val="7"/>
          </w:tcPr>
          <w:p>
            <w:pPr>
              <w:ind w:left="140"/>
              <w:spacing w:after="0"/>
              <w:rPr>
                <w:sz w:val="20"/>
                <w:szCs w:val="20"/>
                <w:color w:val="auto"/>
              </w:rPr>
            </w:pPr>
            <w:r>
              <w:rPr>
                <w:rFonts w:ascii="Times New Roman" w:cs="Times New Roman" w:eastAsia="Times New Roman" w:hAnsi="Times New Roman"/>
                <w:sz w:val="18"/>
                <w:szCs w:val="18"/>
                <w:color w:val="auto"/>
              </w:rPr>
              <w:t>Is the subscriber a governmental plan (a “Governmental Plan</w:t>
            </w:r>
          </w:p>
        </w:tc>
        <w:tc>
          <w:tcPr>
            <w:tcW w:w="680" w:type="dxa"/>
            <w:vAlign w:val="bottom"/>
          </w:tcPr>
          <w:p>
            <w:pPr>
              <w:ind w:left="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w:t>
            </w:r>
          </w:p>
        </w:tc>
        <w:tc>
          <w:tcPr>
            <w:tcW w:w="580" w:type="dxa"/>
            <w:vAlign w:val="bottom"/>
          </w:tcPr>
          <w:p>
            <w:pPr>
              <w:ind w:left="1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NO</w:t>
            </w:r>
          </w:p>
        </w:tc>
      </w:tr>
      <w:tr>
        <w:trPr>
          <w:trHeight w:val="20"/>
        </w:trPr>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Investor”) as defined in Section 3(32) of the U.S. Employee</w:t>
            </w: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
        </w:trPr>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Retirement Income Security Act of 1974, as amended (“ERISA”)?</w:t>
            </w: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
        </w:trPr>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bl>
    <w:p>
      <w:pPr>
        <w:sectPr>
          <w:pgSz w:w="11900" w:h="16838" w:orient="portrait"/>
          <w:cols w:equalWidth="0" w:num="1">
            <w:col w:w="10700"/>
          </w:cols>
          <w:pgMar w:left="660" w:top="266" w:right="539" w:bottom="1440" w:gutter="0" w:footer="0" w:header="0"/>
        </w:sectPr>
      </w:pPr>
    </w:p>
    <w:bookmarkStart w:id="187" w:name="page188"/>
    <w:bookmarkEnd w:id="187"/>
    <w:p>
      <w:pPr>
        <w:ind w:left="424"/>
        <w:spacing w:after="0" w:line="207" w:lineRule="exact"/>
        <w:tabs>
          <w:tab w:leader="none" w:pos="944" w:val="left"/>
          <w:tab w:leader="none" w:pos="6864" w:val="left"/>
          <w:tab w:leader="none" w:pos="766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w:t>
      </w:r>
      <w:r>
        <w:rPr>
          <w:sz w:val="20"/>
          <w:szCs w:val="20"/>
          <w:color w:val="auto"/>
        </w:rPr>
        <w:tab/>
      </w:r>
      <w:r>
        <w:rPr>
          <w:rFonts w:ascii="Times New Roman" w:cs="Times New Roman" w:eastAsia="Times New Roman" w:hAnsi="Times New Roman"/>
          <w:sz w:val="18"/>
          <w:szCs w:val="18"/>
          <w:color w:val="auto"/>
        </w:rPr>
        <w:t>Is the subscriber a nominee, custodian or person acting in a similar capacity?</w:t>
      </w:r>
      <w:r>
        <w:rPr>
          <w:rFonts w:ascii="Times New Roman" w:cs="Times New Roman" w:eastAsia="Times New Roman" w:hAnsi="Times New Roman"/>
          <w:sz w:val="15"/>
          <w:szCs w:val="15"/>
          <w:color w:val="auto"/>
        </w:rPr>
        <w:t>12</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YES</w:t>
      </w:r>
      <w:r>
        <w:rPr>
          <w:rFonts w:ascii="MS PGothic" w:cs="MS PGothic" w:eastAsia="MS PGothic" w:hAnsi="MS PGothic"/>
          <w:sz w:val="18"/>
          <w:szCs w:val="18"/>
          <w:color w:val="auto"/>
        </w:rPr>
        <w:tab/>
        <w:t xml:space="preserve">☐ </w:t>
      </w:r>
      <w:r>
        <w:rPr>
          <w:rFonts w:ascii="Times New Roman" w:cs="Times New Roman" w:eastAsia="Times New Roman" w:hAnsi="Times New Roman"/>
          <w:sz w:val="18"/>
          <w:szCs w:val="18"/>
          <w:color w:val="auto"/>
        </w:rPr>
        <w:t>NO</w:t>
      </w:r>
    </w:p>
    <w:p>
      <w:pPr>
        <w:spacing w:after="0" w:line="254" w:lineRule="exact"/>
        <w:rPr>
          <w:sz w:val="20"/>
          <w:szCs w:val="20"/>
          <w:color w:val="auto"/>
        </w:rPr>
      </w:pPr>
    </w:p>
    <w:p>
      <w:pPr>
        <w:jc w:val="both"/>
        <w:ind w:left="224" w:right="180"/>
        <w:spacing w:after="0" w:line="266" w:lineRule="auto"/>
        <w:rPr>
          <w:sz w:val="20"/>
          <w:szCs w:val="20"/>
          <w:color w:val="auto"/>
        </w:rPr>
      </w:pPr>
      <w:r>
        <w:rPr>
          <w:rFonts w:ascii="Times New Roman" w:cs="Times New Roman" w:eastAsia="Times New Roman" w:hAnsi="Times New Roman"/>
          <w:sz w:val="18"/>
          <w:szCs w:val="18"/>
          <w:color w:val="auto"/>
        </w:rPr>
        <w:t>If YES, the subscriber certifies that the full legal name of the Beneficial Owner and its state of residence or jurisdiction of organization is set forth below, and that that this Investor Suitability Questionnaire has been completed by the subscriber, on behalf of and at the direction of the Beneficial Owner, as if the Beneficial Owner were the “subscriber” for purposes of this Investor Suitability Questionnaire.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149225</wp:posOffset>
            </wp:positionV>
            <wp:extent cx="699516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0" w:lineRule="exact"/>
        <w:rPr>
          <w:sz w:val="20"/>
          <w:szCs w:val="20"/>
          <w:color w:val="auto"/>
        </w:rPr>
      </w:pPr>
    </w:p>
    <w:p>
      <w:pPr>
        <w:ind w:left="224"/>
        <w:spacing w:after="0"/>
        <w:rPr>
          <w:sz w:val="20"/>
          <w:szCs w:val="20"/>
          <w:color w:val="auto"/>
        </w:rPr>
      </w:pPr>
      <w:r>
        <w:rPr>
          <w:rFonts w:ascii="Times New Roman" w:cs="Times New Roman" w:eastAsia="Times New Roman" w:hAnsi="Times New Roman"/>
          <w:sz w:val="18"/>
          <w:szCs w:val="18"/>
          <w:color w:val="auto"/>
        </w:rPr>
        <w:t>Legal Name of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699516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0" w:lineRule="exact"/>
        <w:rPr>
          <w:sz w:val="20"/>
          <w:szCs w:val="20"/>
          <w:color w:val="auto"/>
        </w:rPr>
      </w:pPr>
    </w:p>
    <w:p>
      <w:pPr>
        <w:ind w:left="224"/>
        <w:spacing w:after="0"/>
        <w:rPr>
          <w:sz w:val="20"/>
          <w:szCs w:val="20"/>
          <w:color w:val="auto"/>
        </w:rPr>
      </w:pPr>
      <w:r>
        <w:rPr>
          <w:rFonts w:ascii="Times New Roman" w:cs="Times New Roman" w:eastAsia="Times New Roman" w:hAnsi="Times New Roman"/>
          <w:sz w:val="18"/>
          <w:szCs w:val="18"/>
          <w:color w:val="auto"/>
        </w:rPr>
        <w:t>State or country of residence or jurisdiction of organization (as applicable)</w:t>
      </w:r>
    </w:p>
    <w:p>
      <w:pPr>
        <w:spacing w:after="0" w:line="225" w:lineRule="exact"/>
        <w:rPr>
          <w:sz w:val="20"/>
          <w:szCs w:val="20"/>
          <w:color w:val="auto"/>
        </w:rPr>
      </w:pPr>
    </w:p>
    <w:p>
      <w:pPr>
        <w:ind w:left="224" w:right="100"/>
        <w:spacing w:after="0" w:line="282" w:lineRule="auto"/>
        <w:rPr>
          <w:sz w:val="20"/>
          <w:szCs w:val="20"/>
          <w:color w:val="auto"/>
        </w:rPr>
      </w:pPr>
      <w:r>
        <w:rPr>
          <w:rFonts w:ascii="Times New Roman" w:cs="Times New Roman" w:eastAsia="Times New Roman" w:hAnsi="Times New Roman"/>
          <w:sz w:val="18"/>
          <w:szCs w:val="18"/>
          <w:color w:val="auto"/>
        </w:rPr>
        <w:t xml:space="preserve">Except as described below, any purchase of Shares will be solely for the subscriber’s own account or the account of the Beneficial Owner identified above and not for the account of any other person or entity. </w:t>
      </w:r>
      <w:r>
        <w:rPr>
          <w:rFonts w:ascii="Times New Roman" w:cs="Times New Roman" w:eastAsia="Times New Roman" w:hAnsi="Times New Roman"/>
          <w:sz w:val="18"/>
          <w:szCs w:val="18"/>
          <w:i w:val="1"/>
          <w:iCs w:val="1"/>
          <w:color w:val="auto"/>
        </w:rPr>
        <w:t>(Set forth exceptions and give details. Attach additional pages if necessary.)</w:t>
      </w:r>
    </w:p>
    <w:p>
      <w:pPr>
        <w:spacing w:after="0" w:line="160" w:lineRule="exact"/>
        <w:rPr>
          <w:sz w:val="20"/>
          <w:szCs w:val="20"/>
          <w:color w:val="auto"/>
        </w:rPr>
      </w:pPr>
    </w:p>
    <w:p>
      <w:pPr>
        <w:ind w:left="424"/>
        <w:spacing w:after="0" w:line="207" w:lineRule="exact"/>
        <w:tabs>
          <w:tab w:leader="none" w:pos="944" w:val="left"/>
          <w:tab w:leader="none" w:pos="6864" w:val="left"/>
        </w:tabs>
        <w:rPr>
          <w:sz w:val="20"/>
          <w:szCs w:val="20"/>
          <w:color w:val="auto"/>
        </w:rPr>
      </w:pPr>
      <w:r>
        <w:rPr>
          <w:rFonts w:ascii="Times New Roman" w:cs="Times New Roman" w:eastAsia="Times New Roman" w:hAnsi="Times New Roman"/>
          <w:sz w:val="18"/>
          <w:szCs w:val="18"/>
          <w:color w:val="auto"/>
        </w:rPr>
        <w:t>(F)</w:t>
      </w:r>
      <w:r>
        <w:rPr>
          <w:sz w:val="20"/>
          <w:szCs w:val="20"/>
          <w:color w:val="auto"/>
        </w:rPr>
        <w:tab/>
      </w:r>
      <w:r>
        <w:rPr>
          <w:rFonts w:ascii="Times New Roman" w:cs="Times New Roman" w:eastAsia="Times New Roman" w:hAnsi="Times New Roman"/>
          <w:sz w:val="18"/>
          <w:szCs w:val="18"/>
          <w:color w:val="auto"/>
        </w:rPr>
        <w:t>Is the subscriber a “U.S. Person” as defined in Rule 902 under the 1933 Act?</w:t>
      </w:r>
      <w:r>
        <w:rPr>
          <w:rFonts w:ascii="Times New Roman" w:cs="Times New Roman" w:eastAsia="Times New Roman" w:hAnsi="Times New Roman"/>
          <w:sz w:val="15"/>
          <w:szCs w:val="15"/>
          <w:color w:val="auto"/>
        </w:rPr>
        <w:t>13</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YES</w:t>
      </w:r>
      <w:r>
        <w:rPr>
          <w:rFonts w:ascii="MS PGothic" w:cs="MS PGothic" w:eastAsia="MS PGothic" w:hAnsi="MS PGothic"/>
          <w:sz w:val="18"/>
          <w:szCs w:val="18"/>
          <w:color w:val="auto"/>
        </w:rPr>
        <w:t xml:space="preserve">  ☐ </w:t>
      </w:r>
      <w:r>
        <w:rPr>
          <w:rFonts w:ascii="Times New Roman" w:cs="Times New Roman" w:eastAsia="Times New Roman" w:hAnsi="Times New Roman"/>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284480</wp:posOffset>
            </wp:positionV>
            <wp:extent cx="77152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ind w:left="424" w:right="40" w:hanging="424"/>
        <w:spacing w:after="0" w:line="255" w:lineRule="auto"/>
        <w:tabs>
          <w:tab w:leader="none" w:pos="424" w:val="left"/>
        </w:tabs>
        <w:numPr>
          <w:ilvl w:val="0"/>
          <w:numId w:val="17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By checking YES, the subscriber certifies that it is acting as a nominee, custodian or in a similar capacity, in each case in which the person (the “</w:t>
      </w:r>
      <w:r>
        <w:rPr>
          <w:rFonts w:ascii="Times New Roman" w:cs="Times New Roman" w:eastAsia="Times New Roman" w:hAnsi="Times New Roman"/>
          <w:sz w:val="18"/>
          <w:szCs w:val="18"/>
          <w:u w:val="single" w:color="auto"/>
          <w:color w:val="auto"/>
        </w:rPr>
        <w:t>Beneficial Owner</w:t>
      </w:r>
      <w:r>
        <w:rPr>
          <w:rFonts w:ascii="Times New Roman" w:cs="Times New Roman" w:eastAsia="Times New Roman" w:hAnsi="Times New Roman"/>
          <w:sz w:val="18"/>
          <w:szCs w:val="18"/>
          <w:color w:val="auto"/>
        </w:rPr>
        <w:t>”) for whom the prospective investor is acting (A) has the sole power to direct the acquisition, disposition and voting of the Shares (i.e., the nominee, custodian or person acting in a similar capacity will acquire, dispose of and vote the Shares solely at the direction of the Beneficial Owner) and (B) will be the sole beneficiary of any and all Shares (whether economic, voting or otherwise) relating to the Shares.</w:t>
      </w:r>
    </w:p>
    <w:p>
      <w:pPr>
        <w:spacing w:after="0" w:line="2" w:lineRule="exact"/>
        <w:rPr>
          <w:rFonts w:ascii="Times New Roman" w:cs="Times New Roman" w:eastAsia="Times New Roman" w:hAnsi="Times New Roman"/>
          <w:sz w:val="15"/>
          <w:szCs w:val="15"/>
          <w:color w:val="auto"/>
        </w:rPr>
      </w:pPr>
    </w:p>
    <w:p>
      <w:pPr>
        <w:ind w:left="424" w:hanging="424"/>
        <w:spacing w:after="0" w:line="251" w:lineRule="auto"/>
        <w:tabs>
          <w:tab w:leader="none" w:pos="424" w:val="left"/>
        </w:tabs>
        <w:numPr>
          <w:ilvl w:val="0"/>
          <w:numId w:val="17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U.S. person</w:t>
      </w:r>
      <w:r>
        <w:rPr>
          <w:rFonts w:ascii="Times New Roman" w:cs="Times New Roman" w:eastAsia="Times New Roman" w:hAnsi="Times New Roman"/>
          <w:sz w:val="18"/>
          <w:szCs w:val="18"/>
          <w:color w:val="auto"/>
        </w:rPr>
        <w:t>” for this purpose is generally (i) any natural person resident in the United States; (ii) any partnership or corporation organized or incorporated under the laws of the United States; (iii) any estate of which any executor or administrator is a U.S. person; (iv) any trust of which any trustee is a U.S. person; (v) any agency or branch of a foreign entity located in the United States; (vi) any non-discretionary account or similar account (other than an estate or trust) held by a dealer or other fiduciary for the benefit or account of a U.S. person; (vii) any discretionary account or similar account (other than an estate or trust) held by a dealer or other fiduciary organized, incorporated or (if an individual) resident in the United States; and (viii) any partnership or corporation if (A) organized or incorporated under the laws of any foreign jurisdiction and (B) formed by a U.S. person principally for the purpose of investing in securities not registered under the 1933 Act, unless it is organized or incorporated, and owned, by Accredited Investors who are not natural persons, estates or trusts. In addition, the following are not U.S. persons: (i) any discretionary account or similar account (other than an estate or trust) held for the benefit or account of a non-U.S. person by a dealer or other professional fiduciary organized, incorporated or (if an individual) resident in the United States; (ii) any estate of which any professional fiduciary acting as executor or administrator is a U.S. person if (A) an executor or administrator of the estate who is not a U.S. person has sole or shared investment discretion with respect to the assets of the estate and (B) the estate is governed by foreign law; (iii) any trust of which any professional fiduciary acting as trustee is a U.S. person, if a trustee who is not a U.S. person has sole or shared investment discretion with respect to the trust assets, and no beneficiary of the trust (and no settlor if the trust is revocable) is a U.S. person; (iv) an employee benefit plan established and administered in accordance with the law of a country other than the United States and customary practices and documentation of such country; and (v) any agency or branch of a U.S. person located outside the United States if (A) the agency or branch operates for valid business reasons and (B) the agency or branch is engaged in the business of insurance or banking and is subject to substantive insurance or banking regulation, respectively, in the jurisdiction where located.</w:t>
      </w:r>
    </w:p>
    <w:p>
      <w:pPr>
        <w:sectPr>
          <w:pgSz w:w="11900" w:h="16838" w:orient="portrait"/>
          <w:cols w:equalWidth="0" w:num="1">
            <w:col w:w="10964"/>
          </w:cols>
          <w:pgMar w:left="436" w:top="241" w:right="499" w:bottom="1440" w:gutter="0" w:footer="0" w:header="0"/>
        </w:sectPr>
      </w:pPr>
    </w:p>
    <w:bookmarkStart w:id="188" w:name="page189"/>
    <w:bookmarkEnd w:id="188"/>
    <w:p>
      <w:pPr>
        <w:spacing w:after="0" w:line="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364"/>
        <w:spacing w:after="0"/>
        <w:rPr>
          <w:sz w:val="20"/>
          <w:szCs w:val="20"/>
          <w:color w:val="auto"/>
        </w:rPr>
      </w:pPr>
      <w:r>
        <w:rPr>
          <w:rFonts w:ascii="Times New Roman" w:cs="Times New Roman" w:eastAsia="Times New Roman" w:hAnsi="Times New Roman"/>
          <w:sz w:val="18"/>
          <w:szCs w:val="18"/>
          <w:color w:val="auto"/>
        </w:rPr>
        <w:t>(G)   Is the subscriber a BHC Subscriber?</w:t>
      </w:r>
      <w:r>
        <w:rPr>
          <w:rFonts w:ascii="Times New Roman" w:cs="Times New Roman" w:eastAsia="Times New Roman" w:hAnsi="Times New Roman"/>
          <w:sz w:val="15"/>
          <w:szCs w:val="15"/>
          <w:color w:val="auto"/>
        </w:rPr>
        <w:t>14</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YES</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t>
      </w:r>
    </w:p>
    <w:p>
      <w:pPr>
        <w:spacing w:after="0" w:line="88" w:lineRule="exact"/>
        <w:rPr>
          <w:sz w:val="20"/>
          <w:szCs w:val="20"/>
          <w:color w:val="auto"/>
        </w:rPr>
      </w:pPr>
    </w:p>
    <w:p>
      <w:pPr>
        <w:sectPr>
          <w:pgSz w:w="11900" w:h="16838" w:orient="portrait"/>
          <w:cols w:equalWidth="0" w:num="4">
            <w:col w:w="8644" w:space="720"/>
            <w:col w:w="540" w:space="240"/>
            <w:col w:w="160" w:space="40"/>
            <w:col w:w="620"/>
          </w:cols>
          <w:pgMar w:left="436" w:top="241" w:right="499" w:bottom="1440" w:gutter="0" w:footer="0" w:header="0"/>
        </w:sectPr>
      </w:pPr>
    </w:p>
    <w:p>
      <w:pPr>
        <w:spacing w:after="0" w:line="29"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17"/>
          <w:szCs w:val="17"/>
          <w:color w:val="auto"/>
        </w:rPr>
        <w:t>(H)   Is the subscriber subject to the U.S. Freedom of</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YES</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t>
      </w:r>
    </w:p>
    <w:p>
      <w:pPr>
        <w:spacing w:after="0" w:line="36" w:lineRule="exact"/>
        <w:rPr>
          <w:sz w:val="20"/>
          <w:szCs w:val="20"/>
          <w:color w:val="auto"/>
        </w:rPr>
      </w:pPr>
    </w:p>
    <w:p>
      <w:pPr>
        <w:sectPr>
          <w:pgSz w:w="11900" w:h="16838" w:orient="portrait"/>
          <w:cols w:equalWidth="0" w:num="5">
            <w:col w:w="8644" w:space="720"/>
            <w:col w:w="160" w:space="60"/>
            <w:col w:w="340" w:space="220"/>
            <w:col w:w="160" w:space="40"/>
            <w:col w:w="620"/>
          </w:cols>
          <w:pgMar w:left="436" w:top="241" w:right="499" w:bottom="1440" w:gutter="0" w:footer="0" w:header="0"/>
          <w:type w:val="continuous"/>
        </w:sectPr>
      </w:pPr>
    </w:p>
    <w:p>
      <w:pPr>
        <w:ind w:left="364"/>
        <w:spacing w:after="0"/>
        <w:rPr>
          <w:sz w:val="20"/>
          <w:szCs w:val="20"/>
          <w:color w:val="auto"/>
        </w:rPr>
      </w:pPr>
      <w:r>
        <w:rPr>
          <w:rFonts w:ascii="Times New Roman" w:cs="Times New Roman" w:eastAsia="Times New Roman" w:hAnsi="Times New Roman"/>
          <w:sz w:val="18"/>
          <w:szCs w:val="18"/>
          <w:color w:val="auto"/>
        </w:rPr>
        <w:t>       Information Act, or any similar statutory or regulatory</w:t>
      </w:r>
    </w:p>
    <w:p>
      <w:pPr>
        <w:ind w:left="364"/>
        <w:spacing w:after="0"/>
        <w:rPr>
          <w:sz w:val="20"/>
          <w:szCs w:val="20"/>
          <w:color w:val="auto"/>
        </w:rPr>
      </w:pPr>
      <w:r>
        <w:rPr>
          <w:rFonts w:ascii="Times New Roman" w:cs="Times New Roman" w:eastAsia="Times New Roman" w:hAnsi="Times New Roman"/>
          <w:sz w:val="17"/>
          <w:szCs w:val="17"/>
          <w:color w:val="auto"/>
        </w:rPr>
        <w:t>       disclosure requirement of any state or other jurisdiction?</w:t>
      </w:r>
    </w:p>
    <w:p>
      <w:pPr>
        <w:sectPr>
          <w:pgSz w:w="11900" w:h="16838" w:orient="portrait"/>
          <w:cols w:equalWidth="0" w:num="1">
            <w:col w:w="10964"/>
          </w:cols>
          <w:pgMar w:left="436" w:top="241" w:right="499" w:bottom="1440" w:gutter="0" w:footer="0" w:header="0"/>
          <w:type w:val="continuous"/>
        </w:sectPr>
      </w:pPr>
    </w:p>
    <w:p>
      <w:pPr>
        <w:spacing w:after="0" w:line="124" w:lineRule="exact"/>
        <w:rPr>
          <w:sz w:val="20"/>
          <w:szCs w:val="20"/>
          <w:color w:val="auto"/>
        </w:rPr>
      </w:pPr>
    </w:p>
    <w:p>
      <w:pPr>
        <w:ind w:left="224"/>
        <w:spacing w:after="0"/>
        <w:rPr>
          <w:sz w:val="20"/>
          <w:szCs w:val="20"/>
          <w:color w:val="auto"/>
        </w:rPr>
      </w:pPr>
      <w:r>
        <w:rPr>
          <w:rFonts w:ascii="Times New Roman" w:cs="Times New Roman" w:eastAsia="Times New Roman" w:hAnsi="Times New Roman"/>
          <w:sz w:val="17"/>
          <w:szCs w:val="17"/>
          <w:color w:val="auto"/>
        </w:rPr>
        <w:t>If YES, please indicate the relevant law(s) to which the subscriber is subject and provide any additional explanatory information in the space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187325</wp:posOffset>
            </wp:positionV>
            <wp:extent cx="699516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384810</wp:posOffset>
            </wp:positionV>
            <wp:extent cx="699516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581660</wp:posOffset>
            </wp:positionV>
            <wp:extent cx="699516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4"/>
          </w:cols>
          <w:pgMar w:left="436" w:top="241"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18"/>
          <w:szCs w:val="18"/>
          <w:color w:val="auto"/>
        </w:rPr>
        <w:t>(I)    Is the subscriber required, by regulation, contract 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YES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t>
      </w:r>
    </w:p>
    <w:p>
      <w:pPr>
        <w:spacing w:after="0" w:line="47" w:lineRule="exact"/>
        <w:rPr>
          <w:sz w:val="20"/>
          <w:szCs w:val="20"/>
          <w:color w:val="auto"/>
        </w:rPr>
      </w:pPr>
    </w:p>
    <w:p>
      <w:pPr>
        <w:sectPr>
          <w:pgSz w:w="11900" w:h="16838" w:orient="portrait"/>
          <w:cols w:equalWidth="0" w:num="5">
            <w:col w:w="8644" w:space="720"/>
            <w:col w:w="160" w:space="60"/>
            <w:col w:w="340" w:space="220"/>
            <w:col w:w="160" w:space="40"/>
            <w:col w:w="620"/>
          </w:cols>
          <w:pgMar w:left="436" w:top="241" w:right="499" w:bottom="1440" w:gutter="0" w:footer="0" w:header="0"/>
          <w:type w:val="continuous"/>
        </w:sectPr>
      </w:pPr>
    </w:p>
    <w:p>
      <w:pPr>
        <w:ind w:left="364"/>
        <w:spacing w:after="0"/>
        <w:rPr>
          <w:sz w:val="20"/>
          <w:szCs w:val="20"/>
          <w:color w:val="auto"/>
        </w:rPr>
      </w:pPr>
      <w:r>
        <w:rPr>
          <w:rFonts w:ascii="Times New Roman" w:cs="Times New Roman" w:eastAsia="Times New Roman" w:hAnsi="Times New Roman"/>
          <w:sz w:val="17"/>
          <w:szCs w:val="17"/>
          <w:color w:val="auto"/>
        </w:rPr>
        <w:t>       otherwise, to disclose information concerning the</w:t>
      </w:r>
    </w:p>
    <w:p>
      <w:pPr>
        <w:spacing w:after="0" w:line="1"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17"/>
          <w:szCs w:val="17"/>
          <w:color w:val="auto"/>
        </w:rPr>
        <w:t>       Company to a trading exchange or other market?</w:t>
      </w:r>
    </w:p>
    <w:p>
      <w:pPr>
        <w:sectPr>
          <w:pgSz w:w="11900" w:h="16838" w:orient="portrait"/>
          <w:cols w:equalWidth="0" w:num="1">
            <w:col w:w="10964"/>
          </w:cols>
          <w:pgMar w:left="436" w:top="241" w:right="499" w:bottom="1440" w:gutter="0" w:footer="0" w:header="0"/>
          <w:type w:val="continuous"/>
        </w:sectPr>
      </w:pPr>
    </w:p>
    <w:p>
      <w:pPr>
        <w:spacing w:after="0" w:line="124" w:lineRule="exact"/>
        <w:rPr>
          <w:sz w:val="20"/>
          <w:szCs w:val="20"/>
          <w:color w:val="auto"/>
        </w:rPr>
      </w:pPr>
    </w:p>
    <w:p>
      <w:pPr>
        <w:ind w:left="224"/>
        <w:spacing w:after="0" w:line="282" w:lineRule="auto"/>
        <w:rPr>
          <w:sz w:val="20"/>
          <w:szCs w:val="20"/>
          <w:color w:val="auto"/>
        </w:rPr>
      </w:pPr>
      <w:r>
        <w:rPr>
          <w:rFonts w:ascii="Times New Roman" w:cs="Times New Roman" w:eastAsia="Times New Roman" w:hAnsi="Times New Roman"/>
          <w:sz w:val="18"/>
          <w:szCs w:val="18"/>
          <w:color w:val="auto"/>
        </w:rPr>
        <w:t>If YES, please indicate the relevant requirement(s) to which the subscriber is subject and provide any additional explanatory information in the space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139700</wp:posOffset>
            </wp:positionV>
            <wp:extent cx="699516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337185</wp:posOffset>
            </wp:positionV>
            <wp:extent cx="699516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534035</wp:posOffset>
            </wp:positionV>
            <wp:extent cx="699516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739775</wp:posOffset>
            </wp:positionV>
            <wp:extent cx="77152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24" w:right="180" w:hanging="424"/>
        <w:spacing w:after="0" w:line="258" w:lineRule="auto"/>
        <w:tabs>
          <w:tab w:leader="none" w:pos="424" w:val="left"/>
        </w:tabs>
        <w:numPr>
          <w:ilvl w:val="0"/>
          <w:numId w:val="177"/>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BHC Subscriber</w:t>
      </w:r>
      <w:r>
        <w:rPr>
          <w:rFonts w:ascii="Times New Roman" w:cs="Times New Roman" w:eastAsia="Times New Roman" w:hAnsi="Times New Roman"/>
          <w:sz w:val="18"/>
          <w:szCs w:val="18"/>
          <w:color w:val="auto"/>
        </w:rPr>
        <w:t>” is defined as a subscriber that is a bank holding company, as defined in Section 2(a) of the Bank Holding Company Act of 1956, as amended (the “</w:t>
      </w:r>
      <w:r>
        <w:rPr>
          <w:rFonts w:ascii="Times New Roman" w:cs="Times New Roman" w:eastAsia="Times New Roman" w:hAnsi="Times New Roman"/>
          <w:sz w:val="18"/>
          <w:szCs w:val="18"/>
          <w:u w:val="single" w:color="auto"/>
          <w:color w:val="auto"/>
        </w:rPr>
        <w:t>BHC Act</w:t>
      </w:r>
      <w:r>
        <w:rPr>
          <w:rFonts w:ascii="Times New Roman" w:cs="Times New Roman" w:eastAsia="Times New Roman" w:hAnsi="Times New Roman"/>
          <w:sz w:val="18"/>
          <w:szCs w:val="18"/>
          <w:color w:val="auto"/>
        </w:rPr>
        <w:t>”), a non-bank subsidiary (for purposes of the BHC Act) of a bank holding company, a foreign banking organization, as defined in Regulation K of the Board of Governors of the Federal Reserve System (12 C.F.R. § 211.23) or any successor regulation, or a non-bank subsidiary (for purposes of the BHC Act) of a foreign banking organization which subsidiary is engaged, directly or indirectly in business in the United States and which in any case holds Shares for its own account.</w:t>
      </w:r>
    </w:p>
    <w:p>
      <w:pPr>
        <w:sectPr>
          <w:pgSz w:w="11900" w:h="16838" w:orient="portrait"/>
          <w:cols w:equalWidth="0" w:num="1">
            <w:col w:w="10964"/>
          </w:cols>
          <w:pgMar w:left="436" w:top="241" w:right="499" w:bottom="1440" w:gutter="0" w:footer="0" w:header="0"/>
          <w:type w:val="continuous"/>
        </w:sectPr>
      </w:pPr>
    </w:p>
    <w:bookmarkStart w:id="189" w:name="page190"/>
    <w:bookmarkEnd w:id="189"/>
    <w:p>
      <w:pPr>
        <w:ind w:left="424"/>
        <w:spacing w:after="0"/>
        <w:tabs>
          <w:tab w:leader="none" w:pos="94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IV.</w:t>
      </w:r>
      <w:r>
        <w:rPr>
          <w:sz w:val="20"/>
          <w:szCs w:val="20"/>
          <w:color w:val="auto"/>
        </w:rPr>
        <w:tab/>
      </w:r>
      <w:r>
        <w:rPr>
          <w:rFonts w:ascii="Times New Roman" w:cs="Times New Roman" w:eastAsia="Times New Roman" w:hAnsi="Times New Roman"/>
          <w:sz w:val="18"/>
          <w:szCs w:val="18"/>
          <w:b w:val="1"/>
          <w:bCs w:val="1"/>
          <w:color w:val="auto"/>
        </w:rPr>
        <w:t>Status as an Accredited Investor</w:t>
      </w:r>
    </w:p>
    <w:p>
      <w:pPr>
        <w:spacing w:after="0" w:line="121" w:lineRule="exact"/>
        <w:rPr>
          <w:sz w:val="20"/>
          <w:szCs w:val="20"/>
          <w:color w:val="auto"/>
        </w:rPr>
      </w:pPr>
    </w:p>
    <w:p>
      <w:pPr>
        <w:jc w:val="both"/>
        <w:ind w:left="4"/>
        <w:spacing w:after="0" w:line="266" w:lineRule="auto"/>
        <w:rPr>
          <w:sz w:val="20"/>
          <w:szCs w:val="20"/>
          <w:color w:val="auto"/>
        </w:rPr>
      </w:pPr>
      <w:r>
        <w:rPr>
          <w:rFonts w:ascii="Times New Roman" w:cs="Times New Roman" w:eastAsia="Times New Roman" w:hAnsi="Times New Roman"/>
          <w:sz w:val="18"/>
          <w:szCs w:val="18"/>
          <w:color w:val="auto"/>
        </w:rPr>
        <w:t>This offering is being made privately by the Company pursuant to the private placement exemption from registration provided by Section 4(a)(2) of the 1933 Act. Shares offered pursuant to the private placement exemption generally are available only to “accredited investors” as defined in Rule 501(a) of Regulation D (“</w:t>
      </w:r>
      <w:r>
        <w:rPr>
          <w:rFonts w:ascii="Times New Roman" w:cs="Times New Roman" w:eastAsia="Times New Roman" w:hAnsi="Times New Roman"/>
          <w:sz w:val="18"/>
          <w:szCs w:val="18"/>
          <w:u w:val="single" w:color="auto"/>
          <w:color w:val="auto"/>
        </w:rPr>
        <w:t>Accredited Investors</w:t>
      </w:r>
      <w:r>
        <w:rPr>
          <w:rFonts w:ascii="Times New Roman" w:cs="Times New Roman" w:eastAsia="Times New Roman" w:hAnsi="Times New Roman"/>
          <w:sz w:val="18"/>
          <w:szCs w:val="18"/>
          <w:color w:val="auto"/>
        </w:rPr>
        <w:t>”). The applicability of such exemption is in part dependent upon your answers to the following questions:</w:t>
      </w:r>
    </w:p>
    <w:p>
      <w:pPr>
        <w:spacing w:after="0" w:line="2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   If the subscriber is an individual:</w:t>
      </w:r>
    </w:p>
    <w:p>
      <w:pPr>
        <w:spacing w:after="0" w:line="117" w:lineRule="exact"/>
        <w:rPr>
          <w:sz w:val="20"/>
          <w:szCs w:val="20"/>
          <w:color w:val="auto"/>
        </w:rPr>
      </w:pPr>
    </w:p>
    <w:tbl>
      <w:tblPr>
        <w:tblLayout w:type="fixed"/>
        <w:tblInd w:w="364" w:type="dxa"/>
        <w:tblCellMar>
          <w:top w:w="0" w:type="dxa"/>
          <w:left w:w="0" w:type="dxa"/>
          <w:bottom w:w="0" w:type="dxa"/>
          <w:right w:w="0" w:type="dxa"/>
        </w:tblCellMar>
      </w:tblPr>
      <w:tr>
        <w:trPr>
          <w:trHeight w:val="216"/>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    Does the subscriber have an individual net worth</w:t>
            </w:r>
            <w:r>
              <w:rPr>
                <w:rFonts w:ascii="Times New Roman" w:cs="Times New Roman" w:eastAsia="Times New Roman" w:hAnsi="Times New Roman"/>
                <w:sz w:val="15"/>
                <w:szCs w:val="15"/>
                <w:color w:val="auto"/>
              </w:rPr>
              <w:t>15</w:t>
            </w:r>
            <w:r>
              <w:rPr>
                <w:rFonts w:ascii="Times New Roman" w:cs="Times New Roman" w:eastAsia="Times New Roman" w:hAnsi="Times New Roman"/>
                <w:sz w:val="18"/>
                <w:szCs w:val="18"/>
                <w:color w:val="auto"/>
              </w:rPr>
              <w:t xml:space="preserve"> or joint net worth</w:t>
            </w:r>
            <w:r>
              <w:rPr>
                <w:rFonts w:ascii="Times New Roman" w:cs="Times New Roman" w:eastAsia="Times New Roman" w:hAnsi="Times New Roman"/>
                <w:sz w:val="15"/>
                <w:szCs w:val="15"/>
                <w:color w:val="auto"/>
              </w:rPr>
              <w:t>16</w:t>
            </w:r>
          </w:p>
        </w:tc>
        <w:tc>
          <w:tcPr>
            <w:tcW w:w="1180" w:type="dxa"/>
            <w:vAlign w:val="bottom"/>
            <w:vMerge w:val="restart"/>
          </w:tcPr>
          <w:p>
            <w:pPr>
              <w:ind w:left="5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w:t>
            </w:r>
          </w:p>
        </w:tc>
        <w:tc>
          <w:tcPr>
            <w:tcW w:w="580" w:type="dxa"/>
            <w:vAlign w:val="bottom"/>
            <w:vMerge w:val="restart"/>
          </w:tcPr>
          <w:p>
            <w:pPr>
              <w:ind w:left="120"/>
              <w:spacing w:after="0" w:line="207" w:lineRule="exact"/>
              <w:rPr>
                <w:sz w:val="20"/>
                <w:szCs w:val="20"/>
                <w:color w:val="auto"/>
              </w:rPr>
            </w:pPr>
            <w:r>
              <w:rPr>
                <w:rFonts w:ascii="MS PGothic" w:cs="MS PGothic" w:eastAsia="MS PGothic" w:hAnsi="MS PGothic"/>
                <w:sz w:val="18"/>
                <w:szCs w:val="18"/>
                <w:color w:val="auto"/>
                <w:w w:val="90"/>
              </w:rPr>
              <w:t>☐</w:t>
            </w:r>
            <w:r>
              <w:rPr>
                <w:rFonts w:ascii="Times New Roman" w:cs="Times New Roman" w:eastAsia="Times New Roman" w:hAnsi="Times New Roman"/>
                <w:sz w:val="18"/>
                <w:szCs w:val="18"/>
                <w:color w:val="auto"/>
                <w:w w:val="90"/>
              </w:rPr>
              <w:t xml:space="preserve"> NO</w:t>
            </w:r>
          </w:p>
        </w:tc>
        <w:tc>
          <w:tcPr>
            <w:tcW w:w="0" w:type="dxa"/>
            <w:vAlign w:val="bottom"/>
          </w:tcPr>
          <w:p>
            <w:pPr>
              <w:spacing w:after="0"/>
              <w:rPr>
                <w:sz w:val="1"/>
                <w:szCs w:val="1"/>
                <w:color w:val="auto"/>
              </w:rPr>
            </w:pPr>
          </w:p>
        </w:tc>
      </w:tr>
      <w:tr>
        <w:trPr>
          <w:trHeight w:val="268"/>
        </w:trPr>
        <w:tc>
          <w:tcPr>
            <w:tcW w:w="160" w:type="dxa"/>
            <w:vAlign w:val="bottom"/>
          </w:tcPr>
          <w:p>
            <w:pPr>
              <w:spacing w:after="0"/>
              <w:rPr>
                <w:sz w:val="20"/>
                <w:szCs w:val="20"/>
                <w:color w:val="auto"/>
              </w:rPr>
            </w:pPr>
            <w:r>
              <w:rPr>
                <w:rFonts w:ascii="Times New Roman" w:cs="Times New Roman" w:eastAsia="Times New Roman" w:hAnsi="Times New Roman"/>
                <w:sz w:val="15"/>
                <w:szCs w:val="15"/>
                <w:color w:val="auto"/>
                <w:w w:val="74"/>
              </w:rPr>
              <w:t>  </w:t>
            </w:r>
          </w:p>
        </w:tc>
        <w:tc>
          <w:tcPr>
            <w:tcW w:w="6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with his or her spouse (or spousal equivalent</w:t>
            </w:r>
            <w:r>
              <w:rPr>
                <w:rFonts w:ascii="Times New Roman" w:cs="Times New Roman" w:eastAsia="Times New Roman" w:hAnsi="Times New Roman"/>
                <w:sz w:val="15"/>
                <w:szCs w:val="15"/>
                <w:color w:val="auto"/>
              </w:rPr>
              <w:t>17</w:t>
            </w:r>
            <w:r>
              <w:rPr>
                <w:rFonts w:ascii="Times New Roman" w:cs="Times New Roman" w:eastAsia="Times New Roman" w:hAnsi="Times New Roman"/>
                <w:sz w:val="18"/>
                <w:szCs w:val="18"/>
                <w:color w:val="auto"/>
              </w:rPr>
              <w:t>) exceeding $1,000,000?</w:t>
            </w:r>
          </w:p>
        </w:tc>
        <w:tc>
          <w:tcPr>
            <w:tcW w:w="1180" w:type="dxa"/>
            <w:vAlign w:val="bottom"/>
            <w:vMerge w:val="continue"/>
          </w:tcPr>
          <w:p>
            <w:pPr>
              <w:spacing w:after="0"/>
              <w:rPr>
                <w:sz w:val="23"/>
                <w:szCs w:val="23"/>
                <w:color w:val="auto"/>
              </w:rPr>
            </w:pPr>
          </w:p>
        </w:tc>
        <w:tc>
          <w:tcPr>
            <w:tcW w:w="5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    Does the subscriber have an individual income</w:t>
            </w:r>
            <w:r>
              <w:rPr>
                <w:rFonts w:ascii="Times New Roman" w:cs="Times New Roman" w:eastAsia="Times New Roman" w:hAnsi="Times New Roman"/>
                <w:sz w:val="15"/>
                <w:szCs w:val="15"/>
                <w:color w:val="auto"/>
              </w:rPr>
              <w:t>18</w:t>
            </w:r>
            <w:r>
              <w:rPr>
                <w:rFonts w:ascii="Times New Roman" w:cs="Times New Roman" w:eastAsia="Times New Roman" w:hAnsi="Times New Roman"/>
                <w:sz w:val="18"/>
                <w:szCs w:val="18"/>
                <w:color w:val="auto"/>
              </w:rPr>
              <w:t xml:space="preserve"> in excess of $200,000 in</w:t>
            </w:r>
          </w:p>
        </w:tc>
        <w:tc>
          <w:tcPr>
            <w:tcW w:w="1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20"/>
                <w:szCs w:val="20"/>
                <w:color w:val="auto"/>
              </w:rPr>
            </w:pPr>
            <w:r>
              <w:rPr>
                <w:rFonts w:ascii="Times New Roman" w:cs="Times New Roman" w:eastAsia="Times New Roman" w:hAnsi="Times New Roman"/>
                <w:sz w:val="15"/>
                <w:szCs w:val="15"/>
                <w:color w:val="auto"/>
                <w:w w:val="74"/>
              </w:rPr>
              <w:t>  </w:t>
            </w:r>
          </w:p>
        </w:tc>
        <w:tc>
          <w:tcPr>
            <w:tcW w:w="6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each of the two most recent years or joint income with his or her spouse</w:t>
            </w:r>
          </w:p>
        </w:tc>
        <w:tc>
          <w:tcPr>
            <w:tcW w:w="1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20"/>
                <w:szCs w:val="20"/>
                <w:color w:val="auto"/>
              </w:rPr>
            </w:pPr>
            <w:r>
              <w:rPr>
                <w:rFonts w:ascii="Times New Roman" w:cs="Times New Roman" w:eastAsia="Times New Roman" w:hAnsi="Times New Roman"/>
                <w:sz w:val="15"/>
                <w:szCs w:val="15"/>
                <w:color w:val="auto"/>
                <w:w w:val="74"/>
              </w:rPr>
              <w:t>  </w:t>
            </w:r>
          </w:p>
        </w:tc>
        <w:tc>
          <w:tcPr>
            <w:tcW w:w="6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(or spousal equivalent) in excess of $300,000 in each of those years and</w:t>
            </w:r>
          </w:p>
        </w:tc>
        <w:tc>
          <w:tcPr>
            <w:tcW w:w="1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20"/>
                <w:szCs w:val="20"/>
                <w:color w:val="auto"/>
              </w:rPr>
            </w:pPr>
            <w:r>
              <w:rPr>
                <w:rFonts w:ascii="Times New Roman" w:cs="Times New Roman" w:eastAsia="Times New Roman" w:hAnsi="Times New Roman"/>
                <w:sz w:val="15"/>
                <w:szCs w:val="15"/>
                <w:color w:val="auto"/>
                <w:w w:val="74"/>
              </w:rPr>
              <w:t>  </w:t>
            </w:r>
          </w:p>
        </w:tc>
        <w:tc>
          <w:tcPr>
            <w:tcW w:w="6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have a reasonable expectation of reaching the same income level in the</w:t>
            </w:r>
          </w:p>
        </w:tc>
        <w:tc>
          <w:tcPr>
            <w:tcW w:w="1180" w:type="dxa"/>
            <w:vAlign w:val="bottom"/>
            <w:vMerge w:val="restart"/>
          </w:tcPr>
          <w:p>
            <w:pPr>
              <w:ind w:left="5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w:t>
            </w:r>
          </w:p>
        </w:tc>
        <w:tc>
          <w:tcPr>
            <w:tcW w:w="580" w:type="dxa"/>
            <w:vAlign w:val="bottom"/>
            <w:vMerge w:val="restart"/>
          </w:tcPr>
          <w:p>
            <w:pPr>
              <w:ind w:left="120"/>
              <w:spacing w:after="0" w:line="207" w:lineRule="exact"/>
              <w:rPr>
                <w:sz w:val="20"/>
                <w:szCs w:val="20"/>
                <w:color w:val="auto"/>
              </w:rPr>
            </w:pPr>
            <w:r>
              <w:rPr>
                <w:rFonts w:ascii="MS PGothic" w:cs="MS PGothic" w:eastAsia="MS PGothic" w:hAnsi="MS PGothic"/>
                <w:sz w:val="18"/>
                <w:szCs w:val="18"/>
                <w:color w:val="auto"/>
                <w:w w:val="90"/>
              </w:rPr>
              <w:t>☐</w:t>
            </w:r>
            <w:r>
              <w:rPr>
                <w:rFonts w:ascii="Times New Roman" w:cs="Times New Roman" w:eastAsia="Times New Roman" w:hAnsi="Times New Roman"/>
                <w:sz w:val="18"/>
                <w:szCs w:val="18"/>
                <w:color w:val="auto"/>
                <w:w w:val="90"/>
              </w:rPr>
              <w:t xml:space="preserve"> NO</w:t>
            </w:r>
          </w:p>
        </w:tc>
        <w:tc>
          <w:tcPr>
            <w:tcW w:w="0" w:type="dxa"/>
            <w:vAlign w:val="bottom"/>
          </w:tcPr>
          <w:p>
            <w:pPr>
              <w:spacing w:after="0"/>
              <w:rPr>
                <w:sz w:val="1"/>
                <w:szCs w:val="1"/>
                <w:color w:val="auto"/>
              </w:rPr>
            </w:pPr>
          </w:p>
        </w:tc>
      </w:tr>
      <w:tr>
        <w:trPr>
          <w:trHeight w:val="268"/>
        </w:trPr>
        <w:tc>
          <w:tcPr>
            <w:tcW w:w="160" w:type="dxa"/>
            <w:vAlign w:val="bottom"/>
          </w:tcPr>
          <w:p>
            <w:pPr>
              <w:spacing w:after="0"/>
              <w:rPr>
                <w:sz w:val="20"/>
                <w:szCs w:val="20"/>
                <w:color w:val="auto"/>
              </w:rPr>
            </w:pPr>
            <w:r>
              <w:rPr>
                <w:rFonts w:ascii="Times New Roman" w:cs="Times New Roman" w:eastAsia="Times New Roman" w:hAnsi="Times New Roman"/>
                <w:sz w:val="15"/>
                <w:szCs w:val="15"/>
                <w:color w:val="auto"/>
                <w:w w:val="74"/>
              </w:rPr>
              <w:t>  </w:t>
            </w:r>
          </w:p>
        </w:tc>
        <w:tc>
          <w:tcPr>
            <w:tcW w:w="6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current year?</w:t>
            </w:r>
          </w:p>
        </w:tc>
        <w:tc>
          <w:tcPr>
            <w:tcW w:w="1180" w:type="dxa"/>
            <w:vAlign w:val="bottom"/>
            <w:vMerge w:val="continue"/>
          </w:tcPr>
          <w:p>
            <w:pPr>
              <w:spacing w:after="0"/>
              <w:rPr>
                <w:sz w:val="23"/>
                <w:szCs w:val="23"/>
                <w:color w:val="auto"/>
              </w:rPr>
            </w:pPr>
          </w:p>
        </w:tc>
        <w:tc>
          <w:tcPr>
            <w:tcW w:w="5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    Is the subscriber a holder in good standing of a Series 7, Series 65 or Series</w:t>
            </w:r>
          </w:p>
        </w:tc>
        <w:tc>
          <w:tcPr>
            <w:tcW w:w="1180" w:type="dxa"/>
            <w:vAlign w:val="bottom"/>
            <w:vMerge w:val="restart"/>
          </w:tcPr>
          <w:p>
            <w:pPr>
              <w:ind w:left="5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w:t>
            </w:r>
          </w:p>
        </w:tc>
        <w:tc>
          <w:tcPr>
            <w:tcW w:w="580" w:type="dxa"/>
            <w:vAlign w:val="bottom"/>
            <w:vMerge w:val="restart"/>
          </w:tcPr>
          <w:p>
            <w:pPr>
              <w:ind w:left="120"/>
              <w:spacing w:after="0" w:line="207" w:lineRule="exact"/>
              <w:rPr>
                <w:sz w:val="20"/>
                <w:szCs w:val="20"/>
                <w:color w:val="auto"/>
              </w:rPr>
            </w:pPr>
            <w:r>
              <w:rPr>
                <w:rFonts w:ascii="MS PGothic" w:cs="MS PGothic" w:eastAsia="MS PGothic" w:hAnsi="MS PGothic"/>
                <w:sz w:val="18"/>
                <w:szCs w:val="18"/>
                <w:color w:val="auto"/>
                <w:w w:val="90"/>
              </w:rPr>
              <w:t>☐</w:t>
            </w:r>
            <w:r>
              <w:rPr>
                <w:rFonts w:ascii="Times New Roman" w:cs="Times New Roman" w:eastAsia="Times New Roman" w:hAnsi="Times New Roman"/>
                <w:sz w:val="18"/>
                <w:szCs w:val="18"/>
                <w:color w:val="auto"/>
                <w:w w:val="90"/>
              </w:rPr>
              <w:t xml:space="preserve"> NO</w:t>
            </w:r>
          </w:p>
        </w:tc>
        <w:tc>
          <w:tcPr>
            <w:tcW w:w="0" w:type="dxa"/>
            <w:vAlign w:val="bottom"/>
          </w:tcPr>
          <w:p>
            <w:pPr>
              <w:spacing w:after="0"/>
              <w:rPr>
                <w:sz w:val="1"/>
                <w:szCs w:val="1"/>
                <w:color w:val="auto"/>
              </w:rPr>
            </w:pPr>
          </w:p>
        </w:tc>
      </w:tr>
      <w:tr>
        <w:trPr>
          <w:trHeight w:val="268"/>
        </w:trPr>
        <w:tc>
          <w:tcPr>
            <w:tcW w:w="160" w:type="dxa"/>
            <w:vAlign w:val="bottom"/>
          </w:tcPr>
          <w:p>
            <w:pPr>
              <w:spacing w:after="0"/>
              <w:rPr>
                <w:sz w:val="20"/>
                <w:szCs w:val="20"/>
                <w:color w:val="auto"/>
              </w:rPr>
            </w:pPr>
            <w:r>
              <w:rPr>
                <w:rFonts w:ascii="Times New Roman" w:cs="Times New Roman" w:eastAsia="Times New Roman" w:hAnsi="Times New Roman"/>
                <w:sz w:val="15"/>
                <w:szCs w:val="15"/>
                <w:color w:val="auto"/>
                <w:w w:val="74"/>
              </w:rPr>
              <w:t>  </w:t>
            </w:r>
          </w:p>
        </w:tc>
        <w:tc>
          <w:tcPr>
            <w:tcW w:w="6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82 license?</w:t>
            </w:r>
          </w:p>
        </w:tc>
        <w:tc>
          <w:tcPr>
            <w:tcW w:w="1180" w:type="dxa"/>
            <w:vAlign w:val="bottom"/>
            <w:vMerge w:val="continue"/>
          </w:tcPr>
          <w:p>
            <w:pPr>
              <w:spacing w:after="0"/>
              <w:rPr>
                <w:sz w:val="23"/>
                <w:szCs w:val="23"/>
                <w:color w:val="auto"/>
              </w:rPr>
            </w:pPr>
          </w:p>
        </w:tc>
        <w:tc>
          <w:tcPr>
            <w:tcW w:w="5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77152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1" w:lineRule="exact"/>
        <w:rPr>
          <w:sz w:val="20"/>
          <w:szCs w:val="20"/>
          <w:color w:val="auto"/>
        </w:rPr>
      </w:pPr>
    </w:p>
    <w:p>
      <w:pPr>
        <w:ind w:left="424" w:right="40" w:hanging="424"/>
        <w:spacing w:after="0" w:line="254" w:lineRule="auto"/>
        <w:tabs>
          <w:tab w:leader="none" w:pos="424" w:val="left"/>
        </w:tabs>
        <w:numPr>
          <w:ilvl w:val="0"/>
          <w:numId w:val="17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For purposes of calculating the subscriber’s net worth: (i) the subscriber’s primary residence must not be included as an asset; (ii) indebtedness secured by the subscriber’s primary residence, up to the estimated fair market value of the primary residence must not be included as a liability (except that if the amount of such indebtedness outstanding at the time of calculation exceeds the amount outstanding 60 days before such time, other than as a result of the acquisition of the primary residence, the amount of such excess must be included as a liability); and (iii) indebtedness that is secured by the subscriber’s primary residence in excess of the estimated fair market value of the residence must be included as a liability.</w:t>
      </w:r>
    </w:p>
    <w:p>
      <w:pPr>
        <w:spacing w:after="0" w:line="3" w:lineRule="exact"/>
        <w:rPr>
          <w:rFonts w:ascii="Times New Roman" w:cs="Times New Roman" w:eastAsia="Times New Roman" w:hAnsi="Times New Roman"/>
          <w:sz w:val="15"/>
          <w:szCs w:val="15"/>
          <w:color w:val="auto"/>
        </w:rPr>
      </w:pPr>
    </w:p>
    <w:p>
      <w:pPr>
        <w:ind w:left="424" w:right="60" w:hanging="424"/>
        <w:spacing w:after="0" w:line="250" w:lineRule="auto"/>
        <w:tabs>
          <w:tab w:leader="none" w:pos="424" w:val="left"/>
        </w:tabs>
        <w:numPr>
          <w:ilvl w:val="0"/>
          <w:numId w:val="17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For purposes of calculating the subscriber’s joint net worth with the subscriber’s spouse (or spousal equivalent): (i) joint net worth can be the aggregate net worth of the subscriber and the subscriber’s spouse (or spousal equivalent); and (ii) assets need not be held jointly to be included in the calculation. Reliance on the joint net worth standard does not require that the Shares be purchased jointly.</w:t>
      </w:r>
    </w:p>
    <w:p>
      <w:pPr>
        <w:spacing w:after="0" w:line="1" w:lineRule="exact"/>
        <w:rPr>
          <w:rFonts w:ascii="Times New Roman" w:cs="Times New Roman" w:eastAsia="Times New Roman" w:hAnsi="Times New Roman"/>
          <w:sz w:val="15"/>
          <w:szCs w:val="15"/>
          <w:color w:val="auto"/>
        </w:rPr>
      </w:pPr>
    </w:p>
    <w:p>
      <w:pPr>
        <w:ind w:left="424" w:hanging="424"/>
        <w:spacing w:after="0"/>
        <w:tabs>
          <w:tab w:leader="none" w:pos="424" w:val="left"/>
        </w:tabs>
        <w:numPr>
          <w:ilvl w:val="0"/>
          <w:numId w:val="17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term “spousal equivalent” means a cohabitant occupying a relationship generally equivalent to that of a spouse.</w:t>
      </w:r>
    </w:p>
    <w:p>
      <w:pPr>
        <w:spacing w:after="0" w:line="9" w:lineRule="exact"/>
        <w:rPr>
          <w:rFonts w:ascii="Times New Roman" w:cs="Times New Roman" w:eastAsia="Times New Roman" w:hAnsi="Times New Roman"/>
          <w:sz w:val="15"/>
          <w:szCs w:val="15"/>
          <w:color w:val="auto"/>
        </w:rPr>
      </w:pPr>
    </w:p>
    <w:p>
      <w:pPr>
        <w:ind w:left="424" w:right="60" w:hanging="424"/>
        <w:spacing w:after="0" w:line="252" w:lineRule="auto"/>
        <w:tabs>
          <w:tab w:leader="none" w:pos="424" w:val="left"/>
        </w:tabs>
        <w:numPr>
          <w:ilvl w:val="0"/>
          <w:numId w:val="17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Generally, this means “adjusted gross income” as reported for U.S. federal income tax purposes, less any income attributable to a spouse (or spousal equivalent) or to property owned by a spouse (or spousal equivalent) and increased by the following amounts (but not including any portion of such amounts attributable to a spouse (or spousal equivalent) or to property owned by a spouse (or spousal equivalent)): (i) the amount of any tax-exempt interest income received; (ii) the amount of losses claimed as a limited partner in a limited partnership; (iii) any deduction claimed for depreciation; and (iv) any amount by which income from long-term capital gains has been reduced in arriving at adjusted gross income</w:t>
      </w:r>
    </w:p>
    <w:p>
      <w:pPr>
        <w:sectPr>
          <w:pgSz w:w="11900" w:h="16838" w:orient="portrait"/>
          <w:cols w:equalWidth="0" w:num="1">
            <w:col w:w="10944"/>
          </w:cols>
          <w:pgMar w:left="436" w:top="266" w:right="519" w:bottom="1440" w:gutter="0" w:footer="0" w:header="0"/>
        </w:sectPr>
      </w:pPr>
    </w:p>
    <w:bookmarkStart w:id="190" w:name="page191"/>
    <w:bookmarkEnd w:id="190"/>
    <w:tbl>
      <w:tblPr>
        <w:tblLayout w:type="fixed"/>
        <w:tblInd w:w="0" w:type="dxa"/>
        <w:tblCellMar>
          <w:top w:w="0" w:type="dxa"/>
          <w:left w:w="0" w:type="dxa"/>
          <w:bottom w:w="0" w:type="dxa"/>
          <w:right w:w="0" w:type="dxa"/>
        </w:tblCellMar>
      </w:tblPr>
      <w:tr>
        <w:trPr>
          <w:trHeight w:val="216"/>
        </w:trPr>
        <w:tc>
          <w:tcPr>
            <w:tcW w:w="94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(4)    Is the subscriber a “family client” as defined in the U.S. Investment Advisers Act of 1940, as amended from time to</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time (the “Advisers Act”), whose purchase is directed by a “family office” as defined in the Advisers Act (i) with</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assets under management in excess of $5,000,000, (ii) not formed for the specific purpose of directing the subscriber’s</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acquisition of Shares and (iii) with such knowledge and experience in financial and business matters such that such</w:t>
            </w:r>
          </w:p>
        </w:tc>
        <w:tc>
          <w:tcPr>
            <w:tcW w:w="1420" w:type="dxa"/>
            <w:vAlign w:val="bottom"/>
            <w:vMerge w:val="restart"/>
          </w:tcPr>
          <w:p>
            <w:pPr>
              <w:jc w:val="center"/>
              <w:ind w:left="9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tc>
        <w:tc>
          <w:tcPr>
            <w:tcW w:w="0" w:type="dxa"/>
            <w:vAlign w:val="bottom"/>
          </w:tcPr>
          <w:p>
            <w:pPr>
              <w:spacing w:after="0"/>
              <w:rPr>
                <w:sz w:val="1"/>
                <w:szCs w:val="1"/>
                <w:color w:val="auto"/>
              </w:rPr>
            </w:pPr>
          </w:p>
        </w:tc>
      </w:tr>
      <w:tr>
        <w:trPr>
          <w:trHeight w:val="254"/>
        </w:trPr>
        <w:tc>
          <w:tcPr>
            <w:tcW w:w="944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family office is capable of evaluating the merits and risks of the prospective investment?</w:t>
            </w:r>
          </w:p>
        </w:tc>
        <w:tc>
          <w:tcPr>
            <w:tcW w:w="14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9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   If the subscriber is a corporation, partnership, limited liability company, trust or other entity, the subscriber certifies that it</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4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is one of the following (please check all that apply):</w:t>
            </w: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94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(1)    A trust, with total assets in excess of $5,000,000, not formed for the specific purpose of acquiring Shares, whose</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44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purchase is directed by a sophisticated person who has such knowledge and experience in financial and business</w:t>
            </w:r>
          </w:p>
        </w:tc>
        <w:tc>
          <w:tcPr>
            <w:tcW w:w="1420" w:type="dxa"/>
            <w:vAlign w:val="bottom"/>
            <w:vMerge w:val="restart"/>
          </w:tcPr>
          <w:p>
            <w:pPr>
              <w:jc w:val="center"/>
              <w:ind w:left="9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54"/>
        </w:trPr>
        <w:tc>
          <w:tcPr>
            <w:tcW w:w="944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matters that such person is and will be capable of evaluating the merits and risks of the prospective investment.</w:t>
            </w:r>
          </w:p>
        </w:tc>
        <w:tc>
          <w:tcPr>
            <w:tcW w:w="14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94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(2)    A partnership, a corporation, a limited liability company or a Massachusetts or similar business trust, not formed for</w:t>
            </w:r>
          </w:p>
        </w:tc>
        <w:tc>
          <w:tcPr>
            <w:tcW w:w="1420" w:type="dxa"/>
            <w:vAlign w:val="bottom"/>
            <w:vMerge w:val="restart"/>
          </w:tcPr>
          <w:p>
            <w:pPr>
              <w:jc w:val="center"/>
              <w:ind w:left="9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54"/>
        </w:trPr>
        <w:tc>
          <w:tcPr>
            <w:tcW w:w="944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the specific purpose of acquiring Shares, with total assets in excess of $5,000,000.</w:t>
            </w:r>
          </w:p>
        </w:tc>
        <w:tc>
          <w:tcPr>
            <w:tcW w:w="14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94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(3)    A bank or any savings and loan association, building and loan association, cooperative bank, homestead association or</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44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similar institution, whether acting in its individual or fiduciary capacity, or a broker or dealer registered pursuant to</w:t>
            </w:r>
          </w:p>
        </w:tc>
        <w:tc>
          <w:tcPr>
            <w:tcW w:w="1420" w:type="dxa"/>
            <w:vAlign w:val="bottom"/>
            <w:vMerge w:val="restart"/>
          </w:tcPr>
          <w:p>
            <w:pPr>
              <w:jc w:val="center"/>
              <w:ind w:left="9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94"/>
        </w:trPr>
        <w:tc>
          <w:tcPr>
            <w:tcW w:w="9440" w:type="dxa"/>
            <w:vAlign w:val="bottom"/>
            <w:gridSpan w:val="3"/>
          </w:tcPr>
          <w:p>
            <w:pPr>
              <w:ind w:left="720"/>
              <w:spacing w:after="0" w:line="194" w:lineRule="exact"/>
              <w:rPr>
                <w:sz w:val="20"/>
                <w:szCs w:val="20"/>
                <w:color w:val="auto"/>
              </w:rPr>
            </w:pPr>
            <w:r>
              <w:rPr>
                <w:rFonts w:ascii="Times New Roman" w:cs="Times New Roman" w:eastAsia="Times New Roman" w:hAnsi="Times New Roman"/>
                <w:sz w:val="18"/>
                <w:szCs w:val="18"/>
                <w:color w:val="auto"/>
              </w:rPr>
              <w:t>Section 15 of the U.S. Securities Exchange Act of 1934, as amended (the “1934 Act”).</w:t>
            </w: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94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(4)    An insurance company whose primary and predominant business activity is the writing of insurance or the reinsuring</w:t>
            </w:r>
          </w:p>
        </w:tc>
        <w:tc>
          <w:tcPr>
            <w:tcW w:w="1420" w:type="dxa"/>
            <w:vAlign w:val="bottom"/>
            <w:vMerge w:val="restart"/>
          </w:tcPr>
          <w:p>
            <w:pPr>
              <w:jc w:val="center"/>
              <w:ind w:left="9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54"/>
        </w:trPr>
        <w:tc>
          <w:tcPr>
            <w:tcW w:w="944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of risks underwritten by insurance companies.</w:t>
            </w:r>
          </w:p>
        </w:tc>
        <w:tc>
          <w:tcPr>
            <w:tcW w:w="14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94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(5)    A Small Business Investment Company licensed by the U.S. Small Business Administration under Section 301(c) or</w:t>
            </w:r>
          </w:p>
        </w:tc>
        <w:tc>
          <w:tcPr>
            <w:tcW w:w="1420" w:type="dxa"/>
            <w:vAlign w:val="bottom"/>
            <w:vMerge w:val="restart"/>
          </w:tcPr>
          <w:p>
            <w:pPr>
              <w:jc w:val="center"/>
              <w:ind w:left="9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54"/>
        </w:trPr>
        <w:tc>
          <w:tcPr>
            <w:tcW w:w="944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(d) of the U.S. Small Business Investment Act of 1958, as amended.</w:t>
            </w:r>
          </w:p>
        </w:tc>
        <w:tc>
          <w:tcPr>
            <w:tcW w:w="14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94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(6)    Any Rural Business Investment Company as defined in section 384A of the Consolidated Farm and Rural</w:t>
            </w:r>
          </w:p>
        </w:tc>
        <w:tc>
          <w:tcPr>
            <w:tcW w:w="1420" w:type="dxa"/>
            <w:vAlign w:val="bottom"/>
            <w:vMerge w:val="restart"/>
          </w:tcPr>
          <w:p>
            <w:pPr>
              <w:jc w:val="center"/>
              <w:ind w:left="9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54"/>
        </w:trPr>
        <w:tc>
          <w:tcPr>
            <w:tcW w:w="944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Development Act.</w:t>
            </w:r>
          </w:p>
        </w:tc>
        <w:tc>
          <w:tcPr>
            <w:tcW w:w="14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360"/>
        <w:spacing w:after="0"/>
        <w:rPr>
          <w:sz w:val="20"/>
          <w:szCs w:val="20"/>
          <w:color w:val="auto"/>
        </w:rPr>
      </w:pPr>
      <w:r>
        <w:rPr>
          <w:rFonts w:ascii="Times New Roman" w:cs="Times New Roman" w:eastAsia="Times New Roman" w:hAnsi="Times New Roman"/>
          <w:sz w:val="18"/>
          <w:szCs w:val="18"/>
          <w:color w:val="auto"/>
        </w:rPr>
        <w:t>(7)    An employee benefit plan within the meaning of ERISA either (i) that has total assets in excess of $5,000,000,</w:t>
      </w:r>
    </w:p>
    <w:p>
      <w:pPr>
        <w:spacing w:after="0" w:line="27" w:lineRule="exact"/>
        <w:rPr>
          <w:sz w:val="20"/>
          <w:szCs w:val="20"/>
          <w:color w:val="auto"/>
        </w:rPr>
      </w:pPr>
    </w:p>
    <w:p>
      <w:pPr>
        <w:ind w:left="720" w:right="1800" w:hanging="4"/>
        <w:spacing w:after="0" w:line="262" w:lineRule="auto"/>
        <w:tabs>
          <w:tab w:leader="none" w:pos="985" w:val="left"/>
        </w:tabs>
        <w:numPr>
          <w:ilvl w:val="0"/>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whose investment decisions are made by a plan fiduciary, as defined under ERISA, which is a bank, savings and loan association, insurance company or registered investment adviser, or (iii) if the employee benefit plan is a self-</w:t>
      </w:r>
    </w:p>
    <w:tbl>
      <w:tblPr>
        <w:tblLayout w:type="fixed"/>
        <w:tblInd w:w="360" w:type="dxa"/>
        <w:tblCellMar>
          <w:top w:w="0" w:type="dxa"/>
          <w:left w:w="0" w:type="dxa"/>
          <w:bottom w:w="0" w:type="dxa"/>
          <w:right w:w="0" w:type="dxa"/>
        </w:tblCellMar>
      </w:tblPr>
      <w:tr>
        <w:trPr>
          <w:trHeight w:val="283"/>
        </w:trPr>
        <w:tc>
          <w:tcPr>
            <w:tcW w:w="9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directed plan, whose investment decisions are made solely by persons that themselves are Accredited Investors.</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44"/>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(8)    An organization described in Section 501(c)(3) of the Code, not formed for the specific purpose of acquiring Shares,</w:t>
            </w:r>
          </w:p>
        </w:tc>
        <w:tc>
          <w:tcPr>
            <w:tcW w:w="700" w:type="dxa"/>
            <w:vAlign w:val="bottom"/>
            <w:vMerge w:val="restart"/>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54"/>
        </w:trPr>
        <w:tc>
          <w:tcPr>
            <w:tcW w:w="9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with total assets in excess of $5,000,000.</w:t>
            </w:r>
          </w:p>
        </w:tc>
        <w:tc>
          <w:tcPr>
            <w:tcW w:w="7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0860"/>
          </w:cols>
          <w:pgMar w:left="440" w:top="270" w:right="599" w:bottom="1440" w:gutter="0" w:footer="0" w:header="0"/>
        </w:sectPr>
      </w:pPr>
    </w:p>
    <w:bookmarkStart w:id="191" w:name="page192"/>
    <w:bookmarkEnd w:id="19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364" w:type="dxa"/>
        <w:tblCellMar>
          <w:top w:w="0" w:type="dxa"/>
          <w:left w:w="0" w:type="dxa"/>
          <w:bottom w:w="0" w:type="dxa"/>
          <w:right w:w="0" w:type="dxa"/>
        </w:tblCellMar>
      </w:tblPr>
      <w:tr>
        <w:trPr>
          <w:trHeight w:val="216"/>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(9)    A plan established and maintained by a state, its political subdivisions, or any agency or instrumentality of a state or</w:t>
            </w:r>
          </w:p>
        </w:tc>
        <w:tc>
          <w:tcPr>
            <w:tcW w:w="620" w:type="dxa"/>
            <w:vAlign w:val="bottom"/>
            <w:vMerge w:val="restart"/>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54"/>
        </w:trPr>
        <w:tc>
          <w:tcPr>
            <w:tcW w:w="9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its political subdivisions, for the benefit of its employees, if such plan has total assets in excess of $5,000,000.</w:t>
            </w:r>
          </w:p>
        </w:tc>
        <w:tc>
          <w:tcPr>
            <w:tcW w:w="6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(10)  An entity that is an investment adviser registered pursuant to Section 203 of the Advisers Act or registered pursuant to</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the laws of a state, or an investment adviser relying on the exemption from registering with the SEC under Section</w:t>
            </w:r>
          </w:p>
        </w:tc>
        <w:tc>
          <w:tcPr>
            <w:tcW w:w="620" w:type="dxa"/>
            <w:vAlign w:val="bottom"/>
            <w:vMerge w:val="restart"/>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54"/>
        </w:trPr>
        <w:tc>
          <w:tcPr>
            <w:tcW w:w="9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203(l) or (m) of the Advisers Act.</w:t>
            </w:r>
          </w:p>
        </w:tc>
        <w:tc>
          <w:tcPr>
            <w:tcW w:w="6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(11)  An investment company registered under the 1940 Act, a business development company as defined in Section 2(a)</w:t>
            </w:r>
          </w:p>
        </w:tc>
        <w:tc>
          <w:tcPr>
            <w:tcW w:w="620" w:type="dxa"/>
            <w:vAlign w:val="bottom"/>
            <w:vMerge w:val="restart"/>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54"/>
        </w:trPr>
        <w:tc>
          <w:tcPr>
            <w:tcW w:w="9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(48) of the 1940 Act or a private business development company as defined in Section 202(a)(22) of the Advisers Act.</w:t>
            </w:r>
          </w:p>
        </w:tc>
        <w:tc>
          <w:tcPr>
            <w:tcW w:w="6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(12)  A “family office” (as defined in Rule 202(a)(11)(G)-1 under the Advisers Act) (i) with assets under management in</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excess of $5,000,000, (ii) that is not formed for the specific purpose of acquiring Shares and (iii) whose prospective</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investment is directed by a person who has such knowledge and experience in financial and business matters that such</w:t>
            </w:r>
          </w:p>
        </w:tc>
        <w:tc>
          <w:tcPr>
            <w:tcW w:w="620" w:type="dxa"/>
            <w:vAlign w:val="bottom"/>
            <w:vMerge w:val="restart"/>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54"/>
        </w:trPr>
        <w:tc>
          <w:tcPr>
            <w:tcW w:w="9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family office is capable of evaluating the merits and risks of the prospective investment.</w:t>
            </w:r>
          </w:p>
        </w:tc>
        <w:tc>
          <w:tcPr>
            <w:tcW w:w="6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(13)  A “family client” (as defined in Rule 202(a)(11)(G)-1 under the Advisers Act) of a family office meeting the</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requirements in provision (12) above and whose prospective investment in the Company is directed by such family</w:t>
            </w:r>
          </w:p>
        </w:tc>
        <w:tc>
          <w:tcPr>
            <w:tcW w:w="620" w:type="dxa"/>
            <w:vAlign w:val="bottom"/>
            <w:vMerge w:val="restart"/>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54"/>
        </w:trPr>
        <w:tc>
          <w:tcPr>
            <w:tcW w:w="9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office pursuant to provision (12)(iii).</w:t>
            </w:r>
          </w:p>
        </w:tc>
        <w:tc>
          <w:tcPr>
            <w:tcW w:w="6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(14)  An entity not meeting any description set forth in provisions (1) to (13) above, each of whose equity owners qualify</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under at least one category in provisions (1) to (13) above, or which can answer “Yes” to one of the questions in</w:t>
            </w:r>
          </w:p>
        </w:tc>
        <w:tc>
          <w:tcPr>
            <w:tcW w:w="620" w:type="dxa"/>
            <w:vAlign w:val="bottom"/>
            <w:vMerge w:val="restart"/>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54"/>
        </w:trPr>
        <w:tc>
          <w:tcPr>
            <w:tcW w:w="9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IV(A) above. [NOTE: This certification is not applicable to beneficiaries of an irrevocable trust.]</w:t>
            </w:r>
          </w:p>
        </w:tc>
        <w:tc>
          <w:tcPr>
            <w:tcW w:w="6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(15)  An entity,</w:t>
            </w:r>
            <w:r>
              <w:rPr>
                <w:rFonts w:ascii="Times New Roman" w:cs="Times New Roman" w:eastAsia="Times New Roman" w:hAnsi="Times New Roman"/>
                <w:sz w:val="15"/>
                <w:szCs w:val="15"/>
                <w:color w:val="auto"/>
              </w:rPr>
              <w:t>19</w:t>
            </w:r>
            <w:r>
              <w:rPr>
                <w:rFonts w:ascii="Times New Roman" w:cs="Times New Roman" w:eastAsia="Times New Roman" w:hAnsi="Times New Roman"/>
                <w:sz w:val="18"/>
                <w:szCs w:val="18"/>
                <w:color w:val="auto"/>
              </w:rPr>
              <w:t xml:space="preserve"> of a type not listed in provisions (1) to (11) or (14) above, not formed for the specific purpose of</w:t>
            </w:r>
          </w:p>
        </w:tc>
        <w:tc>
          <w:tcPr>
            <w:tcW w:w="620" w:type="dxa"/>
            <w:vAlign w:val="bottom"/>
            <w:vMerge w:val="restart"/>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54"/>
        </w:trPr>
        <w:tc>
          <w:tcPr>
            <w:tcW w:w="9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acquiring Shares, owning “Investments”</w:t>
            </w:r>
            <w:r>
              <w:rPr>
                <w:rFonts w:ascii="Times New Roman" w:cs="Times New Roman" w:eastAsia="Times New Roman" w:hAnsi="Times New Roman"/>
                <w:sz w:val="15"/>
                <w:szCs w:val="15"/>
                <w:color w:val="auto"/>
              </w:rPr>
              <w:t>20</w:t>
            </w:r>
            <w:r>
              <w:rPr>
                <w:rFonts w:ascii="Times New Roman" w:cs="Times New Roman" w:eastAsia="Times New Roman" w:hAnsi="Times New Roman"/>
                <w:sz w:val="18"/>
                <w:szCs w:val="18"/>
                <w:color w:val="auto"/>
              </w:rPr>
              <w:t xml:space="preserve"> in excess of $5,000,000.</w:t>
            </w:r>
          </w:p>
        </w:tc>
        <w:tc>
          <w:tcPr>
            <w:tcW w:w="6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(16)  Other (please describe below):</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77152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72" w:lineRule="exact"/>
        <w:rPr>
          <w:sz w:val="20"/>
          <w:szCs w:val="20"/>
          <w:color w:val="auto"/>
        </w:rPr>
      </w:pPr>
    </w:p>
    <w:p>
      <w:pPr>
        <w:ind w:left="424" w:hanging="424"/>
        <w:spacing w:after="0"/>
        <w:tabs>
          <w:tab w:leader="none" w:pos="424" w:val="left"/>
        </w:tabs>
        <w:numPr>
          <w:ilvl w:val="0"/>
          <w:numId w:val="180"/>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Including, but not limited to, Indian tribes, governmental bodies, funds, and entities organized under the laws of foreign countries.</w:t>
      </w:r>
    </w:p>
    <w:p>
      <w:pPr>
        <w:spacing w:after="0" w:line="27" w:lineRule="exact"/>
        <w:rPr>
          <w:rFonts w:ascii="Times New Roman" w:cs="Times New Roman" w:eastAsia="Times New Roman" w:hAnsi="Times New Roman"/>
          <w:sz w:val="15"/>
          <w:szCs w:val="15"/>
          <w:color w:val="auto"/>
        </w:rPr>
      </w:pPr>
    </w:p>
    <w:p>
      <w:pPr>
        <w:ind w:left="424" w:hanging="424"/>
        <w:spacing w:after="0" w:line="253" w:lineRule="auto"/>
        <w:tabs>
          <w:tab w:leader="none" w:pos="424" w:val="left"/>
        </w:tabs>
        <w:numPr>
          <w:ilvl w:val="0"/>
          <w:numId w:val="180"/>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As used herein, “Investments” means, subject to certain exceptions, securities, real estate (excluding the subscriber’s primary residence), commodities and cash held for investment purposes. However, a number of rules have been promulgated with respect to these matters that must be consulted before determining the amount of Investments. For example, Rule 2a51-1 of the 1940 Act requires that certain amounts be deducted from gross investments to determine the amount of Investments. Generally, the amount of any outstanding indebtedness incurred to acquire Investments should also be deducted. Other amounts may also be required to be deducted in determining the amount of Investments.</w:t>
      </w:r>
    </w:p>
    <w:p>
      <w:pPr>
        <w:sectPr>
          <w:pgSz w:w="11900" w:h="16838" w:orient="portrait"/>
          <w:cols w:equalWidth="0" w:num="1">
            <w:col w:w="11004"/>
          </w:cols>
          <w:pgMar w:left="436" w:top="378" w:right="459" w:bottom="1440" w:gutter="0" w:footer="0" w:header="0"/>
        </w:sectPr>
      </w:pPr>
    </w:p>
    <w:bookmarkStart w:id="192" w:name="page193"/>
    <w:bookmarkEnd w:id="192"/>
    <w:p>
      <w:pPr>
        <w:ind w:left="360" w:hanging="359"/>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   If the subscriber is a corporation, partnership, limited liability company, trust or other entity, was it formed or recapitalized for the specific purpose of acquiring Shares in the Company?</w:t>
      </w:r>
    </w:p>
    <w:p>
      <w:pPr>
        <w:spacing w:after="0" w:line="54" w:lineRule="exact"/>
        <w:rPr>
          <w:sz w:val="20"/>
          <w:szCs w:val="20"/>
          <w:color w:val="auto"/>
        </w:rPr>
      </w:pPr>
    </w:p>
    <w:p>
      <w:pPr>
        <w:ind w:left="360" w:right="60" w:hanging="359"/>
        <w:spacing w:after="0" w:line="266" w:lineRule="auto"/>
        <w:rPr>
          <w:sz w:val="20"/>
          <w:szCs w:val="20"/>
          <w:color w:val="auto"/>
        </w:rPr>
      </w:pPr>
      <w:r>
        <w:rPr>
          <w:rFonts w:ascii="Times New Roman" w:cs="Times New Roman" w:eastAsia="Times New Roman" w:hAnsi="Times New Roman"/>
          <w:sz w:val="18"/>
          <w:szCs w:val="18"/>
          <w:color w:val="auto"/>
        </w:rPr>
        <w:t>(D)   (1) Are the subscriber’s shareholders, partners, beneficiaries or members, as the case may be, permitted to opt in or out of particular investments made by the subscriber, or does any such person not participate in investments made by the subscriber pro rata in accordance with its interest in the subscriber?</w:t>
      </w:r>
    </w:p>
    <w:p>
      <w:pPr>
        <w:spacing w:after="0" w:line="68" w:lineRule="exact"/>
        <w:rPr>
          <w:sz w:val="20"/>
          <w:szCs w:val="20"/>
          <w:color w:val="auto"/>
        </w:rPr>
      </w:pPr>
    </w:p>
    <w:p>
      <w:pPr>
        <w:ind w:left="360" w:right="180" w:hanging="4"/>
        <w:spacing w:after="0" w:line="282" w:lineRule="auto"/>
        <w:tabs>
          <w:tab w:leader="none" w:pos="615"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subscriber is a plan described in Section IV(B)(7) or IV(B)(9) above, or a “master trust” established for one or more of such plans, are plan beneficiaries allowed to direct the investment of their own accounts?</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ind w:left="217" w:hanging="217"/>
        <w:spacing w:after="0" w:line="207" w:lineRule="exact"/>
        <w:tabs>
          <w:tab w:leader="none" w:pos="217" w:val="left"/>
        </w:tabs>
        <w:numPr>
          <w:ilvl w:val="0"/>
          <w:numId w:val="18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00" w:lineRule="exact"/>
        <w:rPr>
          <w:rFonts w:ascii="MS PGothic" w:cs="MS PGothic" w:eastAsia="MS PGothic" w:hAnsi="MS PGothic"/>
          <w:sz w:val="18"/>
          <w:szCs w:val="18"/>
          <w:color w:val="auto"/>
        </w:rPr>
      </w:pPr>
    </w:p>
    <w:p>
      <w:pPr>
        <w:spacing w:after="0" w:line="241" w:lineRule="exact"/>
        <w:rPr>
          <w:rFonts w:ascii="MS PGothic" w:cs="MS PGothic" w:eastAsia="MS PGothic" w:hAnsi="MS PGothic"/>
          <w:sz w:val="18"/>
          <w:szCs w:val="18"/>
          <w:color w:val="auto"/>
        </w:rPr>
      </w:pPr>
    </w:p>
    <w:p>
      <w:pPr>
        <w:ind w:left="217" w:hanging="217"/>
        <w:spacing w:after="0" w:line="207" w:lineRule="exact"/>
        <w:tabs>
          <w:tab w:leader="none" w:pos="217" w:val="left"/>
        </w:tabs>
        <w:numPr>
          <w:ilvl w:val="0"/>
          <w:numId w:val="18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00" w:lineRule="exact"/>
        <w:rPr>
          <w:rFonts w:ascii="MS PGothic" w:cs="MS PGothic" w:eastAsia="MS PGothic" w:hAnsi="MS PGothic"/>
          <w:sz w:val="18"/>
          <w:szCs w:val="18"/>
          <w:color w:val="auto"/>
        </w:rPr>
      </w:pPr>
    </w:p>
    <w:p>
      <w:pPr>
        <w:spacing w:after="0" w:line="241" w:lineRule="exact"/>
        <w:rPr>
          <w:rFonts w:ascii="MS PGothic" w:cs="MS PGothic" w:eastAsia="MS PGothic" w:hAnsi="MS PGothic"/>
          <w:sz w:val="18"/>
          <w:szCs w:val="18"/>
          <w:color w:val="auto"/>
        </w:rPr>
      </w:pPr>
    </w:p>
    <w:p>
      <w:pPr>
        <w:ind w:left="217" w:hanging="217"/>
        <w:spacing w:after="0" w:line="207" w:lineRule="exact"/>
        <w:tabs>
          <w:tab w:leader="none" w:pos="217" w:val="left"/>
        </w:tabs>
        <w:numPr>
          <w:ilvl w:val="0"/>
          <w:numId w:val="18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358" w:lineRule="exact"/>
        <w:rPr>
          <w:sz w:val="20"/>
          <w:szCs w:val="20"/>
          <w:color w:val="auto"/>
        </w:rPr>
      </w:pPr>
    </w:p>
    <w:p>
      <w:pPr>
        <w:sectPr>
          <w:pgSz w:w="11900" w:h="16838" w:orient="portrait"/>
          <w:cols w:equalWidth="0" w:num="2">
            <w:col w:w="9160" w:space="463"/>
            <w:col w:w="1337"/>
          </w:cols>
          <w:pgMar w:left="440" w:top="270" w:right="499" w:bottom="1440" w:gutter="0" w:footer="0" w:header="0"/>
        </w:sectPr>
      </w:pPr>
    </w:p>
    <w:p>
      <w:pPr>
        <w:jc w:val="both"/>
        <w:ind w:left="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NOTE: </w:t>
      </w:r>
      <w:r>
        <w:rPr>
          <w:rFonts w:ascii="Times New Roman" w:cs="Times New Roman" w:eastAsia="Times New Roman" w:hAnsi="Times New Roman"/>
          <w:sz w:val="18"/>
          <w:szCs w:val="18"/>
          <w:color w:val="auto"/>
        </w:rPr>
        <w:t>If the answer to Section IV(D)(1) or IV(D)(2) above is YES, the subscriber must submit with these Subscription Materials a complete list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its participants. The Company or the Adviser may require that </w:t>
      </w:r>
      <w:r>
        <w:rPr>
          <w:rFonts w:ascii="Times New Roman" w:cs="Times New Roman" w:eastAsia="Times New Roman" w:hAnsi="Times New Roman"/>
          <w:sz w:val="18"/>
          <w:szCs w:val="18"/>
          <w:u w:val="single" w:color="auto"/>
          <w:color w:val="auto"/>
        </w:rPr>
        <w:t>each</w:t>
      </w:r>
      <w:r>
        <w:rPr>
          <w:rFonts w:ascii="Times New Roman" w:cs="Times New Roman" w:eastAsia="Times New Roman" w:hAnsi="Times New Roman"/>
          <w:sz w:val="18"/>
          <w:szCs w:val="18"/>
          <w:color w:val="auto"/>
        </w:rPr>
        <w:t xml:space="preserve"> participant properly complete and submit to the Company or the Adviser an Investor Suitability Questionnaire.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(E)   Has the subscriber and, if the subscriber is not the sole beneficial owner (as defined under Rule 13d-3 of the 1934 Act, as</w:t>
            </w: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amended) of its interest, any such other beneficial owner, been subject to or experienced any Regulation D Rule 506(d)</w:t>
            </w:r>
          </w:p>
        </w:tc>
        <w:tc>
          <w:tcPr>
            <w:tcW w:w="880" w:type="dxa"/>
            <w:vAlign w:val="bottom"/>
            <w:vMerge w:val="restart"/>
          </w:tcPr>
          <w:p>
            <w:pPr>
              <w:ind w:left="2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w:t>
            </w:r>
          </w:p>
        </w:tc>
        <w:tc>
          <w:tcPr>
            <w:tcW w:w="580" w:type="dxa"/>
            <w:vAlign w:val="bottom"/>
            <w:vMerge w:val="restart"/>
          </w:tcPr>
          <w:p>
            <w:pPr>
              <w:ind w:left="120"/>
              <w:spacing w:after="0" w:line="207" w:lineRule="exact"/>
              <w:rPr>
                <w:sz w:val="20"/>
                <w:szCs w:val="20"/>
                <w:color w:val="auto"/>
              </w:rPr>
            </w:pPr>
            <w:r>
              <w:rPr>
                <w:rFonts w:ascii="MS PGothic" w:cs="MS PGothic" w:eastAsia="MS PGothic" w:hAnsi="MS PGothic"/>
                <w:sz w:val="18"/>
                <w:szCs w:val="18"/>
                <w:color w:val="auto"/>
                <w:w w:val="90"/>
              </w:rPr>
              <w:t>☐</w:t>
            </w:r>
            <w:r>
              <w:rPr>
                <w:rFonts w:ascii="Times New Roman" w:cs="Times New Roman" w:eastAsia="Times New Roman" w:hAnsi="Times New Roman"/>
                <w:sz w:val="18"/>
                <w:szCs w:val="18"/>
                <w:color w:val="auto"/>
                <w:w w:val="90"/>
              </w:rPr>
              <w:t xml:space="preserve"> NO</w:t>
            </w:r>
          </w:p>
        </w:tc>
        <w:tc>
          <w:tcPr>
            <w:tcW w:w="0" w:type="dxa"/>
            <w:vAlign w:val="bottom"/>
          </w:tcPr>
          <w:p>
            <w:pPr>
              <w:spacing w:after="0"/>
              <w:rPr>
                <w:sz w:val="1"/>
                <w:szCs w:val="1"/>
                <w:color w:val="auto"/>
              </w:rPr>
            </w:pPr>
          </w:p>
        </w:tc>
      </w:tr>
      <w:tr>
        <w:trPr>
          <w:trHeight w:val="146"/>
        </w:trPr>
        <w:tc>
          <w:tcPr>
            <w:tcW w:w="934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Disqualifying Event (as defined in Section 2.01(e)(ii) of the Subscription Agreement), or is the subscriber or its beneficial</w:t>
            </w:r>
          </w:p>
        </w:tc>
        <w:tc>
          <w:tcPr>
            <w:tcW w:w="88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0"/>
        </w:trPr>
        <w:tc>
          <w:tcPr>
            <w:tcW w:w="9340" w:type="dxa"/>
            <w:vAlign w:val="bottom"/>
            <w:vMerge w:val="continue"/>
          </w:tcPr>
          <w:p>
            <w:pPr>
              <w:spacing w:after="0"/>
              <w:rPr>
                <w:sz w:val="6"/>
                <w:szCs w:val="6"/>
                <w:color w:val="auto"/>
              </w:rPr>
            </w:pPr>
          </w:p>
        </w:tc>
        <w:tc>
          <w:tcPr>
            <w:tcW w:w="880" w:type="dxa"/>
            <w:vAlign w:val="bottom"/>
          </w:tcPr>
          <w:p>
            <w:pPr>
              <w:spacing w:after="0"/>
              <w:rPr>
                <w:sz w:val="6"/>
                <w:szCs w:val="6"/>
                <w:color w:val="auto"/>
              </w:rPr>
            </w:pPr>
          </w:p>
        </w:tc>
        <w:tc>
          <w:tcPr>
            <w:tcW w:w="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9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owner subject to any proceeding or event that could result in any such Disqualifying Event?</w:t>
            </w:r>
          </w:p>
        </w:tc>
        <w:tc>
          <w:tcPr>
            <w:tcW w:w="8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40" w:top="270" w:right="499" w:bottom="1440" w:gutter="0" w:footer="0" w:header="0"/>
          <w:type w:val="continuous"/>
        </w:sectPr>
      </w:pPr>
    </w:p>
    <w:bookmarkStart w:id="193" w:name="page194"/>
    <w:bookmarkEnd w:id="193"/>
    <w:p>
      <w:pPr>
        <w:ind w:left="964" w:hanging="532"/>
        <w:spacing w:after="0"/>
        <w:tabs>
          <w:tab w:leader="none" w:pos="964" w:val="left"/>
        </w:tabs>
        <w:numPr>
          <w:ilvl w:val="0"/>
          <w:numId w:val="1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Background Information Relating to Certain ERISA Matters</w:t>
      </w:r>
    </w:p>
    <w:p>
      <w:pPr>
        <w:spacing w:after="0" w:line="229"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Until such time as the all classes of equity interests in the Company are considered “publicly-offered securities” within the meaning of ERISA and certain Department of Labor regulations, as modified by Section 3(42) of ERISA, as amended from time to time (the “</w:t>
      </w:r>
      <w:r>
        <w:rPr>
          <w:rFonts w:ascii="Times New Roman" w:cs="Times New Roman" w:eastAsia="Times New Roman" w:hAnsi="Times New Roman"/>
          <w:sz w:val="18"/>
          <w:szCs w:val="18"/>
          <w:u w:val="single" w:color="auto"/>
          <w:color w:val="auto"/>
        </w:rPr>
        <w:t>Plan Asset Regulations</w:t>
      </w:r>
      <w:r>
        <w:rPr>
          <w:rFonts w:ascii="Times New Roman" w:cs="Times New Roman" w:eastAsia="Times New Roman" w:hAnsi="Times New Roman"/>
          <w:sz w:val="18"/>
          <w:szCs w:val="18"/>
          <w:color w:val="auto"/>
        </w:rPr>
        <w:t>”), the Company intends to operate so that less than 25% of the total value of our Common Shares in the Company are held by “benefit plan investors” within the meaning of the Plan Asset Regulations (“</w:t>
      </w:r>
      <w:r>
        <w:rPr>
          <w:rFonts w:ascii="Times New Roman" w:cs="Times New Roman" w:eastAsia="Times New Roman" w:hAnsi="Times New Roman"/>
          <w:sz w:val="18"/>
          <w:szCs w:val="18"/>
          <w:u w:val="single" w:color="auto"/>
          <w:color w:val="auto"/>
        </w:rPr>
        <w:t>Benefit Plan Investors</w:t>
      </w:r>
      <w:r>
        <w:rPr>
          <w:rFonts w:ascii="Times New Roman" w:cs="Times New Roman" w:eastAsia="Times New Roman" w:hAnsi="Times New Roman"/>
          <w:sz w:val="18"/>
          <w:szCs w:val="18"/>
          <w:color w:val="auto"/>
        </w:rPr>
        <w:t>”), so that investment by Benefit Plan Investors should not be significant and the assets of the Company should not be considered “plan assets” under ERISA or the Plan Asset Regulations (the “</w:t>
      </w:r>
      <w:r>
        <w:rPr>
          <w:rFonts w:ascii="Times New Roman" w:cs="Times New Roman" w:eastAsia="Times New Roman" w:hAnsi="Times New Roman"/>
          <w:sz w:val="18"/>
          <w:szCs w:val="18"/>
          <w:u w:val="single" w:color="auto"/>
          <w:color w:val="auto"/>
        </w:rPr>
        <w:t>25% Test</w:t>
      </w:r>
      <w:r>
        <w:rPr>
          <w:rFonts w:ascii="Times New Roman" w:cs="Times New Roman" w:eastAsia="Times New Roman" w:hAnsi="Times New Roman"/>
          <w:sz w:val="18"/>
          <w:szCs w:val="18"/>
          <w:color w:val="auto"/>
        </w:rPr>
        <w:t>”). In order to meet the requirements of the 25% Test, the Company may prohibit any Subscriber from purchasing Shares from the Company on any Capital Drawdown date, and may prohibit certain transfers of Capital Commitments and/or Shares so as to avoid the Company holding “plan assets” within the meaning of ERISA. The Company’s ability to meet the requirements of the 25% Test may depend on your answers to the following questions:</w:t>
      </w:r>
    </w:p>
    <w:p>
      <w:pPr>
        <w:spacing w:after="0" w:line="190" w:lineRule="exact"/>
        <w:rPr>
          <w:sz w:val="20"/>
          <w:szCs w:val="20"/>
          <w:color w:val="auto"/>
        </w:rPr>
      </w:pPr>
    </w:p>
    <w:tbl>
      <w:tblPr>
        <w:tblLayout w:type="fixed"/>
        <w:tblInd w:w="4" w:type="dxa"/>
        <w:tblCellMar>
          <w:top w:w="0" w:type="dxa"/>
          <w:left w:w="0" w:type="dxa"/>
          <w:bottom w:w="0" w:type="dxa"/>
          <w:right w:w="0" w:type="dxa"/>
        </w:tblCellMar>
      </w:tblPr>
      <w:tr>
        <w:trPr>
          <w:trHeight w:val="283"/>
        </w:trPr>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(A)   Is the subscriber a “Benefit Plan Investor”?</w:t>
            </w:r>
            <w:r>
              <w:rPr>
                <w:rFonts w:ascii="Times New Roman" w:cs="Times New Roman" w:eastAsia="Times New Roman" w:hAnsi="Times New Roman"/>
                <w:sz w:val="15"/>
                <w:szCs w:val="15"/>
                <w:color w:val="auto"/>
              </w:rPr>
              <w:t>21</w:t>
            </w:r>
          </w:p>
        </w:tc>
        <w:tc>
          <w:tcPr>
            <w:tcW w:w="820" w:type="dxa"/>
            <w:vAlign w:val="bottom"/>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w:t>
            </w:r>
          </w:p>
        </w:tc>
        <w:tc>
          <w:tcPr>
            <w:tcW w:w="580" w:type="dxa"/>
            <w:vAlign w:val="bottom"/>
          </w:tcPr>
          <w:p>
            <w:pPr>
              <w:ind w:left="120"/>
              <w:spacing w:after="0" w:line="207" w:lineRule="exact"/>
              <w:rPr>
                <w:sz w:val="20"/>
                <w:szCs w:val="20"/>
                <w:color w:val="auto"/>
              </w:rPr>
            </w:pPr>
            <w:r>
              <w:rPr>
                <w:rFonts w:ascii="MS PGothic" w:cs="MS PGothic" w:eastAsia="MS PGothic" w:hAnsi="MS PGothic"/>
                <w:sz w:val="18"/>
                <w:szCs w:val="18"/>
                <w:color w:val="auto"/>
                <w:w w:val="90"/>
              </w:rPr>
              <w:t>☐</w:t>
            </w:r>
            <w:r>
              <w:rPr>
                <w:rFonts w:ascii="Times New Roman" w:cs="Times New Roman" w:eastAsia="Times New Roman" w:hAnsi="Times New Roman"/>
                <w:sz w:val="18"/>
                <w:szCs w:val="18"/>
                <w:color w:val="auto"/>
                <w:w w:val="90"/>
              </w:rPr>
              <w:t xml:space="preserve"> NO</w:t>
            </w:r>
          </w:p>
        </w:tc>
        <w:tc>
          <w:tcPr>
            <w:tcW w:w="0" w:type="dxa"/>
            <w:vAlign w:val="bottom"/>
          </w:tcPr>
          <w:p>
            <w:pPr>
              <w:spacing w:after="0"/>
              <w:rPr>
                <w:sz w:val="1"/>
                <w:szCs w:val="1"/>
                <w:color w:val="auto"/>
              </w:rPr>
            </w:pPr>
          </w:p>
        </w:tc>
      </w:tr>
      <w:tr>
        <w:trPr>
          <w:trHeight w:val="304"/>
        </w:trPr>
        <w:tc>
          <w:tcPr>
            <w:tcW w:w="9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(If YES, proceed to the next questions) (If NO, go to Section V(B) below)</w:t>
            </w: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9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    Is the subscriber an “employee benefit plan” or trust that is subject to the fiduciary provisions of Title I of ERISA (this</w:t>
            </w: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4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includes, for example, U.S. pension plans, welfare benefit plans, U.S. profit-sharing and 401(k) plans, multiemployer</w:t>
            </w: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(union) plans and “Taft-Hartley Plans” but does not include U.S. governmental plans, certain church plans and non-</w:t>
            </w:r>
          </w:p>
        </w:tc>
        <w:tc>
          <w:tcPr>
            <w:tcW w:w="820" w:type="dxa"/>
            <w:vAlign w:val="bottom"/>
            <w:vMerge w:val="restart"/>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w:t>
            </w:r>
          </w:p>
        </w:tc>
        <w:tc>
          <w:tcPr>
            <w:tcW w:w="580" w:type="dxa"/>
            <w:vAlign w:val="bottom"/>
            <w:vMerge w:val="restart"/>
          </w:tcPr>
          <w:p>
            <w:pPr>
              <w:ind w:left="120"/>
              <w:spacing w:after="0" w:line="207" w:lineRule="exact"/>
              <w:rPr>
                <w:sz w:val="20"/>
                <w:szCs w:val="20"/>
                <w:color w:val="auto"/>
              </w:rPr>
            </w:pPr>
            <w:r>
              <w:rPr>
                <w:rFonts w:ascii="MS PGothic" w:cs="MS PGothic" w:eastAsia="MS PGothic" w:hAnsi="MS PGothic"/>
                <w:sz w:val="18"/>
                <w:szCs w:val="18"/>
                <w:color w:val="auto"/>
                <w:w w:val="90"/>
              </w:rPr>
              <w:t>☐</w:t>
            </w:r>
            <w:r>
              <w:rPr>
                <w:rFonts w:ascii="Times New Roman" w:cs="Times New Roman" w:eastAsia="Times New Roman" w:hAnsi="Times New Roman"/>
                <w:sz w:val="18"/>
                <w:szCs w:val="18"/>
                <w:color w:val="auto"/>
                <w:w w:val="90"/>
              </w:rPr>
              <w:t xml:space="preserve"> NO</w:t>
            </w:r>
          </w:p>
        </w:tc>
        <w:tc>
          <w:tcPr>
            <w:tcW w:w="0" w:type="dxa"/>
            <w:vAlign w:val="bottom"/>
          </w:tcPr>
          <w:p>
            <w:pPr>
              <w:spacing w:after="0"/>
              <w:rPr>
                <w:sz w:val="1"/>
                <w:szCs w:val="1"/>
                <w:color w:val="auto"/>
              </w:rPr>
            </w:pPr>
          </w:p>
        </w:tc>
      </w:tr>
      <w:tr>
        <w:trPr>
          <w:trHeight w:val="254"/>
        </w:trPr>
        <w:tc>
          <w:tcPr>
            <w:tcW w:w="94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U.S. employee pension and welfare benefit plans)?</w:t>
            </w:r>
          </w:p>
        </w:tc>
        <w:tc>
          <w:tcPr>
            <w:tcW w:w="820" w:type="dxa"/>
            <w:vAlign w:val="bottom"/>
            <w:vMerge w:val="continue"/>
          </w:tcPr>
          <w:p>
            <w:pPr>
              <w:spacing w:after="0"/>
              <w:rPr>
                <w:sz w:val="22"/>
                <w:szCs w:val="22"/>
                <w:color w:val="auto"/>
              </w:rPr>
            </w:pPr>
          </w:p>
        </w:tc>
        <w:tc>
          <w:tcPr>
            <w:tcW w:w="5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9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 Is the subscriber a U.S. individual retirement account, Keogh Plan and/or other plan subject to Section 4975 of the</w:t>
            </w:r>
          </w:p>
        </w:tc>
        <w:tc>
          <w:tcPr>
            <w:tcW w:w="820" w:type="dxa"/>
            <w:vAlign w:val="bottom"/>
            <w:vMerge w:val="restart"/>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w:t>
            </w:r>
          </w:p>
        </w:tc>
        <w:tc>
          <w:tcPr>
            <w:tcW w:w="580" w:type="dxa"/>
            <w:vAlign w:val="bottom"/>
            <w:vMerge w:val="restart"/>
          </w:tcPr>
          <w:p>
            <w:pPr>
              <w:ind w:left="120"/>
              <w:spacing w:after="0" w:line="207" w:lineRule="exact"/>
              <w:rPr>
                <w:sz w:val="20"/>
                <w:szCs w:val="20"/>
                <w:color w:val="auto"/>
              </w:rPr>
            </w:pPr>
            <w:r>
              <w:rPr>
                <w:rFonts w:ascii="MS PGothic" w:cs="MS PGothic" w:eastAsia="MS PGothic" w:hAnsi="MS PGothic"/>
                <w:sz w:val="18"/>
                <w:szCs w:val="18"/>
                <w:color w:val="auto"/>
                <w:w w:val="90"/>
              </w:rPr>
              <w:t>☐</w:t>
            </w:r>
            <w:r>
              <w:rPr>
                <w:rFonts w:ascii="Times New Roman" w:cs="Times New Roman" w:eastAsia="Times New Roman" w:hAnsi="Times New Roman"/>
                <w:sz w:val="18"/>
                <w:szCs w:val="18"/>
                <w:color w:val="auto"/>
                <w:w w:val="90"/>
              </w:rPr>
              <w:t xml:space="preserve"> NO</w:t>
            </w:r>
          </w:p>
        </w:tc>
        <w:tc>
          <w:tcPr>
            <w:tcW w:w="0" w:type="dxa"/>
            <w:vAlign w:val="bottom"/>
          </w:tcPr>
          <w:p>
            <w:pPr>
              <w:spacing w:after="0"/>
              <w:rPr>
                <w:sz w:val="1"/>
                <w:szCs w:val="1"/>
                <w:color w:val="auto"/>
              </w:rPr>
            </w:pPr>
          </w:p>
        </w:tc>
      </w:tr>
      <w:tr>
        <w:trPr>
          <w:trHeight w:val="254"/>
        </w:trPr>
        <w:tc>
          <w:tcPr>
            <w:tcW w:w="94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Code?</w:t>
            </w:r>
          </w:p>
        </w:tc>
        <w:tc>
          <w:tcPr>
            <w:tcW w:w="820" w:type="dxa"/>
            <w:vAlign w:val="bottom"/>
            <w:vMerge w:val="continue"/>
          </w:tcPr>
          <w:p>
            <w:pPr>
              <w:spacing w:after="0"/>
              <w:rPr>
                <w:sz w:val="22"/>
                <w:szCs w:val="22"/>
                <w:color w:val="auto"/>
              </w:rPr>
            </w:pPr>
          </w:p>
        </w:tc>
        <w:tc>
          <w:tcPr>
            <w:tcW w:w="5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9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    Is the subscriber an entity (e.g., a fund of funds) whose underlying assets include “plan assets” by reason of a plan’s</w:t>
            </w: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4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investment in the entity and such plan investors include (1) one or more U.S. pension benefit plans, welfare benefit</w:t>
            </w: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plans or similar plans subject to ERISA and/or (2) one or more individual retirement accounts, Keogh plans or other</w:t>
            </w: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individual arrangement subject to Section 4975of the Code (including by reason of 25% or more of any class of equity</w:t>
            </w:r>
          </w:p>
        </w:tc>
        <w:tc>
          <w:tcPr>
            <w:tcW w:w="820" w:type="dxa"/>
            <w:vAlign w:val="bottom"/>
            <w:vMerge w:val="restart"/>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w:t>
            </w:r>
          </w:p>
        </w:tc>
        <w:tc>
          <w:tcPr>
            <w:tcW w:w="580" w:type="dxa"/>
            <w:vAlign w:val="bottom"/>
            <w:vMerge w:val="restart"/>
          </w:tcPr>
          <w:p>
            <w:pPr>
              <w:ind w:left="120"/>
              <w:spacing w:after="0" w:line="207" w:lineRule="exact"/>
              <w:rPr>
                <w:sz w:val="20"/>
                <w:szCs w:val="20"/>
                <w:color w:val="auto"/>
              </w:rPr>
            </w:pPr>
            <w:r>
              <w:rPr>
                <w:rFonts w:ascii="MS PGothic" w:cs="MS PGothic" w:eastAsia="MS PGothic" w:hAnsi="MS PGothic"/>
                <w:sz w:val="18"/>
                <w:szCs w:val="18"/>
                <w:color w:val="auto"/>
                <w:w w:val="90"/>
              </w:rPr>
              <w:t>☐</w:t>
            </w:r>
            <w:r>
              <w:rPr>
                <w:rFonts w:ascii="Times New Roman" w:cs="Times New Roman" w:eastAsia="Times New Roman" w:hAnsi="Times New Roman"/>
                <w:sz w:val="18"/>
                <w:szCs w:val="18"/>
                <w:color w:val="auto"/>
                <w:w w:val="90"/>
              </w:rPr>
              <w:t xml:space="preserve"> NO</w:t>
            </w:r>
          </w:p>
        </w:tc>
        <w:tc>
          <w:tcPr>
            <w:tcW w:w="0" w:type="dxa"/>
            <w:vAlign w:val="bottom"/>
          </w:tcPr>
          <w:p>
            <w:pPr>
              <w:spacing w:after="0"/>
              <w:rPr>
                <w:sz w:val="1"/>
                <w:szCs w:val="1"/>
                <w:color w:val="auto"/>
              </w:rPr>
            </w:pPr>
          </w:p>
        </w:tc>
      </w:tr>
      <w:tr>
        <w:trPr>
          <w:trHeight w:val="254"/>
        </w:trPr>
        <w:tc>
          <w:tcPr>
            <w:tcW w:w="94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interests in the entity being held by Benefit Plan Investors that include any plan described above)?</w:t>
            </w:r>
          </w:p>
        </w:tc>
        <w:tc>
          <w:tcPr>
            <w:tcW w:w="820" w:type="dxa"/>
            <w:vAlign w:val="bottom"/>
            <w:vMerge w:val="continue"/>
          </w:tcPr>
          <w:p>
            <w:pPr>
              <w:spacing w:after="0"/>
              <w:rPr>
                <w:sz w:val="22"/>
                <w:szCs w:val="22"/>
                <w:color w:val="auto"/>
              </w:rPr>
            </w:pPr>
          </w:p>
        </w:tc>
        <w:tc>
          <w:tcPr>
            <w:tcW w:w="5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9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(If YES, proceed to the next question) (If NO, go to Section V(B) below)</w:t>
            </w: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77152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72" w:lineRule="exact"/>
        <w:rPr>
          <w:sz w:val="20"/>
          <w:szCs w:val="20"/>
          <w:color w:val="auto"/>
        </w:rPr>
      </w:pPr>
    </w:p>
    <w:p>
      <w:pPr>
        <w:ind w:left="424" w:right="20" w:hanging="424"/>
        <w:spacing w:after="0" w:line="255" w:lineRule="auto"/>
        <w:tabs>
          <w:tab w:leader="none" w:pos="424" w:val="left"/>
        </w:tabs>
        <w:numPr>
          <w:ilvl w:val="0"/>
          <w:numId w:val="18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 “benefit plan investor” is generally defined under the Plan Asset Regulations as (i) an “employee benefit plan” subject to part 4 of Title I of ERISA (including, for example, U.S. corporate pension plans, welfare benefit plans, profit-sharing and 401(k) plans, multiemployer (union) plans and Taft-Hartley Plans), (ii) a plan subject to Section 4975 of the Code (including, for example, IRAs and “Keogh” plans) and (iii) an entity (including, for example, an investment fund, a group trust, a partnership and a comingled account) whose underlying assets are deemed to include “plan assets” within the meaning of the Plan Asset Regulations (generally because plans (described in (i) or (ii)) own 25% or more of the total value of any class of the entity’s equity interests and the entity does not satisfy another exception to the Plan Asset Regulations). Any entity that is a Benefit Plan Investor by virtue of (iii) above should check VI(A)(3).</w:t>
      </w:r>
    </w:p>
    <w:p>
      <w:pPr>
        <w:sectPr>
          <w:pgSz w:w="11900" w:h="16838" w:orient="portrait"/>
          <w:cols w:equalWidth="0" w:num="1">
            <w:col w:w="10984"/>
          </w:cols>
          <w:pgMar w:left="436" w:top="266" w:right="479" w:bottom="1440" w:gutter="0" w:footer="0" w:header="0"/>
        </w:sectPr>
      </w:pPr>
    </w:p>
    <w:bookmarkStart w:id="194" w:name="page195"/>
    <w:bookmarkEnd w:id="194"/>
    <w:tbl>
      <w:tblPr>
        <w:tblLayout w:type="fixed"/>
        <w:tblInd w:w="4" w:type="dxa"/>
        <w:tblCellMar>
          <w:top w:w="0" w:type="dxa"/>
          <w:left w:w="0" w:type="dxa"/>
          <w:bottom w:w="0" w:type="dxa"/>
          <w:right w:w="0" w:type="dxa"/>
        </w:tblCellMar>
      </w:tblPr>
      <w:tr>
        <w:trPr>
          <w:trHeight w:val="245"/>
        </w:trPr>
        <w:tc>
          <w:tcPr>
            <w:tcW w:w="8980" w:type="dxa"/>
            <w:vAlign w:val="bottom"/>
            <w:gridSpan w:val="4"/>
          </w:tcPr>
          <w:p>
            <w:pPr>
              <w:ind w:left="720"/>
              <w:spacing w:after="0"/>
              <w:rPr>
                <w:sz w:val="20"/>
                <w:szCs w:val="20"/>
                <w:color w:val="auto"/>
              </w:rPr>
            </w:pPr>
            <w:r>
              <w:rPr>
                <w:rFonts w:ascii="Times New Roman" w:cs="Times New Roman" w:eastAsia="Times New Roman" w:hAnsi="Times New Roman"/>
                <w:sz w:val="18"/>
                <w:szCs w:val="18"/>
                <w:color w:val="auto"/>
              </w:rPr>
              <w:t>(a)    If the subscriber is an entity whose underlying assets include “plan assets,” indicate that the percentage of</w:t>
            </w:r>
          </w:p>
        </w:tc>
        <w:tc>
          <w:tcPr>
            <w:tcW w:w="980" w:type="dxa"/>
            <w:vAlign w:val="bottom"/>
          </w:tcPr>
          <w:p>
            <w:pPr>
              <w:ind w:left="3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w:t>
            </w:r>
          </w:p>
        </w:tc>
        <w:tc>
          <w:tcPr>
            <w:tcW w:w="580" w:type="dxa"/>
            <w:vAlign w:val="bottom"/>
          </w:tcPr>
          <w:p>
            <w:pPr>
              <w:ind w:left="100"/>
              <w:spacing w:after="0" w:line="207" w:lineRule="exact"/>
              <w:rPr>
                <w:sz w:val="20"/>
                <w:szCs w:val="20"/>
                <w:color w:val="auto"/>
              </w:rPr>
            </w:pPr>
            <w:r>
              <w:rPr>
                <w:rFonts w:ascii="MS PGothic" w:cs="MS PGothic" w:eastAsia="MS PGothic" w:hAnsi="MS PGothic"/>
                <w:sz w:val="18"/>
                <w:szCs w:val="18"/>
                <w:color w:val="auto"/>
                <w:w w:val="94"/>
              </w:rPr>
              <w:t>☐</w:t>
            </w:r>
            <w:r>
              <w:rPr>
                <w:rFonts w:ascii="Times New Roman" w:cs="Times New Roman" w:eastAsia="Times New Roman" w:hAnsi="Times New Roman"/>
                <w:sz w:val="18"/>
                <w:szCs w:val="18"/>
                <w:color w:val="auto"/>
                <w:w w:val="94"/>
              </w:rPr>
              <w:t xml:space="preserve"> NO</w:t>
            </w:r>
          </w:p>
        </w:tc>
      </w:tr>
      <w:tr>
        <w:trPr>
          <w:trHeight w:val="216"/>
        </w:trPr>
        <w:tc>
          <w:tcPr>
            <w:tcW w:w="8980" w:type="dxa"/>
            <w:vAlign w:val="bottom"/>
            <w:gridSpan w:val="4"/>
          </w:tcPr>
          <w:p>
            <w:pPr>
              <w:ind w:left="1080"/>
              <w:spacing w:after="0"/>
              <w:rPr>
                <w:sz w:val="20"/>
                <w:szCs w:val="20"/>
                <w:color w:val="auto"/>
              </w:rPr>
            </w:pPr>
            <w:r>
              <w:rPr>
                <w:rFonts w:ascii="Times New Roman" w:cs="Times New Roman" w:eastAsia="Times New Roman" w:hAnsi="Times New Roman"/>
                <w:sz w:val="18"/>
                <w:szCs w:val="18"/>
                <w:color w:val="auto"/>
              </w:rPr>
              <w:t>such assets that constitute “plan assets” within the meaning of ERISA or the Code is not more than</w:t>
            </w: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4"/>
        </w:trPr>
        <w:tc>
          <w:tcPr>
            <w:tcW w:w="8980" w:type="dxa"/>
            <w:vAlign w:val="bottom"/>
            <w:gridSpan w:val="4"/>
          </w:tcPr>
          <w:p>
            <w:pPr>
              <w:ind w:left="1080"/>
              <w:spacing w:after="0"/>
              <w:rPr>
                <w:sz w:val="20"/>
                <w:szCs w:val="20"/>
                <w:color w:val="auto"/>
              </w:rPr>
            </w:pPr>
            <w:r>
              <w:rPr>
                <w:rFonts w:ascii="Times New Roman" w:cs="Times New Roman" w:eastAsia="Times New Roman" w:hAnsi="Times New Roman"/>
                <w:sz w:val="18"/>
                <w:szCs w:val="18"/>
                <w:color w:val="auto"/>
              </w:rPr>
              <w:t>(please check an applicable box):</w:t>
            </w:r>
          </w:p>
        </w:tc>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83"/>
        </w:trPr>
        <w:tc>
          <w:tcPr>
            <w:tcW w:w="8980" w:type="dxa"/>
            <w:vAlign w:val="bottom"/>
            <w:gridSpan w:val="4"/>
          </w:tcPr>
          <w:p>
            <w:pPr>
              <w:ind w:left="3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10%</w:t>
            </w:r>
            <w:r>
              <w:rPr>
                <w:rFonts w:ascii="Times New Roman" w:cs="Times New Roman" w:eastAsia="Times New Roman" w:hAnsi="Times New Roman"/>
                <w:sz w:val="15"/>
                <w:szCs w:val="15"/>
                <w:color w:val="auto"/>
              </w:rPr>
              <w:t>22</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20%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30%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40%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50%</w:t>
            </w: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0"/>
        </w:trPr>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65"/>
        </w:trPr>
        <w:tc>
          <w:tcPr>
            <w:tcW w:w="8980" w:type="dxa"/>
            <w:vAlign w:val="bottom"/>
            <w:gridSpan w:val="4"/>
          </w:tcPr>
          <w:p>
            <w:pPr>
              <w:ind w:left="3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60%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70%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80%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90%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100%</w:t>
            </w: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24"/>
        </w:trPr>
        <w:tc>
          <w:tcPr>
            <w:tcW w:w="8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 Is the subscriber an insurance company?</w:t>
            </w:r>
          </w:p>
        </w:tc>
        <w:tc>
          <w:tcPr>
            <w:tcW w:w="980" w:type="dxa"/>
            <w:vAlign w:val="bottom"/>
          </w:tcPr>
          <w:p>
            <w:pPr>
              <w:ind w:left="3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w:t>
            </w:r>
          </w:p>
        </w:tc>
        <w:tc>
          <w:tcPr>
            <w:tcW w:w="580" w:type="dxa"/>
            <w:vAlign w:val="bottom"/>
          </w:tcPr>
          <w:p>
            <w:pPr>
              <w:ind w:left="100"/>
              <w:spacing w:after="0" w:line="207" w:lineRule="exact"/>
              <w:rPr>
                <w:sz w:val="20"/>
                <w:szCs w:val="20"/>
                <w:color w:val="auto"/>
              </w:rPr>
            </w:pPr>
            <w:r>
              <w:rPr>
                <w:rFonts w:ascii="MS PGothic" w:cs="MS PGothic" w:eastAsia="MS PGothic" w:hAnsi="MS PGothic"/>
                <w:sz w:val="18"/>
                <w:szCs w:val="18"/>
                <w:color w:val="auto"/>
                <w:w w:val="94"/>
              </w:rPr>
              <w:t>☐</w:t>
            </w:r>
            <w:r>
              <w:rPr>
                <w:rFonts w:ascii="Times New Roman" w:cs="Times New Roman" w:eastAsia="Times New Roman" w:hAnsi="Times New Roman"/>
                <w:sz w:val="18"/>
                <w:szCs w:val="18"/>
                <w:color w:val="auto"/>
                <w:w w:val="94"/>
              </w:rPr>
              <w:t xml:space="preserve"> NO</w:t>
            </w:r>
          </w:p>
        </w:tc>
      </w:tr>
      <w:tr>
        <w:trPr>
          <w:trHeight w:val="304"/>
        </w:trPr>
        <w:tc>
          <w:tcPr>
            <w:tcW w:w="898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(If YES, go to the next question) (If NO, go to Section V(C) below)</w:t>
            </w: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06"/>
        </w:trPr>
        <w:tc>
          <w:tcPr>
            <w:tcW w:w="898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(1)    Is the subscriber an insurance company investing the assets of its general account (or the assets of a wholly</w:t>
            </w:r>
          </w:p>
        </w:tc>
        <w:tc>
          <w:tcPr>
            <w:tcW w:w="980" w:type="dxa"/>
            <w:vAlign w:val="bottom"/>
          </w:tcPr>
          <w:p>
            <w:pPr>
              <w:ind w:left="3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w:t>
            </w:r>
          </w:p>
        </w:tc>
        <w:tc>
          <w:tcPr>
            <w:tcW w:w="580" w:type="dxa"/>
            <w:vAlign w:val="bottom"/>
          </w:tcPr>
          <w:p>
            <w:pPr>
              <w:ind w:left="100"/>
              <w:spacing w:after="0" w:line="207" w:lineRule="exact"/>
              <w:rPr>
                <w:sz w:val="20"/>
                <w:szCs w:val="20"/>
                <w:color w:val="auto"/>
              </w:rPr>
            </w:pPr>
            <w:r>
              <w:rPr>
                <w:rFonts w:ascii="MS PGothic" w:cs="MS PGothic" w:eastAsia="MS PGothic" w:hAnsi="MS PGothic"/>
                <w:sz w:val="18"/>
                <w:szCs w:val="18"/>
                <w:color w:val="auto"/>
                <w:w w:val="94"/>
              </w:rPr>
              <w:t>☐</w:t>
            </w:r>
            <w:r>
              <w:rPr>
                <w:rFonts w:ascii="Times New Roman" w:cs="Times New Roman" w:eastAsia="Times New Roman" w:hAnsi="Times New Roman"/>
                <w:sz w:val="18"/>
                <w:szCs w:val="18"/>
                <w:color w:val="auto"/>
                <w:w w:val="94"/>
              </w:rPr>
              <w:t xml:space="preserve"> NO</w:t>
            </w:r>
          </w:p>
        </w:tc>
      </w:tr>
      <w:tr>
        <w:trPr>
          <w:trHeight w:val="234"/>
        </w:trPr>
        <w:tc>
          <w:tcPr>
            <w:tcW w:w="8980" w:type="dxa"/>
            <w:vAlign w:val="bottom"/>
            <w:gridSpan w:val="4"/>
          </w:tcPr>
          <w:p>
            <w:pPr>
              <w:ind w:left="720"/>
              <w:spacing w:after="0"/>
              <w:rPr>
                <w:sz w:val="20"/>
                <w:szCs w:val="20"/>
                <w:color w:val="auto"/>
              </w:rPr>
            </w:pPr>
            <w:r>
              <w:rPr>
                <w:rFonts w:ascii="Times New Roman" w:cs="Times New Roman" w:eastAsia="Times New Roman" w:hAnsi="Times New Roman"/>
                <w:sz w:val="18"/>
                <w:szCs w:val="18"/>
                <w:color w:val="auto"/>
              </w:rPr>
              <w:t>owned subsidiary of its general account) in the Company?</w:t>
            </w:r>
          </w:p>
        </w:tc>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324"/>
        </w:trPr>
        <w:tc>
          <w:tcPr>
            <w:tcW w:w="898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(If YES, go to the next question) (If NO, go to Section V(C) below)</w:t>
            </w: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06"/>
        </w:trPr>
        <w:tc>
          <w:tcPr>
            <w:tcW w:w="8980" w:type="dxa"/>
            <w:vAlign w:val="bottom"/>
            <w:gridSpan w:val="4"/>
          </w:tcPr>
          <w:p>
            <w:pPr>
              <w:ind w:left="720"/>
              <w:spacing w:after="0"/>
              <w:rPr>
                <w:sz w:val="20"/>
                <w:szCs w:val="20"/>
                <w:color w:val="auto"/>
              </w:rPr>
            </w:pPr>
            <w:r>
              <w:rPr>
                <w:rFonts w:ascii="Times New Roman" w:cs="Times New Roman" w:eastAsia="Times New Roman" w:hAnsi="Times New Roman"/>
                <w:sz w:val="18"/>
                <w:szCs w:val="18"/>
                <w:color w:val="auto"/>
              </w:rPr>
              <w:t>(a)    Do the underlying assets of the subscriber’s general account constitute “plan assets” within the meaning</w:t>
            </w:r>
          </w:p>
        </w:tc>
        <w:tc>
          <w:tcPr>
            <w:tcW w:w="980" w:type="dxa"/>
            <w:vAlign w:val="bottom"/>
          </w:tcPr>
          <w:p>
            <w:pPr>
              <w:ind w:left="3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w:t>
            </w:r>
          </w:p>
        </w:tc>
        <w:tc>
          <w:tcPr>
            <w:tcW w:w="580" w:type="dxa"/>
            <w:vAlign w:val="bottom"/>
          </w:tcPr>
          <w:p>
            <w:pPr>
              <w:ind w:left="100"/>
              <w:spacing w:after="0" w:line="207" w:lineRule="exact"/>
              <w:rPr>
                <w:sz w:val="20"/>
                <w:szCs w:val="20"/>
                <w:color w:val="auto"/>
              </w:rPr>
            </w:pPr>
            <w:r>
              <w:rPr>
                <w:rFonts w:ascii="MS PGothic" w:cs="MS PGothic" w:eastAsia="MS PGothic" w:hAnsi="MS PGothic"/>
                <w:sz w:val="18"/>
                <w:szCs w:val="18"/>
                <w:color w:val="auto"/>
                <w:w w:val="94"/>
              </w:rPr>
              <w:t>☐</w:t>
            </w:r>
            <w:r>
              <w:rPr>
                <w:rFonts w:ascii="Times New Roman" w:cs="Times New Roman" w:eastAsia="Times New Roman" w:hAnsi="Times New Roman"/>
                <w:sz w:val="18"/>
                <w:szCs w:val="18"/>
                <w:color w:val="auto"/>
                <w:w w:val="94"/>
              </w:rPr>
              <w:t xml:space="preserve"> NO</w:t>
            </w:r>
          </w:p>
        </w:tc>
      </w:tr>
      <w:tr>
        <w:trPr>
          <w:trHeight w:val="234"/>
        </w:trPr>
        <w:tc>
          <w:tcPr>
            <w:tcW w:w="8980" w:type="dxa"/>
            <w:vAlign w:val="bottom"/>
            <w:gridSpan w:val="4"/>
          </w:tcPr>
          <w:p>
            <w:pPr>
              <w:ind w:left="1080"/>
              <w:spacing w:after="0"/>
              <w:rPr>
                <w:sz w:val="20"/>
                <w:szCs w:val="20"/>
                <w:color w:val="auto"/>
              </w:rPr>
            </w:pPr>
            <w:r>
              <w:rPr>
                <w:rFonts w:ascii="Times New Roman" w:cs="Times New Roman" w:eastAsia="Times New Roman" w:hAnsi="Times New Roman"/>
                <w:sz w:val="18"/>
                <w:szCs w:val="18"/>
                <w:color w:val="auto"/>
              </w:rPr>
              <w:t>of Section 401(c) of ERISA?</w:t>
            </w:r>
          </w:p>
        </w:tc>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324"/>
        </w:trPr>
        <w:tc>
          <w:tcPr>
            <w:tcW w:w="898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(If YES, go to the next question) (If NO, go to Section V(C) below)</w:t>
            </w: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06"/>
        </w:trPr>
        <w:tc>
          <w:tcPr>
            <w:tcW w:w="8980" w:type="dxa"/>
            <w:vAlign w:val="bottom"/>
            <w:gridSpan w:val="4"/>
          </w:tcPr>
          <w:p>
            <w:pPr>
              <w:ind w:left="720"/>
              <w:spacing w:after="0"/>
              <w:rPr>
                <w:sz w:val="20"/>
                <w:szCs w:val="20"/>
                <w:color w:val="auto"/>
              </w:rPr>
            </w:pPr>
            <w:r>
              <w:rPr>
                <w:rFonts w:ascii="Times New Roman" w:cs="Times New Roman" w:eastAsia="Times New Roman" w:hAnsi="Times New Roman"/>
                <w:sz w:val="18"/>
                <w:szCs w:val="18"/>
                <w:color w:val="auto"/>
              </w:rPr>
              <w:t>(i)   Indicate the maximum percentage of the underlying assets of the subscriber’s general account deemed to</w:t>
            </w:r>
          </w:p>
        </w:tc>
        <w:tc>
          <w:tcPr>
            <w:tcW w:w="980" w:type="dxa"/>
            <w:vAlign w:val="bottom"/>
          </w:tcPr>
          <w:p>
            <w:pPr>
              <w:ind w:left="3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w:t>
            </w:r>
          </w:p>
        </w:tc>
        <w:tc>
          <w:tcPr>
            <w:tcW w:w="580" w:type="dxa"/>
            <w:vAlign w:val="bottom"/>
          </w:tcPr>
          <w:p>
            <w:pPr>
              <w:ind w:left="100"/>
              <w:spacing w:after="0" w:line="207" w:lineRule="exact"/>
              <w:rPr>
                <w:sz w:val="20"/>
                <w:szCs w:val="20"/>
                <w:color w:val="auto"/>
              </w:rPr>
            </w:pPr>
            <w:r>
              <w:rPr>
                <w:rFonts w:ascii="MS PGothic" w:cs="MS PGothic" w:eastAsia="MS PGothic" w:hAnsi="MS PGothic"/>
                <w:sz w:val="18"/>
                <w:szCs w:val="18"/>
                <w:color w:val="auto"/>
                <w:w w:val="94"/>
              </w:rPr>
              <w:t>☐</w:t>
            </w:r>
            <w:r>
              <w:rPr>
                <w:rFonts w:ascii="Times New Roman" w:cs="Times New Roman" w:eastAsia="Times New Roman" w:hAnsi="Times New Roman"/>
                <w:sz w:val="18"/>
                <w:szCs w:val="18"/>
                <w:color w:val="auto"/>
                <w:w w:val="94"/>
              </w:rPr>
              <w:t xml:space="preserve"> NO</w:t>
            </w:r>
          </w:p>
        </w:tc>
      </w:tr>
      <w:tr>
        <w:trPr>
          <w:trHeight w:val="234"/>
        </w:trPr>
        <w:tc>
          <w:tcPr>
            <w:tcW w:w="8980" w:type="dxa"/>
            <w:vAlign w:val="bottom"/>
            <w:gridSpan w:val="4"/>
          </w:tcPr>
          <w:p>
            <w:pPr>
              <w:ind w:left="1080"/>
              <w:spacing w:after="0"/>
              <w:rPr>
                <w:sz w:val="20"/>
                <w:szCs w:val="20"/>
                <w:color w:val="auto"/>
              </w:rPr>
            </w:pPr>
            <w:r>
              <w:rPr>
                <w:rFonts w:ascii="Times New Roman" w:cs="Times New Roman" w:eastAsia="Times New Roman" w:hAnsi="Times New Roman"/>
                <w:sz w:val="18"/>
                <w:szCs w:val="18"/>
                <w:color w:val="auto"/>
              </w:rPr>
              <w:t>be “plan assets” within the meaning of Section 401(c) of ERISA (please check an applicable box):</w:t>
            </w:r>
          </w:p>
        </w:tc>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83"/>
        </w:trPr>
        <w:tc>
          <w:tcPr>
            <w:tcW w:w="8980" w:type="dxa"/>
            <w:vAlign w:val="bottom"/>
            <w:gridSpan w:val="4"/>
          </w:tcPr>
          <w:p>
            <w:pPr>
              <w:ind w:left="3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10%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20%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30%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40%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50%</w:t>
            </w: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0"/>
        </w:trPr>
        <w:tc>
          <w:tcPr>
            <w:tcW w:w="1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5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64"/>
        </w:trPr>
        <w:tc>
          <w:tcPr>
            <w:tcW w:w="8980" w:type="dxa"/>
            <w:vAlign w:val="bottom"/>
            <w:gridSpan w:val="4"/>
          </w:tcPr>
          <w:p>
            <w:pPr>
              <w:ind w:left="3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60%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70%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80%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90%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100%</w:t>
            </w: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86"/>
        </w:trPr>
        <w:tc>
          <w:tcPr>
            <w:tcW w:w="898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(2)    Is the subscriber an insurance company investing the assets of a “separate account”</w:t>
            </w:r>
            <w:r>
              <w:rPr>
                <w:rFonts w:ascii="Times New Roman" w:cs="Times New Roman" w:eastAsia="Times New Roman" w:hAnsi="Times New Roman"/>
                <w:sz w:val="15"/>
                <w:szCs w:val="15"/>
                <w:color w:val="auto"/>
              </w:rPr>
              <w:t>23</w:t>
            </w:r>
            <w:r>
              <w:rPr>
                <w:rFonts w:ascii="Times New Roman" w:cs="Times New Roman" w:eastAsia="Times New Roman" w:hAnsi="Times New Roman"/>
                <w:sz w:val="18"/>
                <w:szCs w:val="18"/>
                <w:color w:val="auto"/>
              </w:rPr>
              <w:t xml:space="preserve"> within the meaning of</w:t>
            </w:r>
          </w:p>
        </w:tc>
        <w:tc>
          <w:tcPr>
            <w:tcW w:w="980" w:type="dxa"/>
            <w:vAlign w:val="bottom"/>
          </w:tcPr>
          <w:p>
            <w:pPr>
              <w:ind w:left="3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w:t>
            </w:r>
          </w:p>
        </w:tc>
        <w:tc>
          <w:tcPr>
            <w:tcW w:w="580" w:type="dxa"/>
            <w:vAlign w:val="bottom"/>
          </w:tcPr>
          <w:p>
            <w:pPr>
              <w:ind w:left="100"/>
              <w:spacing w:after="0" w:line="207" w:lineRule="exact"/>
              <w:rPr>
                <w:sz w:val="20"/>
                <w:szCs w:val="20"/>
                <w:color w:val="auto"/>
              </w:rPr>
            </w:pPr>
            <w:r>
              <w:rPr>
                <w:rFonts w:ascii="MS PGothic" w:cs="MS PGothic" w:eastAsia="MS PGothic" w:hAnsi="MS PGothic"/>
                <w:sz w:val="18"/>
                <w:szCs w:val="18"/>
                <w:color w:val="auto"/>
                <w:w w:val="94"/>
              </w:rPr>
              <w:t>☐</w:t>
            </w:r>
            <w:r>
              <w:rPr>
                <w:rFonts w:ascii="Times New Roman" w:cs="Times New Roman" w:eastAsia="Times New Roman" w:hAnsi="Times New Roman"/>
                <w:sz w:val="18"/>
                <w:szCs w:val="18"/>
                <w:color w:val="auto"/>
                <w:w w:val="94"/>
              </w:rPr>
              <w:t xml:space="preserve"> NO</w:t>
            </w:r>
          </w:p>
        </w:tc>
      </w:tr>
      <w:tr>
        <w:trPr>
          <w:trHeight w:val="234"/>
        </w:trPr>
        <w:tc>
          <w:tcPr>
            <w:tcW w:w="8980" w:type="dxa"/>
            <w:vAlign w:val="bottom"/>
            <w:gridSpan w:val="4"/>
          </w:tcPr>
          <w:p>
            <w:pPr>
              <w:ind w:left="720"/>
              <w:spacing w:after="0"/>
              <w:rPr>
                <w:sz w:val="20"/>
                <w:szCs w:val="20"/>
                <w:color w:val="auto"/>
              </w:rPr>
            </w:pPr>
            <w:r>
              <w:rPr>
                <w:rFonts w:ascii="Times New Roman" w:cs="Times New Roman" w:eastAsia="Times New Roman" w:hAnsi="Times New Roman"/>
                <w:sz w:val="18"/>
                <w:szCs w:val="18"/>
                <w:color w:val="auto"/>
              </w:rPr>
              <w:t>Section 3(17) of ERISA in the Company?</w:t>
            </w:r>
          </w:p>
        </w:tc>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324"/>
        </w:trPr>
        <w:tc>
          <w:tcPr>
            <w:tcW w:w="898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(If YES, proceed to the next question) (If NO, proceed to Section VII(C) below)</w:t>
            </w: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44"/>
        </w:trPr>
        <w:tc>
          <w:tcPr>
            <w:tcW w:w="8980" w:type="dxa"/>
            <w:vAlign w:val="bottom"/>
            <w:gridSpan w:val="4"/>
          </w:tcPr>
          <w:p>
            <w:pPr>
              <w:ind w:left="720"/>
              <w:spacing w:after="0"/>
              <w:rPr>
                <w:sz w:val="20"/>
                <w:szCs w:val="20"/>
                <w:color w:val="auto"/>
              </w:rPr>
            </w:pPr>
            <w:r>
              <w:rPr>
                <w:rFonts w:ascii="Times New Roman" w:cs="Times New Roman" w:eastAsia="Times New Roman" w:hAnsi="Times New Roman"/>
                <w:sz w:val="18"/>
                <w:szCs w:val="18"/>
                <w:color w:val="auto"/>
              </w:rPr>
              <w:t>(a)    Does any “Benefit Plan Investor” hold any type of interest in such separate account?</w:t>
            </w:r>
          </w:p>
        </w:tc>
        <w:tc>
          <w:tcPr>
            <w:tcW w:w="980" w:type="dxa"/>
            <w:vAlign w:val="bottom"/>
          </w:tcPr>
          <w:p>
            <w:pPr>
              <w:ind w:left="3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w:t>
            </w:r>
          </w:p>
        </w:tc>
        <w:tc>
          <w:tcPr>
            <w:tcW w:w="580" w:type="dxa"/>
            <w:vAlign w:val="bottom"/>
          </w:tcPr>
          <w:p>
            <w:pPr>
              <w:ind w:left="100"/>
              <w:spacing w:after="0" w:line="207" w:lineRule="exact"/>
              <w:rPr>
                <w:sz w:val="20"/>
                <w:szCs w:val="20"/>
                <w:color w:val="auto"/>
              </w:rPr>
            </w:pPr>
            <w:r>
              <w:rPr>
                <w:rFonts w:ascii="MS PGothic" w:cs="MS PGothic" w:eastAsia="MS PGothic" w:hAnsi="MS PGothic"/>
                <w:sz w:val="18"/>
                <w:szCs w:val="18"/>
                <w:color w:val="auto"/>
                <w:w w:val="94"/>
              </w:rPr>
              <w:t>☐</w:t>
            </w:r>
            <w:r>
              <w:rPr>
                <w:rFonts w:ascii="Times New Roman" w:cs="Times New Roman" w:eastAsia="Times New Roman" w:hAnsi="Times New Roman"/>
                <w:sz w:val="18"/>
                <w:szCs w:val="18"/>
                <w:color w:val="auto"/>
                <w:w w:val="94"/>
              </w:rPr>
              <w:t xml:space="preserve"> 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158750</wp:posOffset>
            </wp:positionV>
            <wp:extent cx="77152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52" w:lineRule="exact"/>
        <w:rPr>
          <w:sz w:val="20"/>
          <w:szCs w:val="20"/>
          <w:color w:val="auto"/>
        </w:rPr>
      </w:pPr>
    </w:p>
    <w:p>
      <w:pPr>
        <w:ind w:left="424" w:hanging="424"/>
        <w:spacing w:after="0"/>
        <w:tabs>
          <w:tab w:leader="none" w:pos="424" w:val="left"/>
        </w:tabs>
        <w:numPr>
          <w:ilvl w:val="0"/>
          <w:numId w:val="18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Applicable to entities with multiple classes, one of which exceeds the 25% threshold for Benefit Plan Investors.</w:t>
      </w:r>
    </w:p>
    <w:p>
      <w:pPr>
        <w:spacing w:after="0" w:line="27" w:lineRule="exact"/>
        <w:rPr>
          <w:rFonts w:ascii="Times New Roman" w:cs="Times New Roman" w:eastAsia="Times New Roman" w:hAnsi="Times New Roman"/>
          <w:sz w:val="15"/>
          <w:szCs w:val="15"/>
          <w:color w:val="auto"/>
        </w:rPr>
      </w:pPr>
    </w:p>
    <w:p>
      <w:pPr>
        <w:ind w:left="424" w:hanging="424"/>
        <w:spacing w:after="0" w:line="255" w:lineRule="auto"/>
        <w:tabs>
          <w:tab w:leader="none" w:pos="424" w:val="left"/>
        </w:tabs>
        <w:numPr>
          <w:ilvl w:val="0"/>
          <w:numId w:val="18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term “separate account” means an account established or maintained by an insurance company under which income, gains, and losses, whether or not realized, from assets allocated to such account, are, in accordance with the applicable contract, credited to or charged against such account without regard to other income, gains, or losses of the insurance company.</w:t>
      </w:r>
    </w:p>
    <w:p>
      <w:pPr>
        <w:sectPr>
          <w:pgSz w:w="11900" w:h="16838" w:orient="portrait"/>
          <w:cols w:equalWidth="0" w:num="1">
            <w:col w:w="10884"/>
          </w:cols>
          <w:pgMar w:left="436" w:top="241" w:right="579" w:bottom="1440" w:gutter="0" w:footer="0" w:header="0"/>
        </w:sectPr>
      </w:pPr>
    </w:p>
    <w:bookmarkStart w:id="195" w:name="page196"/>
    <w:bookmarkEnd w:id="195"/>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YES, proceed to the next question) (If NO, proceed to Section V(C) below)</w:t>
      </w:r>
    </w:p>
    <w:p>
      <w:pPr>
        <w:spacing w:after="0" w:line="117" w:lineRule="exact"/>
        <w:rPr>
          <w:sz w:val="20"/>
          <w:szCs w:val="20"/>
          <w:color w:val="auto"/>
        </w:rPr>
      </w:pPr>
    </w:p>
    <w:p>
      <w:pPr>
        <w:ind w:left="364" w:right="80" w:hanging="359"/>
        <w:spacing w:after="0" w:line="261" w:lineRule="auto"/>
        <w:rPr>
          <w:sz w:val="20"/>
          <w:szCs w:val="20"/>
          <w:color w:val="auto"/>
        </w:rPr>
      </w:pPr>
      <w:r>
        <w:rPr>
          <w:rFonts w:ascii="Times New Roman" w:cs="Times New Roman" w:eastAsia="Times New Roman" w:hAnsi="Times New Roman"/>
          <w:sz w:val="18"/>
          <w:szCs w:val="18"/>
          <w:color w:val="auto"/>
        </w:rPr>
        <w:t>(i)  Is such separate account maintained solely in connection with fixed contractual obligations of the insurance company under which the amounts payable, or credited, to the “Benefit Plan Investor” and to any participant or beneficiary of the “Benefit Plan Investor” (or an underlying plan) (including an annuitant) are not affected in any manner by the investment performance of the separate account?</w:t>
      </w:r>
    </w:p>
    <w:p>
      <w:pPr>
        <w:spacing w:after="0" w:line="72" w:lineRule="exact"/>
        <w:rPr>
          <w:sz w:val="20"/>
          <w:szCs w:val="20"/>
          <w:color w:val="auto"/>
        </w:rPr>
      </w:pPr>
    </w:p>
    <w:p>
      <w:pPr>
        <w:ind w:left="4" w:hanging="359"/>
        <w:spacing w:after="0" w:line="270" w:lineRule="auto"/>
        <w:rPr>
          <w:sz w:val="20"/>
          <w:szCs w:val="20"/>
          <w:color w:val="auto"/>
        </w:rPr>
      </w:pPr>
      <w:r>
        <w:rPr>
          <w:rFonts w:ascii="Times New Roman" w:cs="Times New Roman" w:eastAsia="Times New Roman" w:hAnsi="Times New Roman"/>
          <w:sz w:val="17"/>
          <w:szCs w:val="17"/>
          <w:color w:val="auto"/>
        </w:rPr>
        <w:t>(C)   Is the subscriber (i) an “employee benefit plan” within the meaning of Section 3(3) of ERISA that is not subject to Title I of ERISA or Section 4975 of the Code, (ii) a “governmental plan” within the meaning of Section 3(32) of ERISA, (iii) a plan, fund or other similar program that is established or maintained outside the United States which provides for retirement income, a deferral of income in contemplation of retirement or payments to be made upon termination of employment, or</w:t>
      </w:r>
    </w:p>
    <w:p>
      <w:pPr>
        <w:spacing w:after="0" w:line="3" w:lineRule="exact"/>
        <w:rPr>
          <w:sz w:val="20"/>
          <w:szCs w:val="20"/>
          <w:color w:val="auto"/>
        </w:rPr>
      </w:pPr>
    </w:p>
    <w:p>
      <w:pPr>
        <w:ind w:left="4" w:right="1840" w:hanging="4"/>
        <w:spacing w:after="0" w:line="365" w:lineRule="auto"/>
        <w:tabs>
          <w:tab w:leader="none" w:pos="309"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deemed to be investing the assets of any of the foregoing described in clauses (i), (iii) or (iii)? (If YES, go to the next question) (If NO, go to Section VI below)</w:t>
      </w: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 Is the subscriber in compliance with all rules and regulations that constitute the body of law by which it is governed?</w:t>
      </w:r>
    </w:p>
    <w:p>
      <w:pPr>
        <w:spacing w:after="0" w:line="117" w:lineRule="exact"/>
        <w:rPr>
          <w:sz w:val="20"/>
          <w:szCs w:val="20"/>
          <w:color w:val="auto"/>
        </w:rPr>
      </w:pPr>
    </w:p>
    <w:p>
      <w:pPr>
        <w:ind w:left="364" w:right="20" w:hanging="359"/>
        <w:spacing w:after="0" w:line="256" w:lineRule="auto"/>
        <w:rPr>
          <w:sz w:val="20"/>
          <w:szCs w:val="20"/>
          <w:color w:val="auto"/>
        </w:rPr>
      </w:pPr>
      <w:r>
        <w:rPr>
          <w:rFonts w:ascii="Times New Roman" w:cs="Times New Roman" w:eastAsia="Times New Roman" w:hAnsi="Times New Roman"/>
          <w:sz w:val="18"/>
          <w:szCs w:val="18"/>
          <w:color w:val="auto"/>
        </w:rPr>
        <w:t>(2)    The subscriber represents and warrants that the subscriber is not subject to other federal, state, local, non-U.S. or other laws or regulations that could cause the underlying assets of the Company to be treated as assets of the subscriber by virtue of its investment in the Company and thereby subject the Company or the Adviser (or other persons responsible for the operation of Company and/or investment of the Company’s assets) to laws or regulations that are similar to the fiduciary responsibility or prohibited transaction provisions contained in Title I of ERISA or Section 4975 of the Code.</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ind w:left="207" w:hanging="207"/>
        <w:spacing w:after="0" w:line="207" w:lineRule="exact"/>
        <w:tabs>
          <w:tab w:leader="none" w:pos="207" w:val="left"/>
        </w:tabs>
        <w:numPr>
          <w:ilvl w:val="0"/>
          <w:numId w:val="18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spacing w:after="0" w:line="365" w:lineRule="exact"/>
        <w:rPr>
          <w:rFonts w:ascii="MS PGothic" w:cs="MS PGothic" w:eastAsia="MS PGothic" w:hAnsi="MS PGothic"/>
          <w:sz w:val="18"/>
          <w:szCs w:val="18"/>
          <w:color w:val="auto"/>
        </w:rPr>
      </w:pPr>
    </w:p>
    <w:p>
      <w:pPr>
        <w:ind w:left="207" w:hanging="207"/>
        <w:spacing w:after="0" w:line="207" w:lineRule="exact"/>
        <w:tabs>
          <w:tab w:leader="none" w:pos="207" w:val="left"/>
        </w:tabs>
        <w:numPr>
          <w:ilvl w:val="0"/>
          <w:numId w:val="18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spacing w:after="0" w:line="305" w:lineRule="exact"/>
        <w:rPr>
          <w:rFonts w:ascii="MS PGothic" w:cs="MS PGothic" w:eastAsia="MS PGothic" w:hAnsi="MS PGothic"/>
          <w:sz w:val="18"/>
          <w:szCs w:val="18"/>
          <w:color w:val="auto"/>
        </w:rPr>
      </w:pPr>
    </w:p>
    <w:p>
      <w:pPr>
        <w:ind w:left="207" w:hanging="207"/>
        <w:spacing w:after="0" w:line="207" w:lineRule="exact"/>
        <w:tabs>
          <w:tab w:leader="none" w:pos="207" w:val="left"/>
        </w:tabs>
        <w:numPr>
          <w:ilvl w:val="0"/>
          <w:numId w:val="18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ectPr>
          <w:pgSz w:w="11900" w:h="16838" w:orient="portrait"/>
          <w:cols w:equalWidth="0" w:num="2">
            <w:col w:w="8884" w:space="233"/>
            <w:col w:w="1247"/>
          </w:cols>
          <w:pgMar w:left="796" w:top="270" w:right="739" w:bottom="1440" w:gutter="0" w:footer="0" w:header="0"/>
        </w:sectPr>
      </w:pPr>
    </w:p>
    <w:bookmarkStart w:id="196" w:name="page197"/>
    <w:bookmarkEnd w:id="196"/>
    <w:p>
      <w:pPr>
        <w:ind w:left="424"/>
        <w:spacing w:after="0"/>
        <w:tabs>
          <w:tab w:leader="none" w:pos="944" w:val="left"/>
        </w:tabs>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VI.</w:t>
      </w:r>
      <w:r>
        <w:rPr>
          <w:sz w:val="20"/>
          <w:szCs w:val="20"/>
          <w:color w:val="auto"/>
        </w:rPr>
        <w:tab/>
      </w:r>
      <w:r>
        <w:rPr>
          <w:rFonts w:ascii="Times New Roman" w:cs="Times New Roman" w:eastAsia="Times New Roman" w:hAnsi="Times New Roman"/>
          <w:sz w:val="17"/>
          <w:szCs w:val="17"/>
          <w:b w:val="1"/>
          <w:bCs w:val="1"/>
          <w:color w:val="auto"/>
        </w:rPr>
        <w:t>Background Information Relating to Certain Tax Matters</w:t>
      </w:r>
    </w:p>
    <w:p>
      <w:pPr>
        <w:sectPr>
          <w:pgSz w:w="11900" w:h="16838" w:orient="portrait"/>
          <w:cols w:equalWidth="0" w:num="1">
            <w:col w:w="10984"/>
          </w:cols>
          <w:pgMar w:left="436" w:top="266" w:right="479" w:bottom="1440" w:gutter="0" w:footer="0" w:header="0"/>
        </w:sectPr>
      </w:pPr>
    </w:p>
    <w:p>
      <w:pPr>
        <w:spacing w:after="0" w:line="268"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18"/>
          <w:szCs w:val="18"/>
          <w:color w:val="auto"/>
        </w:rPr>
        <w:t>(A)   Is the subscriber a “U.S. Person” for U.S. federal income tax purposes?</w:t>
      </w:r>
      <w:r>
        <w:rPr>
          <w:rFonts w:ascii="Times New Roman" w:cs="Times New Roman" w:eastAsia="Times New Roman" w:hAnsi="Times New Roman"/>
          <w:sz w:val="15"/>
          <w:szCs w:val="15"/>
          <w:color w:val="auto"/>
        </w:rPr>
        <w:t>24</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YES</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t>
      </w:r>
    </w:p>
    <w:p>
      <w:pPr>
        <w:spacing w:after="0" w:line="131" w:lineRule="exact"/>
        <w:rPr>
          <w:sz w:val="20"/>
          <w:szCs w:val="20"/>
          <w:color w:val="auto"/>
        </w:rPr>
      </w:pPr>
    </w:p>
    <w:p>
      <w:pPr>
        <w:sectPr>
          <w:pgSz w:w="11900" w:h="16838" w:orient="portrait"/>
          <w:cols w:equalWidth="0" w:num="5">
            <w:col w:w="7624" w:space="720"/>
            <w:col w:w="160" w:space="40"/>
            <w:col w:w="340" w:space="320"/>
            <w:col w:w="160" w:space="40"/>
            <w:col w:w="1580"/>
          </w:cols>
          <w:pgMar w:left="436" w:top="266" w:right="479" w:bottom="1440" w:gutter="0" w:footer="0" w:header="0"/>
          <w:type w:val="continuous"/>
        </w:sectPr>
      </w:pPr>
    </w:p>
    <w:p>
      <w:pPr>
        <w:ind w:left="724" w:right="540" w:hanging="359"/>
        <w:spacing w:after="0" w:line="282" w:lineRule="auto"/>
        <w:rPr>
          <w:sz w:val="20"/>
          <w:szCs w:val="20"/>
          <w:color w:val="auto"/>
        </w:rPr>
      </w:pPr>
      <w:r>
        <w:rPr>
          <w:rFonts w:ascii="Times New Roman" w:cs="Times New Roman" w:eastAsia="Times New Roman" w:hAnsi="Times New Roman"/>
          <w:sz w:val="18"/>
          <w:szCs w:val="18"/>
          <w:color w:val="auto"/>
        </w:rPr>
        <w:t>(B)   U.S. Social Security (for individuals) or U.S. Tax Identification Number (e.g., EIN, GIIN or FTIN) (for entities, trustees and custodians (including for Individual Retirement Accounts)):</w:t>
      </w:r>
    </w:p>
    <w:p>
      <w:pPr>
        <w:spacing w:after="0" w:line="189" w:lineRule="exact"/>
        <w:rPr>
          <w:sz w:val="20"/>
          <w:szCs w:val="20"/>
          <w:color w:val="auto"/>
        </w:rPr>
      </w:pPr>
    </w:p>
    <w:p>
      <w:pPr>
        <w:ind w:left="724"/>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w:t>
      </w:r>
    </w:p>
    <w:p>
      <w:pPr>
        <w:spacing w:after="0" w:line="131"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9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   In what jurisdictions is the subscriber resident for tax purposes?</w:t>
            </w:r>
          </w:p>
        </w:tc>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459"/>
        </w:trPr>
        <w:tc>
          <w:tcPr>
            <w:tcW w:w="93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w:t>
            </w: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19"/>
        </w:trPr>
        <w:tc>
          <w:tcPr>
            <w:tcW w:w="9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   Please indicate whether the subscriber, for income tax purposes, files now or has ever filed a tax or information return,</w:t>
            </w:r>
          </w:p>
        </w:tc>
        <w:tc>
          <w:tcPr>
            <w:tcW w:w="780" w:type="dxa"/>
            <w:vAlign w:val="bottom"/>
          </w:tcPr>
          <w:p>
            <w:pPr>
              <w:ind w:left="1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w:t>
            </w:r>
          </w:p>
        </w:tc>
        <w:tc>
          <w:tcPr>
            <w:tcW w:w="580" w:type="dxa"/>
            <w:vAlign w:val="bottom"/>
          </w:tcPr>
          <w:p>
            <w:pPr>
              <w:ind w:left="100"/>
              <w:spacing w:after="0" w:line="207" w:lineRule="exact"/>
              <w:rPr>
                <w:sz w:val="20"/>
                <w:szCs w:val="20"/>
                <w:color w:val="auto"/>
              </w:rPr>
            </w:pPr>
            <w:r>
              <w:rPr>
                <w:rFonts w:ascii="MS PGothic" w:cs="MS PGothic" w:eastAsia="MS PGothic" w:hAnsi="MS PGothic"/>
                <w:sz w:val="18"/>
                <w:szCs w:val="18"/>
                <w:color w:val="auto"/>
                <w:w w:val="94"/>
              </w:rPr>
              <w:t>☐</w:t>
            </w:r>
            <w:r>
              <w:rPr>
                <w:rFonts w:ascii="Times New Roman" w:cs="Times New Roman" w:eastAsia="Times New Roman" w:hAnsi="Times New Roman"/>
                <w:sz w:val="18"/>
                <w:szCs w:val="18"/>
                <w:color w:val="auto"/>
                <w:w w:val="94"/>
              </w:rPr>
              <w:t xml:space="preserve"> NO</w:t>
            </w:r>
          </w:p>
        </w:tc>
      </w:tr>
      <w:tr>
        <w:trPr>
          <w:trHeight w:val="234"/>
        </w:trPr>
        <w:tc>
          <w:tcPr>
            <w:tcW w:w="93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as:</w:t>
            </w:r>
          </w:p>
        </w:tc>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344"/>
        </w:trPr>
        <w:tc>
          <w:tcPr>
            <w:tcW w:w="93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(1)    A partnership;</w:t>
            </w:r>
          </w:p>
        </w:tc>
        <w:tc>
          <w:tcPr>
            <w:tcW w:w="780" w:type="dxa"/>
            <w:vAlign w:val="bottom"/>
          </w:tcPr>
          <w:p>
            <w:pPr>
              <w:ind w:left="1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w:t>
            </w:r>
          </w:p>
        </w:tc>
        <w:tc>
          <w:tcPr>
            <w:tcW w:w="580" w:type="dxa"/>
            <w:vAlign w:val="bottom"/>
          </w:tcPr>
          <w:p>
            <w:pPr>
              <w:ind w:left="100"/>
              <w:spacing w:after="0" w:line="207" w:lineRule="exact"/>
              <w:rPr>
                <w:sz w:val="20"/>
                <w:szCs w:val="20"/>
                <w:color w:val="auto"/>
              </w:rPr>
            </w:pPr>
            <w:r>
              <w:rPr>
                <w:rFonts w:ascii="MS PGothic" w:cs="MS PGothic" w:eastAsia="MS PGothic" w:hAnsi="MS PGothic"/>
                <w:sz w:val="18"/>
                <w:szCs w:val="18"/>
                <w:color w:val="auto"/>
                <w:w w:val="94"/>
              </w:rPr>
              <w:t>☐</w:t>
            </w:r>
            <w:r>
              <w:rPr>
                <w:rFonts w:ascii="Times New Roman" w:cs="Times New Roman" w:eastAsia="Times New Roman" w:hAnsi="Times New Roman"/>
                <w:sz w:val="18"/>
                <w:szCs w:val="18"/>
                <w:color w:val="auto"/>
                <w:w w:val="94"/>
              </w:rPr>
              <w:t xml:space="preserve"> NO</w:t>
            </w:r>
          </w:p>
        </w:tc>
      </w:tr>
      <w:tr>
        <w:trPr>
          <w:trHeight w:val="324"/>
        </w:trPr>
        <w:tc>
          <w:tcPr>
            <w:tcW w:w="93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(2)    A “grantor” trust; or</w:t>
            </w:r>
          </w:p>
        </w:tc>
        <w:tc>
          <w:tcPr>
            <w:tcW w:w="780" w:type="dxa"/>
            <w:vAlign w:val="bottom"/>
          </w:tcPr>
          <w:p>
            <w:pPr>
              <w:ind w:left="1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w:t>
            </w:r>
          </w:p>
        </w:tc>
        <w:tc>
          <w:tcPr>
            <w:tcW w:w="580" w:type="dxa"/>
            <w:vAlign w:val="bottom"/>
          </w:tcPr>
          <w:p>
            <w:pPr>
              <w:ind w:left="100"/>
              <w:spacing w:after="0" w:line="207" w:lineRule="exact"/>
              <w:rPr>
                <w:sz w:val="20"/>
                <w:szCs w:val="20"/>
                <w:color w:val="auto"/>
              </w:rPr>
            </w:pPr>
            <w:r>
              <w:rPr>
                <w:rFonts w:ascii="MS PGothic" w:cs="MS PGothic" w:eastAsia="MS PGothic" w:hAnsi="MS PGothic"/>
                <w:sz w:val="18"/>
                <w:szCs w:val="18"/>
                <w:color w:val="auto"/>
                <w:w w:val="94"/>
              </w:rPr>
              <w:t>☐</w:t>
            </w:r>
            <w:r>
              <w:rPr>
                <w:rFonts w:ascii="Times New Roman" w:cs="Times New Roman" w:eastAsia="Times New Roman" w:hAnsi="Times New Roman"/>
                <w:sz w:val="18"/>
                <w:szCs w:val="18"/>
                <w:color w:val="auto"/>
                <w:w w:val="94"/>
              </w:rPr>
              <w:t xml:space="preserve"> NO</w:t>
            </w:r>
          </w:p>
        </w:tc>
      </w:tr>
      <w:tr>
        <w:trPr>
          <w:trHeight w:val="324"/>
        </w:trPr>
        <w:tc>
          <w:tcPr>
            <w:tcW w:w="93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(3)    An “S corporation” under Sections 1361-1379 of the Code (if the subscriber is a U.S. corporation)</w:t>
            </w:r>
          </w:p>
        </w:tc>
        <w:tc>
          <w:tcPr>
            <w:tcW w:w="780" w:type="dxa"/>
            <w:vAlign w:val="bottom"/>
          </w:tcPr>
          <w:p>
            <w:pPr>
              <w:ind w:left="1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w:t>
            </w:r>
          </w:p>
        </w:tc>
        <w:tc>
          <w:tcPr>
            <w:tcW w:w="580" w:type="dxa"/>
            <w:vAlign w:val="bottom"/>
          </w:tcPr>
          <w:p>
            <w:pPr>
              <w:ind w:left="100"/>
              <w:spacing w:after="0" w:line="207" w:lineRule="exact"/>
              <w:rPr>
                <w:sz w:val="20"/>
                <w:szCs w:val="20"/>
                <w:color w:val="auto"/>
              </w:rPr>
            </w:pPr>
            <w:r>
              <w:rPr>
                <w:rFonts w:ascii="MS PGothic" w:cs="MS PGothic" w:eastAsia="MS PGothic" w:hAnsi="MS PGothic"/>
                <w:sz w:val="18"/>
                <w:szCs w:val="18"/>
                <w:color w:val="auto"/>
                <w:w w:val="94"/>
              </w:rPr>
              <w:t>☐</w:t>
            </w:r>
            <w:r>
              <w:rPr>
                <w:rFonts w:ascii="Times New Roman" w:cs="Times New Roman" w:eastAsia="Times New Roman" w:hAnsi="Times New Roman"/>
                <w:sz w:val="18"/>
                <w:szCs w:val="18"/>
                <w:color w:val="auto"/>
                <w:w w:val="94"/>
              </w:rPr>
              <w:t xml:space="preserve"> NO</w:t>
            </w:r>
          </w:p>
        </w:tc>
      </w:tr>
      <w:tr>
        <w:trPr>
          <w:trHeight w:val="286"/>
        </w:trPr>
        <w:tc>
          <w:tcPr>
            <w:tcW w:w="9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   Please indicate the total number of shareholders, partners or other holders of equity or beneficial interests or other</w:t>
            </w: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16"/>
        </w:trPr>
        <w:tc>
          <w:tcPr>
            <w:tcW w:w="93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securities (including any debt securities other than short-term paper) of the subscriber (if the number is more than 100,</w:t>
            </w: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4"/>
        </w:trPr>
        <w:tc>
          <w:tcPr>
            <w:tcW w:w="93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it is sufficient to respond “more than 100”):</w:t>
            </w:r>
          </w:p>
        </w:tc>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344"/>
        </w:trPr>
        <w:tc>
          <w:tcPr>
            <w:tcW w:w="9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   Is the subscriber a tax-exempt investor?</w:t>
            </w:r>
            <w:r>
              <w:rPr>
                <w:rFonts w:ascii="Times New Roman" w:cs="Times New Roman" w:eastAsia="Times New Roman" w:hAnsi="Times New Roman"/>
                <w:sz w:val="15"/>
                <w:szCs w:val="15"/>
                <w:color w:val="auto"/>
              </w:rPr>
              <w:t>25</w:t>
            </w:r>
          </w:p>
        </w:tc>
        <w:tc>
          <w:tcPr>
            <w:tcW w:w="780" w:type="dxa"/>
            <w:vAlign w:val="bottom"/>
          </w:tcPr>
          <w:p>
            <w:pPr>
              <w:ind w:left="1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w:t>
            </w:r>
          </w:p>
        </w:tc>
        <w:tc>
          <w:tcPr>
            <w:tcW w:w="580" w:type="dxa"/>
            <w:vAlign w:val="bottom"/>
          </w:tcPr>
          <w:p>
            <w:pPr>
              <w:ind w:left="100"/>
              <w:spacing w:after="0" w:line="207" w:lineRule="exact"/>
              <w:rPr>
                <w:sz w:val="20"/>
                <w:szCs w:val="20"/>
                <w:color w:val="auto"/>
              </w:rPr>
            </w:pPr>
            <w:r>
              <w:rPr>
                <w:rFonts w:ascii="MS PGothic" w:cs="MS PGothic" w:eastAsia="MS PGothic" w:hAnsi="MS PGothic"/>
                <w:sz w:val="18"/>
                <w:szCs w:val="18"/>
                <w:color w:val="auto"/>
                <w:w w:val="94"/>
              </w:rPr>
              <w:t>☐</w:t>
            </w:r>
            <w:r>
              <w:rPr>
                <w:rFonts w:ascii="Times New Roman" w:cs="Times New Roman" w:eastAsia="Times New Roman" w:hAnsi="Times New Roman"/>
                <w:sz w:val="18"/>
                <w:szCs w:val="18"/>
                <w:color w:val="auto"/>
                <w:w w:val="94"/>
              </w:rPr>
              <w:t xml:space="preserve"> NO</w:t>
            </w:r>
          </w:p>
        </w:tc>
      </w:tr>
      <w:tr>
        <w:trPr>
          <w:trHeight w:val="304"/>
        </w:trPr>
        <w:tc>
          <w:tcPr>
            <w:tcW w:w="9360" w:type="dxa"/>
            <w:vAlign w:val="bottom"/>
          </w:tcPr>
          <w:p>
            <w:pPr>
              <w:spacing w:after="0"/>
              <w:rPr>
                <w:sz w:val="20"/>
                <w:szCs w:val="20"/>
                <w:color w:val="auto"/>
              </w:rPr>
            </w:pPr>
            <w:r>
              <w:rPr>
                <w:rFonts w:ascii="Times New Roman" w:cs="Times New Roman" w:eastAsia="Times New Roman" w:hAnsi="Times New Roman"/>
                <w:sz w:val="18"/>
                <w:szCs w:val="18"/>
                <w:color w:val="auto"/>
              </w:rPr>
              <w:t>(If YES, proceed to the next question) (If NO, proceed to Section VI(G) below)</w:t>
            </w: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248285</wp:posOffset>
            </wp:positionV>
            <wp:extent cx="77152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94" w:lineRule="exact"/>
        <w:rPr>
          <w:sz w:val="20"/>
          <w:szCs w:val="20"/>
          <w:color w:val="auto"/>
        </w:rPr>
      </w:pPr>
    </w:p>
    <w:p>
      <w:pPr>
        <w:ind w:left="424" w:right="20" w:hanging="424"/>
        <w:spacing w:after="0" w:line="254" w:lineRule="auto"/>
        <w:tabs>
          <w:tab w:leader="none" w:pos="424" w:val="left"/>
        </w:tabs>
        <w:numPr>
          <w:ilvl w:val="0"/>
          <w:numId w:val="18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 “U.S. person” for this purpose is defined in Section 7701(a)(30) of the Code and means generally any citizen or resident of the United States, a corporation, partnership or other entity created or organized in or under the laws of the United States or any political subdivision thereof, an estate the income of which is subject to United States federal income taxation regardless of its source, or any trust if (i) a U.S. court is able to exercise primary supervision over the trust’s administration and (ii) one or more United States persons have the authority to control all of the trust’s substantial decisions.</w:t>
      </w:r>
    </w:p>
    <w:p>
      <w:pPr>
        <w:spacing w:after="0" w:line="3" w:lineRule="exact"/>
        <w:rPr>
          <w:rFonts w:ascii="Times New Roman" w:cs="Times New Roman" w:eastAsia="Times New Roman" w:hAnsi="Times New Roman"/>
          <w:sz w:val="15"/>
          <w:szCs w:val="15"/>
          <w:color w:val="auto"/>
        </w:rPr>
      </w:pPr>
    </w:p>
    <w:p>
      <w:pPr>
        <w:ind w:left="424" w:hanging="424"/>
        <w:spacing w:after="0" w:line="252" w:lineRule="auto"/>
        <w:tabs>
          <w:tab w:leader="none" w:pos="424" w:val="left"/>
        </w:tabs>
        <w:numPr>
          <w:ilvl w:val="0"/>
          <w:numId w:val="18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 tax-exempt investor is one that is exempt from U.S. federal income taxation under Sections 115, 501 or 892 of the Code (very generally, states and municipalities, certain organizations that have applied for and received an exemption from U.S. tax and foreign governments and their controlled entities), as well as a flow through entity for U.S. federal income tax purposes, a significant portion of the equity securities of which are owned by Persons exempt from U.S. federal income taxation under Section 501(a) of the Code. “Person” means any individual, partnership, corporation, limited liability company, unincorporated organization or association, trust (including the trustees thereof in their capacity as such) or other entity (including any governmental entity), whether organized under the laws of (or, in the case of individuals, resident in) the United States (or any political subdivision thereof) or any foreign jurisdiction.</w:t>
      </w:r>
    </w:p>
    <w:p>
      <w:pPr>
        <w:sectPr>
          <w:pgSz w:w="11900" w:h="16838" w:orient="portrait"/>
          <w:cols w:equalWidth="0" w:num="1">
            <w:col w:w="10984"/>
          </w:cols>
          <w:pgMar w:left="436" w:top="266" w:right="479" w:bottom="1440" w:gutter="0" w:footer="0" w:header="0"/>
          <w:type w:val="continuous"/>
        </w:sectPr>
      </w:pPr>
    </w:p>
    <w:bookmarkStart w:id="197" w:name="page198"/>
    <w:bookmarkEnd w:id="197"/>
    <w:p>
      <w:pPr>
        <w:ind w:left="3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    Please indicate under which of the following Sections of the Code you are exempt:</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340" w:type="dxa"/>
            <w:vAlign w:val="bottom"/>
          </w:tcPr>
          <w:p>
            <w:pPr>
              <w:spacing w:after="0"/>
              <w:rPr>
                <w:sz w:val="24"/>
                <w:szCs w:val="24"/>
                <w:color w:val="auto"/>
              </w:rPr>
            </w:pPr>
          </w:p>
        </w:tc>
        <w:tc>
          <w:tcPr>
            <w:tcW w:w="1100" w:type="dxa"/>
            <w:vAlign w:val="bottom"/>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 115</w:t>
            </w: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2"/>
          </w:tcPr>
          <w:p>
            <w:pPr>
              <w:ind w:left="8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 501</w:t>
            </w: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gridSpan w:val="2"/>
          </w:tcPr>
          <w:p>
            <w:pPr>
              <w:ind w:left="10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 892</w:t>
            </w: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9480" w:type="dxa"/>
            <w:vAlign w:val="bottom"/>
            <w:gridSpan w:val="10"/>
          </w:tcPr>
          <w:p>
            <w:pPr>
              <w:ind w:left="360"/>
              <w:spacing w:after="0"/>
              <w:rPr>
                <w:sz w:val="20"/>
                <w:szCs w:val="20"/>
                <w:color w:val="auto"/>
              </w:rPr>
            </w:pPr>
            <w:r>
              <w:rPr>
                <w:rFonts w:ascii="Times New Roman" w:cs="Times New Roman" w:eastAsia="Times New Roman" w:hAnsi="Times New Roman"/>
                <w:sz w:val="18"/>
                <w:szCs w:val="18"/>
                <w:color w:val="auto"/>
              </w:rPr>
              <w:t>(2)    Is the subscriber subject to taxation on “unrelated business taxable income” under Sections 511 and 512 of the Code?</w:t>
            </w:r>
          </w:p>
        </w:tc>
        <w:tc>
          <w:tcPr>
            <w:tcW w:w="1020" w:type="dxa"/>
            <w:vAlign w:val="bottom"/>
          </w:tcPr>
          <w:p>
            <w:pPr>
              <w:ind w:left="4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w:t>
            </w:r>
          </w:p>
        </w:tc>
        <w:tc>
          <w:tcPr>
            <w:tcW w:w="520" w:type="dxa"/>
            <w:vAlign w:val="bottom"/>
          </w:tcPr>
          <w:p>
            <w:pPr>
              <w:ind w:left="40"/>
              <w:spacing w:after="0" w:line="207" w:lineRule="exact"/>
              <w:rPr>
                <w:sz w:val="20"/>
                <w:szCs w:val="20"/>
                <w:color w:val="auto"/>
              </w:rPr>
            </w:pPr>
            <w:r>
              <w:rPr>
                <w:rFonts w:ascii="MS PGothic" w:cs="MS PGothic" w:eastAsia="MS PGothic" w:hAnsi="MS PGothic"/>
                <w:sz w:val="18"/>
                <w:szCs w:val="18"/>
                <w:color w:val="auto"/>
                <w:w w:val="94"/>
              </w:rPr>
              <w:t>☐</w:t>
            </w:r>
            <w:r>
              <w:rPr>
                <w:rFonts w:ascii="Times New Roman" w:cs="Times New Roman" w:eastAsia="Times New Roman" w:hAnsi="Times New Roman"/>
                <w:sz w:val="18"/>
                <w:szCs w:val="18"/>
                <w:color w:val="auto"/>
                <w:w w:val="94"/>
              </w:rPr>
              <w:t xml:space="preserve"> NO</w:t>
            </w:r>
          </w:p>
        </w:tc>
        <w:tc>
          <w:tcPr>
            <w:tcW w:w="0" w:type="dxa"/>
            <w:vAlign w:val="bottom"/>
          </w:tcPr>
          <w:p>
            <w:pPr>
              <w:spacing w:after="0"/>
              <w:rPr>
                <w:sz w:val="1"/>
                <w:szCs w:val="1"/>
                <w:color w:val="auto"/>
              </w:rPr>
            </w:pPr>
          </w:p>
        </w:tc>
      </w:tr>
      <w:tr>
        <w:trPr>
          <w:trHeight w:val="338"/>
        </w:trPr>
        <w:tc>
          <w:tcPr>
            <w:tcW w:w="9480" w:type="dxa"/>
            <w:vAlign w:val="bottom"/>
            <w:gridSpan w:val="10"/>
          </w:tcPr>
          <w:p>
            <w:pPr>
              <w:ind w:left="360"/>
              <w:spacing w:after="0"/>
              <w:rPr>
                <w:sz w:val="20"/>
                <w:szCs w:val="20"/>
                <w:color w:val="auto"/>
              </w:rPr>
            </w:pPr>
            <w:r>
              <w:rPr>
                <w:rFonts w:ascii="Times New Roman" w:cs="Times New Roman" w:eastAsia="Times New Roman" w:hAnsi="Times New Roman"/>
                <w:sz w:val="18"/>
                <w:szCs w:val="18"/>
                <w:color w:val="auto"/>
              </w:rPr>
              <w:t>(G) Does the subscriber have, or is it deemed to have, only a single owner for U.S. federal income tax purposes?</w:t>
            </w:r>
          </w:p>
        </w:tc>
        <w:tc>
          <w:tcPr>
            <w:tcW w:w="1020" w:type="dxa"/>
            <w:vAlign w:val="bottom"/>
          </w:tcPr>
          <w:p>
            <w:pPr>
              <w:ind w:left="440"/>
              <w:spacing w:after="0" w:line="207" w:lineRule="exact"/>
              <w:rPr>
                <w:sz w:val="20"/>
                <w:szCs w:val="20"/>
                <w:color w:val="auto"/>
              </w:rPr>
            </w:pPr>
            <w:r>
              <w:rPr>
                <w:rFonts w:ascii="MS PGothic" w:cs="MS PGothic" w:eastAsia="MS PGothic" w:hAnsi="MS PGothic"/>
                <w:sz w:val="18"/>
                <w:szCs w:val="18"/>
                <w:color w:val="auto"/>
                <w:w w:val="99"/>
              </w:rPr>
              <w:t>☐</w:t>
            </w:r>
            <w:r>
              <w:rPr>
                <w:rFonts w:ascii="Times New Roman" w:cs="Times New Roman" w:eastAsia="Times New Roman" w:hAnsi="Times New Roman"/>
                <w:sz w:val="18"/>
                <w:szCs w:val="18"/>
                <w:color w:val="auto"/>
                <w:w w:val="99"/>
              </w:rPr>
              <w:t xml:space="preserve"> YES</w:t>
            </w:r>
          </w:p>
        </w:tc>
        <w:tc>
          <w:tcPr>
            <w:tcW w:w="520" w:type="dxa"/>
            <w:vAlign w:val="bottom"/>
          </w:tcPr>
          <w:p>
            <w:pPr>
              <w:ind w:left="40"/>
              <w:spacing w:after="0" w:line="207" w:lineRule="exact"/>
              <w:rPr>
                <w:sz w:val="20"/>
                <w:szCs w:val="20"/>
                <w:color w:val="auto"/>
              </w:rPr>
            </w:pPr>
            <w:r>
              <w:rPr>
                <w:rFonts w:ascii="MS PGothic" w:cs="MS PGothic" w:eastAsia="MS PGothic" w:hAnsi="MS PGothic"/>
                <w:sz w:val="18"/>
                <w:szCs w:val="18"/>
                <w:color w:val="auto"/>
                <w:w w:val="94"/>
              </w:rPr>
              <w:t>☐</w:t>
            </w:r>
            <w:r>
              <w:rPr>
                <w:rFonts w:ascii="Times New Roman" w:cs="Times New Roman" w:eastAsia="Times New Roman" w:hAnsi="Times New Roman"/>
                <w:sz w:val="18"/>
                <w:szCs w:val="18"/>
                <w:color w:val="auto"/>
                <w:w w:val="94"/>
              </w:rPr>
              <w:t xml:space="preserve"> NO</w:t>
            </w:r>
          </w:p>
        </w:tc>
        <w:tc>
          <w:tcPr>
            <w:tcW w:w="0" w:type="dxa"/>
            <w:vAlign w:val="bottom"/>
          </w:tcPr>
          <w:p>
            <w:pPr>
              <w:spacing w:after="0"/>
              <w:rPr>
                <w:sz w:val="1"/>
                <w:szCs w:val="1"/>
                <w:color w:val="auto"/>
              </w:rPr>
            </w:pPr>
          </w:p>
        </w:tc>
      </w:tr>
      <w:tr>
        <w:trPr>
          <w:trHeight w:val="331"/>
        </w:trPr>
        <w:tc>
          <w:tcPr>
            <w:tcW w:w="5960" w:type="dxa"/>
            <w:vAlign w:val="bottom"/>
            <w:gridSpan w:val="6"/>
          </w:tcPr>
          <w:p>
            <w:pPr>
              <w:ind w:left="360"/>
              <w:spacing w:after="0"/>
              <w:rPr>
                <w:sz w:val="20"/>
                <w:szCs w:val="20"/>
                <w:color w:val="auto"/>
              </w:rPr>
            </w:pPr>
            <w:r>
              <w:rPr>
                <w:rFonts w:ascii="Times New Roman" w:cs="Times New Roman" w:eastAsia="Times New Roman" w:hAnsi="Times New Roman"/>
                <w:sz w:val="18"/>
                <w:szCs w:val="18"/>
                <w:color w:val="auto"/>
              </w:rPr>
              <w:t>(If YES, proceed to the next question)(If NO, go to Section VI(H) below)</w:t>
            </w: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9480" w:type="dxa"/>
            <w:vAlign w:val="bottom"/>
            <w:gridSpan w:val="10"/>
          </w:tcPr>
          <w:p>
            <w:pPr>
              <w:ind w:left="360"/>
              <w:spacing w:after="0"/>
              <w:rPr>
                <w:sz w:val="20"/>
                <w:szCs w:val="20"/>
                <w:color w:val="auto"/>
              </w:rPr>
            </w:pPr>
            <w:r>
              <w:rPr>
                <w:rFonts w:ascii="Times New Roman" w:cs="Times New Roman" w:eastAsia="Times New Roman" w:hAnsi="Times New Roman"/>
                <w:sz w:val="18"/>
                <w:szCs w:val="18"/>
                <w:color w:val="auto"/>
              </w:rPr>
              <w:t>(1)    Has the subscriber elected, or is it deemed, to be an entity that is disregarded from its owner for U.S. federal income tax</w:t>
            </w:r>
          </w:p>
        </w:tc>
        <w:tc>
          <w:tcPr>
            <w:tcW w:w="1020" w:type="dxa"/>
            <w:vAlign w:val="bottom"/>
          </w:tcPr>
          <w:p>
            <w:pPr>
              <w:ind w:left="4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w:t>
            </w:r>
          </w:p>
        </w:tc>
        <w:tc>
          <w:tcPr>
            <w:tcW w:w="520" w:type="dxa"/>
            <w:vAlign w:val="bottom"/>
          </w:tcPr>
          <w:p>
            <w:pPr>
              <w:ind w:left="40"/>
              <w:spacing w:after="0" w:line="207" w:lineRule="exact"/>
              <w:rPr>
                <w:sz w:val="20"/>
                <w:szCs w:val="20"/>
                <w:color w:val="auto"/>
              </w:rPr>
            </w:pPr>
            <w:r>
              <w:rPr>
                <w:rFonts w:ascii="MS PGothic" w:cs="MS PGothic" w:eastAsia="MS PGothic" w:hAnsi="MS PGothic"/>
                <w:sz w:val="18"/>
                <w:szCs w:val="18"/>
                <w:color w:val="auto"/>
                <w:w w:val="94"/>
              </w:rPr>
              <w:t>☐</w:t>
            </w:r>
            <w:r>
              <w:rPr>
                <w:rFonts w:ascii="Times New Roman" w:cs="Times New Roman" w:eastAsia="Times New Roman" w:hAnsi="Times New Roman"/>
                <w:sz w:val="18"/>
                <w:szCs w:val="18"/>
                <w:color w:val="auto"/>
                <w:w w:val="94"/>
              </w:rPr>
              <w:t xml:space="preserve"> NO</w:t>
            </w:r>
          </w:p>
        </w:tc>
        <w:tc>
          <w:tcPr>
            <w:tcW w:w="0" w:type="dxa"/>
            <w:vAlign w:val="bottom"/>
          </w:tcPr>
          <w:p>
            <w:pPr>
              <w:spacing w:after="0"/>
              <w:rPr>
                <w:sz w:val="1"/>
                <w:szCs w:val="1"/>
                <w:color w:val="auto"/>
              </w:rPr>
            </w:pPr>
          </w:p>
        </w:tc>
      </w:tr>
      <w:tr>
        <w:trPr>
          <w:trHeight w:val="234"/>
        </w:trPr>
        <w:tc>
          <w:tcPr>
            <w:tcW w:w="24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purposes?</w:t>
            </w: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1"/>
        </w:trPr>
        <w:tc>
          <w:tcPr>
            <w:tcW w:w="42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(H)   (1) Is the subscriber an individual?</w:t>
            </w: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ind w:left="4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w:t>
            </w:r>
          </w:p>
        </w:tc>
        <w:tc>
          <w:tcPr>
            <w:tcW w:w="520" w:type="dxa"/>
            <w:vAlign w:val="bottom"/>
          </w:tcPr>
          <w:p>
            <w:pPr>
              <w:ind w:left="40"/>
              <w:spacing w:after="0" w:line="207" w:lineRule="exact"/>
              <w:rPr>
                <w:sz w:val="20"/>
                <w:szCs w:val="20"/>
                <w:color w:val="auto"/>
              </w:rPr>
            </w:pPr>
            <w:r>
              <w:rPr>
                <w:rFonts w:ascii="MS PGothic" w:cs="MS PGothic" w:eastAsia="MS PGothic" w:hAnsi="MS PGothic"/>
                <w:sz w:val="18"/>
                <w:szCs w:val="18"/>
                <w:color w:val="auto"/>
                <w:w w:val="94"/>
              </w:rPr>
              <w:t>☐</w:t>
            </w:r>
            <w:r>
              <w:rPr>
                <w:rFonts w:ascii="Times New Roman" w:cs="Times New Roman" w:eastAsia="Times New Roman" w:hAnsi="Times New Roman"/>
                <w:sz w:val="18"/>
                <w:szCs w:val="18"/>
                <w:color w:val="auto"/>
                <w:w w:val="94"/>
              </w:rPr>
              <w:t xml:space="preserve"> NO</w:t>
            </w:r>
          </w:p>
        </w:tc>
        <w:tc>
          <w:tcPr>
            <w:tcW w:w="0" w:type="dxa"/>
            <w:vAlign w:val="bottom"/>
          </w:tcPr>
          <w:p>
            <w:pPr>
              <w:spacing w:after="0"/>
              <w:rPr>
                <w:sz w:val="1"/>
                <w:szCs w:val="1"/>
                <w:color w:val="auto"/>
              </w:rPr>
            </w:pPr>
          </w:p>
        </w:tc>
      </w:tr>
      <w:tr>
        <w:trPr>
          <w:trHeight w:val="299"/>
        </w:trPr>
        <w:tc>
          <w:tcPr>
            <w:tcW w:w="9480" w:type="dxa"/>
            <w:vAlign w:val="bottom"/>
            <w:gridSpan w:val="10"/>
          </w:tcPr>
          <w:p>
            <w:pPr>
              <w:ind w:left="720"/>
              <w:spacing w:after="0"/>
              <w:rPr>
                <w:sz w:val="20"/>
                <w:szCs w:val="20"/>
                <w:color w:val="auto"/>
              </w:rPr>
            </w:pPr>
            <w:r>
              <w:rPr>
                <w:rFonts w:ascii="Times New Roman" w:cs="Times New Roman" w:eastAsia="Times New Roman" w:hAnsi="Times New Roman"/>
                <w:sz w:val="18"/>
                <w:szCs w:val="18"/>
                <w:color w:val="auto"/>
              </w:rPr>
              <w:t>(2)    Is the subscriber (i) an entity treated as an individual (including, without limitation, an organization described in</w:t>
            </w:r>
          </w:p>
        </w:tc>
        <w:tc>
          <w:tcPr>
            <w:tcW w:w="1020" w:type="dxa"/>
            <w:vAlign w:val="bottom"/>
          </w:tcPr>
          <w:p>
            <w:pPr>
              <w:ind w:left="4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w:t>
            </w:r>
          </w:p>
        </w:tc>
        <w:tc>
          <w:tcPr>
            <w:tcW w:w="520" w:type="dxa"/>
            <w:vAlign w:val="bottom"/>
          </w:tcPr>
          <w:p>
            <w:pPr>
              <w:ind w:left="40"/>
              <w:spacing w:after="0" w:line="207" w:lineRule="exact"/>
              <w:rPr>
                <w:sz w:val="20"/>
                <w:szCs w:val="20"/>
                <w:color w:val="auto"/>
              </w:rPr>
            </w:pPr>
            <w:r>
              <w:rPr>
                <w:rFonts w:ascii="MS PGothic" w:cs="MS PGothic" w:eastAsia="MS PGothic" w:hAnsi="MS PGothic"/>
                <w:sz w:val="18"/>
                <w:szCs w:val="18"/>
                <w:color w:val="auto"/>
                <w:w w:val="94"/>
              </w:rPr>
              <w:t>☐</w:t>
            </w:r>
            <w:r>
              <w:rPr>
                <w:rFonts w:ascii="Times New Roman" w:cs="Times New Roman" w:eastAsia="Times New Roman" w:hAnsi="Times New Roman"/>
                <w:sz w:val="18"/>
                <w:szCs w:val="18"/>
                <w:color w:val="auto"/>
                <w:w w:val="94"/>
              </w:rPr>
              <w:t xml:space="preserve"> NO</w:t>
            </w:r>
          </w:p>
        </w:tc>
        <w:tc>
          <w:tcPr>
            <w:tcW w:w="0" w:type="dxa"/>
            <w:vAlign w:val="bottom"/>
          </w:tcPr>
          <w:p>
            <w:pPr>
              <w:spacing w:after="0"/>
              <w:rPr>
                <w:sz w:val="1"/>
                <w:szCs w:val="1"/>
                <w:color w:val="auto"/>
              </w:rPr>
            </w:pPr>
          </w:p>
        </w:tc>
      </w:tr>
      <w:tr>
        <w:trPr>
          <w:trHeight w:val="216"/>
        </w:trPr>
        <w:tc>
          <w:tcPr>
            <w:tcW w:w="9480" w:type="dxa"/>
            <w:vAlign w:val="bottom"/>
            <w:gridSpan w:val="10"/>
          </w:tcPr>
          <w:p>
            <w:pPr>
              <w:ind w:left="1080"/>
              <w:spacing w:after="0"/>
              <w:rPr>
                <w:sz w:val="20"/>
                <w:szCs w:val="20"/>
                <w:color w:val="auto"/>
              </w:rPr>
            </w:pPr>
            <w:r>
              <w:rPr>
                <w:rFonts w:ascii="Times New Roman" w:cs="Times New Roman" w:eastAsia="Times New Roman" w:hAnsi="Times New Roman"/>
                <w:sz w:val="18"/>
                <w:szCs w:val="18"/>
                <w:color w:val="auto"/>
              </w:rPr>
              <w:t>Sections 401(a), 501(c)(17) or 509(a) of the Code) for purposes of Section 542(a)(2) of the Code, or (ii) an entity</w:t>
            </w: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gridSpan w:val="10"/>
          </w:tcPr>
          <w:p>
            <w:pPr>
              <w:ind w:left="1080"/>
              <w:spacing w:after="0"/>
              <w:rPr>
                <w:sz w:val="20"/>
                <w:szCs w:val="20"/>
                <w:color w:val="auto"/>
              </w:rPr>
            </w:pPr>
            <w:r>
              <w:rPr>
                <w:rFonts w:ascii="Times New Roman" w:cs="Times New Roman" w:eastAsia="Times New Roman" w:hAnsi="Times New Roman"/>
                <w:sz w:val="18"/>
                <w:szCs w:val="18"/>
                <w:color w:val="auto"/>
                <w:w w:val="99"/>
              </w:rPr>
              <w:t>disregarded from its owner for U.S. federal income tax purposes whose owner is an individual or an entity treated as</w:t>
            </w: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960" w:type="dxa"/>
            <w:vAlign w:val="bottom"/>
            <w:gridSpan w:val="6"/>
          </w:tcPr>
          <w:p>
            <w:pPr>
              <w:jc w:val="center"/>
              <w:ind w:left="452"/>
              <w:spacing w:after="0"/>
              <w:rPr>
                <w:sz w:val="20"/>
                <w:szCs w:val="20"/>
                <w:color w:val="auto"/>
              </w:rPr>
            </w:pPr>
            <w:r>
              <w:rPr>
                <w:rFonts w:ascii="Times New Roman" w:cs="Times New Roman" w:eastAsia="Times New Roman" w:hAnsi="Times New Roman"/>
                <w:sz w:val="18"/>
                <w:szCs w:val="18"/>
                <w:color w:val="auto"/>
                <w:w w:val="99"/>
              </w:rPr>
              <w:t>an individual for purposes of Section 542(a)(2) of the Code?</w:t>
            </w: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7720" w:type="dxa"/>
            <w:vAlign w:val="bottom"/>
            <w:gridSpan w:val="8"/>
          </w:tcPr>
          <w:p>
            <w:pPr>
              <w:ind w:left="360"/>
              <w:spacing w:after="0"/>
              <w:rPr>
                <w:sz w:val="20"/>
                <w:szCs w:val="20"/>
                <w:color w:val="auto"/>
              </w:rPr>
            </w:pPr>
            <w:r>
              <w:rPr>
                <w:rFonts w:ascii="Times New Roman" w:cs="Times New Roman" w:eastAsia="Times New Roman" w:hAnsi="Times New Roman"/>
                <w:sz w:val="18"/>
                <w:szCs w:val="18"/>
                <w:b w:val="1"/>
                <w:bCs w:val="1"/>
                <w:color w:val="auto"/>
              </w:rPr>
              <w:t xml:space="preserve">NOTE: </w:t>
            </w:r>
            <w:r>
              <w:rPr>
                <w:rFonts w:ascii="Times New Roman" w:cs="Times New Roman" w:eastAsia="Times New Roman" w:hAnsi="Times New Roman"/>
                <w:sz w:val="18"/>
                <w:szCs w:val="18"/>
                <w:color w:val="auto"/>
              </w:rPr>
              <w:t>VI(H) (1) or (2) above is YES, please see Section 4.01(ff)(ii) of the Subscription Agreement.</w:t>
            </w: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94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    If the subscriber is a pass-through or disregarded entity for U.S. federal tax purposes, please provide the following</w:t>
            </w: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information for each of the subscriber’s direct owners.</w:t>
            </w: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948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 xml:space="preserve">NOTE: </w:t>
            </w:r>
            <w:r>
              <w:rPr>
                <w:rFonts w:ascii="Times New Roman" w:cs="Times New Roman" w:eastAsia="Times New Roman" w:hAnsi="Times New Roman"/>
                <w:sz w:val="18"/>
                <w:szCs w:val="18"/>
                <w:color w:val="auto"/>
              </w:rPr>
              <w:t>For each direct owner that is a pass-through or disregarded entity for U.S. federal tax purposes, please provide a</w:t>
            </w: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4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schedule similar to the one below, to the extent the requested information is known, or reasonably available, to the</w:t>
            </w: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subscriber. If it is not possible to provide a response with all of the detail requested in the table, then it would be helpful to</w:t>
            </w: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receive as much information as you are able to provide about the Subscriber’s owners. In particular, it would be useful to</w:t>
            </w: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know what percentage of the Subscriber’s ultimate beneficial owners are U.S. individuals, and whether the Subscriber’s</w:t>
            </w: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beneficial ownership changes or is static.</w:t>
            </w: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0"/>
        </w:trPr>
        <w:tc>
          <w:tcPr>
            <w:tcW w:w="1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 ownership of</w:t>
            </w:r>
          </w:p>
        </w:tc>
        <w:tc>
          <w:tcPr>
            <w:tcW w:w="15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Is the owner exempt</w:t>
            </w:r>
          </w:p>
        </w:tc>
        <w:tc>
          <w:tcPr>
            <w:tcW w:w="0" w:type="dxa"/>
            <w:vAlign w:val="bottom"/>
          </w:tcPr>
          <w:p>
            <w:pPr>
              <w:spacing w:after="0"/>
              <w:rPr>
                <w:sz w:val="1"/>
                <w:szCs w:val="1"/>
                <w:color w:val="auto"/>
              </w:rPr>
            </w:pPr>
          </w:p>
        </w:tc>
      </w:tr>
      <w:tr>
        <w:trPr>
          <w:trHeight w:val="148"/>
        </w:trPr>
        <w:tc>
          <w:tcPr>
            <w:tcW w:w="1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 tax classification</w:t>
            </w:r>
          </w:p>
        </w:tc>
        <w:tc>
          <w:tcPr>
            <w:tcW w:w="17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subscriber</w:t>
            </w:r>
          </w:p>
        </w:tc>
        <w:tc>
          <w:tcPr>
            <w:tcW w:w="1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7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Legal form</w:t>
            </w: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17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(e.g., if owner has a</w:t>
            </w:r>
          </w:p>
        </w:tc>
        <w:tc>
          <w:tcPr>
            <w:tcW w:w="15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from tax under the</w:t>
            </w:r>
          </w:p>
        </w:tc>
        <w:tc>
          <w:tcPr>
            <w:tcW w:w="0" w:type="dxa"/>
            <w:vAlign w:val="bottom"/>
          </w:tcPr>
          <w:p>
            <w:pPr>
              <w:spacing w:after="0"/>
              <w:rPr>
                <w:sz w:val="1"/>
                <w:szCs w:val="1"/>
                <w:color w:val="auto"/>
              </w:rPr>
            </w:pPr>
          </w:p>
        </w:tc>
      </w:tr>
      <w:tr>
        <w:trPr>
          <w:trHeight w:val="148"/>
        </w:trPr>
        <w:tc>
          <w:tcPr>
            <w:tcW w:w="2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Subscriber’s</w:t>
            </w:r>
          </w:p>
        </w:tc>
        <w:tc>
          <w:tcPr>
            <w:tcW w:w="1760" w:type="dxa"/>
            <w:vAlign w:val="bottom"/>
            <w:gridSpan w:val="2"/>
            <w:vMerge w:val="continue"/>
          </w:tcPr>
          <w:p>
            <w:pPr>
              <w:spacing w:after="0"/>
              <w:rPr>
                <w:sz w:val="12"/>
                <w:szCs w:val="12"/>
                <w:color w:val="auto"/>
              </w:rPr>
            </w:pPr>
          </w:p>
        </w:tc>
        <w:tc>
          <w:tcPr>
            <w:tcW w:w="17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Residence for tax</w:t>
            </w:r>
          </w:p>
        </w:tc>
        <w:tc>
          <w:tcPr>
            <w:tcW w:w="17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(e.g., corporation,</w:t>
            </w:r>
          </w:p>
        </w:tc>
        <w:tc>
          <w:tcPr>
            <w:tcW w:w="17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10% interest in the</w:t>
            </w:r>
          </w:p>
        </w:tc>
        <w:tc>
          <w:tcPr>
            <w:tcW w:w="15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Code? </w:t>
            </w:r>
            <w:r>
              <w:rPr>
                <w:rFonts w:ascii="Times New Roman" w:cs="Times New Roman" w:eastAsia="Times New Roman" w:hAnsi="Times New Roman"/>
                <w:sz w:val="14"/>
                <w:szCs w:val="14"/>
                <w:color w:val="auto"/>
              </w:rPr>
              <w:t>If yes, please</w:t>
            </w:r>
          </w:p>
        </w:tc>
        <w:tc>
          <w:tcPr>
            <w:tcW w:w="0" w:type="dxa"/>
            <w:vAlign w:val="bottom"/>
          </w:tcPr>
          <w:p>
            <w:pPr>
              <w:spacing w:after="0"/>
              <w:rPr>
                <w:sz w:val="1"/>
                <w:szCs w:val="1"/>
                <w:color w:val="auto"/>
              </w:rPr>
            </w:pPr>
          </w:p>
        </w:tc>
      </w:tr>
      <w:tr>
        <w:trPr>
          <w:trHeight w:val="148"/>
        </w:trPr>
        <w:tc>
          <w:tcPr>
            <w:tcW w:w="2440" w:type="dxa"/>
            <w:vAlign w:val="bottom"/>
            <w:gridSpan w:val="2"/>
            <w:vMerge w:val="continue"/>
          </w:tcPr>
          <w:p>
            <w:pPr>
              <w:spacing w:after="0"/>
              <w:rPr>
                <w:sz w:val="12"/>
                <w:szCs w:val="12"/>
                <w:color w:val="auto"/>
              </w:rPr>
            </w:pPr>
          </w:p>
        </w:tc>
        <w:tc>
          <w:tcPr>
            <w:tcW w:w="17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(e.g., corporation,</w:t>
            </w:r>
          </w:p>
        </w:tc>
        <w:tc>
          <w:tcPr>
            <w:tcW w:w="1760" w:type="dxa"/>
            <w:vAlign w:val="bottom"/>
            <w:gridSpan w:val="2"/>
            <w:vMerge w:val="continue"/>
          </w:tcPr>
          <w:p>
            <w:pPr>
              <w:spacing w:after="0"/>
              <w:rPr>
                <w:sz w:val="12"/>
                <w:szCs w:val="12"/>
                <w:color w:val="auto"/>
              </w:rPr>
            </w:pPr>
          </w:p>
        </w:tc>
        <w:tc>
          <w:tcPr>
            <w:tcW w:w="17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partnership,</w:t>
            </w:r>
          </w:p>
        </w:tc>
        <w:tc>
          <w:tcPr>
            <w:tcW w:w="17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subscriber, write</w:t>
            </w:r>
          </w:p>
        </w:tc>
        <w:tc>
          <w:tcPr>
            <w:tcW w:w="15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also indicate the Code</w:t>
            </w:r>
          </w:p>
        </w:tc>
        <w:tc>
          <w:tcPr>
            <w:tcW w:w="0" w:type="dxa"/>
            <w:vAlign w:val="bottom"/>
          </w:tcPr>
          <w:p>
            <w:pPr>
              <w:spacing w:after="0"/>
              <w:rPr>
                <w:sz w:val="1"/>
                <w:szCs w:val="1"/>
                <w:color w:val="auto"/>
              </w:rPr>
            </w:pPr>
          </w:p>
        </w:tc>
      </w:tr>
      <w:tr>
        <w:trPr>
          <w:trHeight w:val="180"/>
        </w:trPr>
        <w:tc>
          <w:tcPr>
            <w:tcW w:w="1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Direct Owner</w:t>
            </w:r>
          </w:p>
        </w:tc>
        <w:tc>
          <w:tcPr>
            <w:tcW w:w="1100" w:type="dxa"/>
            <w:vAlign w:val="bottom"/>
          </w:tcPr>
          <w:p>
            <w:pPr>
              <w:spacing w:after="0"/>
              <w:rPr>
                <w:sz w:val="15"/>
                <w:szCs w:val="15"/>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partnership, LLC)</w:t>
            </w:r>
          </w:p>
        </w:tc>
        <w:tc>
          <w:tcPr>
            <w:tcW w:w="100" w:type="dxa"/>
            <w:vAlign w:val="bottom"/>
          </w:tcPr>
          <w:p>
            <w:pPr>
              <w:spacing w:after="0"/>
              <w:rPr>
                <w:sz w:val="15"/>
                <w:szCs w:val="15"/>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purposes</w:t>
            </w:r>
          </w:p>
        </w:tc>
        <w:tc>
          <w:tcPr>
            <w:tcW w:w="100" w:type="dxa"/>
            <w:vAlign w:val="bottom"/>
          </w:tcPr>
          <w:p>
            <w:pPr>
              <w:spacing w:after="0"/>
              <w:rPr>
                <w:sz w:val="15"/>
                <w:szCs w:val="15"/>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disregarded entity)</w:t>
            </w:r>
          </w:p>
        </w:tc>
        <w:tc>
          <w:tcPr>
            <w:tcW w:w="120" w:type="dxa"/>
            <w:vAlign w:val="bottom"/>
          </w:tcPr>
          <w:p>
            <w:pPr>
              <w:spacing w:after="0"/>
              <w:rPr>
                <w:sz w:val="15"/>
                <w:szCs w:val="15"/>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5"/>
                <w:szCs w:val="15"/>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section for exemption.)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-590550</wp:posOffset>
            </wp:positionV>
            <wp:extent cx="3429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bookmarkStart w:id="198" w:name="page199"/>
    <w:bookmarkEnd w:id="198"/>
    <w:p>
      <w:pPr>
        <w:ind w:left="3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(J) If the subscriber indicated that it is </w:t>
      </w:r>
      <w:r>
        <w:rPr>
          <w:rFonts w:ascii="Times New Roman" w:cs="Times New Roman" w:eastAsia="Times New Roman" w:hAnsi="Times New Roman"/>
          <w:sz w:val="18"/>
          <w:szCs w:val="18"/>
          <w:u w:val="single" w:color="auto"/>
          <w:color w:val="auto"/>
        </w:rPr>
        <w:t>not a U.S. Person</w:t>
      </w:r>
      <w:r>
        <w:rPr>
          <w:rFonts w:ascii="Times New Roman" w:cs="Times New Roman" w:eastAsia="Times New Roman" w:hAnsi="Times New Roman"/>
          <w:sz w:val="18"/>
          <w:szCs w:val="18"/>
          <w:color w:val="auto"/>
        </w:rPr>
        <w:t xml:space="preserve"> in Section VI(A), is the</w:t>
      </w:r>
    </w:p>
    <w:p>
      <w:pPr>
        <w:spacing w:after="0" w:line="27" w:lineRule="exact"/>
        <w:rPr>
          <w:sz w:val="20"/>
          <w:szCs w:val="20"/>
          <w:color w:val="auto"/>
        </w:rPr>
      </w:pPr>
    </w:p>
    <w:p>
      <w:pPr>
        <w:ind w:left="540" w:right="762"/>
        <w:spacing w:after="0" w:line="290" w:lineRule="auto"/>
        <w:rPr>
          <w:sz w:val="20"/>
          <w:szCs w:val="20"/>
          <w:color w:val="auto"/>
        </w:rPr>
      </w:pPr>
      <w:r>
        <w:rPr>
          <w:rFonts w:ascii="Times New Roman" w:cs="Times New Roman" w:eastAsia="Times New Roman" w:hAnsi="Times New Roman"/>
          <w:sz w:val="17"/>
          <w:szCs w:val="17"/>
          <w:color w:val="auto"/>
        </w:rPr>
        <w:t>subscriber fiscally transparent in its jurisdiction of organization within the meaning of Section 894 of the Code and related Treasury Regulations, with respect to any items of income?</w:t>
      </w:r>
    </w:p>
    <w:p>
      <w:pPr>
        <w:spacing w:after="0" w:line="63" w:lineRule="exact"/>
        <w:rPr>
          <w:sz w:val="20"/>
          <w:szCs w:val="20"/>
          <w:color w:val="auto"/>
        </w:rPr>
      </w:pPr>
    </w:p>
    <w:p>
      <w:pPr>
        <w:spacing w:after="0"/>
        <w:tabs>
          <w:tab w:leader="none" w:pos="3960" w:val="left"/>
        </w:tabs>
        <w:rPr>
          <w:sz w:val="20"/>
          <w:szCs w:val="20"/>
          <w:color w:val="auto"/>
        </w:rPr>
      </w:pPr>
      <w:r>
        <w:rPr>
          <w:rFonts w:ascii="Times New Roman" w:cs="Times New Roman" w:eastAsia="Times New Roman" w:hAnsi="Times New Roman"/>
          <w:sz w:val="18"/>
          <w:szCs w:val="18"/>
          <w:color w:val="auto"/>
        </w:rPr>
        <w:t>(If YES, proceed to the next question)</w:t>
      </w:r>
      <w:r>
        <w:rPr>
          <w:sz w:val="20"/>
          <w:szCs w:val="20"/>
          <w:color w:val="auto"/>
        </w:rPr>
        <w:tab/>
      </w:r>
      <w:r>
        <w:rPr>
          <w:rFonts w:ascii="Times New Roman" w:cs="Times New Roman" w:eastAsia="Times New Roman" w:hAnsi="Times New Roman"/>
          <w:sz w:val="17"/>
          <w:szCs w:val="17"/>
          <w:color w:val="auto"/>
        </w:rPr>
        <w:t>(If NO, proceed to Section VI(K) below)</w:t>
      </w:r>
    </w:p>
    <w:p>
      <w:pPr>
        <w:spacing w:after="0" w:line="117" w:lineRule="exact"/>
        <w:rPr>
          <w:sz w:val="20"/>
          <w:szCs w:val="20"/>
          <w:color w:val="auto"/>
        </w:rPr>
      </w:pPr>
    </w:p>
    <w:p>
      <w:pPr>
        <w:ind w:left="1080" w:right="702" w:hanging="359"/>
        <w:spacing w:after="0" w:line="266" w:lineRule="auto"/>
        <w:rPr>
          <w:sz w:val="20"/>
          <w:szCs w:val="20"/>
          <w:color w:val="auto"/>
        </w:rPr>
      </w:pPr>
      <w:r>
        <w:rPr>
          <w:rFonts w:ascii="Times New Roman" w:cs="Times New Roman" w:eastAsia="Times New Roman" w:hAnsi="Times New Roman"/>
          <w:sz w:val="18"/>
          <w:szCs w:val="18"/>
          <w:color w:val="auto"/>
        </w:rPr>
        <w:t>(1)    Will the items of income received by the subscriber from the Company be treated as derived by a resident of an applicable treaty jurisdiction, within the meaning of Section 894 of the Code and related Treasury Regulations?</w:t>
      </w:r>
    </w:p>
    <w:p>
      <w:pPr>
        <w:spacing w:after="0" w:line="81" w:lineRule="exact"/>
        <w:rPr>
          <w:sz w:val="20"/>
          <w:szCs w:val="20"/>
          <w:color w:val="auto"/>
        </w:rPr>
      </w:pPr>
    </w:p>
    <w:p>
      <w:pPr>
        <w:ind w:left="720" w:right="922" w:hanging="359"/>
        <w:spacing w:after="0" w:line="282" w:lineRule="auto"/>
        <w:rPr>
          <w:sz w:val="20"/>
          <w:szCs w:val="20"/>
          <w:color w:val="auto"/>
        </w:rPr>
      </w:pPr>
      <w:r>
        <w:rPr>
          <w:rFonts w:ascii="Times New Roman" w:cs="Times New Roman" w:eastAsia="Times New Roman" w:hAnsi="Times New Roman"/>
          <w:sz w:val="18"/>
          <w:szCs w:val="18"/>
          <w:color w:val="auto"/>
        </w:rPr>
        <w:t xml:space="preserve">(K)   If the subscriber indicated that it is </w:t>
      </w:r>
      <w:r>
        <w:rPr>
          <w:rFonts w:ascii="Times New Roman" w:cs="Times New Roman" w:eastAsia="Times New Roman" w:hAnsi="Times New Roman"/>
          <w:sz w:val="18"/>
          <w:szCs w:val="18"/>
          <w:u w:val="single" w:color="auto"/>
          <w:color w:val="auto"/>
        </w:rPr>
        <w:t>not a U.S. Person</w:t>
      </w:r>
      <w:r>
        <w:rPr>
          <w:rFonts w:ascii="Times New Roman" w:cs="Times New Roman" w:eastAsia="Times New Roman" w:hAnsi="Times New Roman"/>
          <w:sz w:val="18"/>
          <w:szCs w:val="18"/>
          <w:color w:val="auto"/>
        </w:rPr>
        <w:t xml:space="preserve"> in Section VI(A), is the subscriber a foreign financial institution within the meaning of Section 1471(d)(4) of the Code?</w:t>
      </w:r>
    </w:p>
    <w:p>
      <w:pPr>
        <w:spacing w:after="0" w:line="54" w:lineRule="exact"/>
        <w:rPr>
          <w:sz w:val="20"/>
          <w:szCs w:val="20"/>
          <w:color w:val="auto"/>
        </w:rPr>
      </w:pPr>
    </w:p>
    <w:p>
      <w:pPr>
        <w:ind w:left="1080" w:right="1022" w:hanging="359"/>
        <w:spacing w:after="0" w:line="282" w:lineRule="auto"/>
        <w:rPr>
          <w:sz w:val="20"/>
          <w:szCs w:val="20"/>
          <w:color w:val="auto"/>
        </w:rPr>
      </w:pPr>
      <w:r>
        <w:rPr>
          <w:rFonts w:ascii="Times New Roman" w:cs="Times New Roman" w:eastAsia="Times New Roman" w:hAnsi="Times New Roman"/>
          <w:sz w:val="18"/>
          <w:szCs w:val="18"/>
          <w:color w:val="auto"/>
        </w:rPr>
        <w:t>(1)    If YES, does the subscriber have any United States accounts within the meaning of Section 1471(d)(1) of the Code?</w:t>
      </w:r>
    </w:p>
    <w:p>
      <w:pPr>
        <w:spacing w:after="0" w:line="54" w:lineRule="exact"/>
        <w:rPr>
          <w:sz w:val="20"/>
          <w:szCs w:val="20"/>
          <w:color w:val="auto"/>
        </w:rPr>
      </w:pPr>
    </w:p>
    <w:p>
      <w:pPr>
        <w:jc w:val="both"/>
        <w:ind w:left="1080" w:right="662" w:hanging="359"/>
        <w:spacing w:after="0" w:line="266" w:lineRule="auto"/>
        <w:rPr>
          <w:sz w:val="20"/>
          <w:szCs w:val="20"/>
          <w:color w:val="auto"/>
        </w:rPr>
      </w:pPr>
      <w:r>
        <w:rPr>
          <w:rFonts w:ascii="Times New Roman" w:cs="Times New Roman" w:eastAsia="Times New Roman" w:hAnsi="Times New Roman"/>
          <w:sz w:val="18"/>
          <w:szCs w:val="18"/>
          <w:color w:val="auto"/>
        </w:rPr>
        <w:t>(2)    If NO, does the subscriber or a beneficial owner of the Shares that is a non-U.S. person have any substantial United States owners within the meaning of Section 1473(2) of the Code?</w:t>
      </w:r>
    </w:p>
    <w:p>
      <w:pPr>
        <w:spacing w:after="0" w:line="68" w:lineRule="exact"/>
        <w:rPr>
          <w:sz w:val="20"/>
          <w:szCs w:val="20"/>
          <w:color w:val="auto"/>
        </w:rPr>
      </w:pPr>
    </w:p>
    <w:p>
      <w:pPr>
        <w:ind w:left="720" w:right="802" w:hanging="359"/>
        <w:spacing w:after="0" w:line="282" w:lineRule="auto"/>
        <w:rPr>
          <w:sz w:val="20"/>
          <w:szCs w:val="20"/>
          <w:color w:val="auto"/>
        </w:rPr>
      </w:pPr>
      <w:r>
        <w:rPr>
          <w:rFonts w:ascii="Times New Roman" w:cs="Times New Roman" w:eastAsia="Times New Roman" w:hAnsi="Times New Roman"/>
          <w:sz w:val="18"/>
          <w:szCs w:val="18"/>
          <w:color w:val="auto"/>
        </w:rPr>
        <w:t>(L)   Is the subscriber a “qualified foreign pension fund” within the meaning of section 897(l) of the Code?</w:t>
      </w:r>
    </w:p>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ind w:left="198" w:hanging="198"/>
        <w:spacing w:after="0" w:line="196" w:lineRule="exact"/>
        <w:tabs>
          <w:tab w:leader="none" w:pos="198" w:val="left"/>
        </w:tabs>
        <w:numPr>
          <w:ilvl w:val="0"/>
          <w:numId w:val="189"/>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w:t>
      </w:r>
    </w:p>
    <w:p>
      <w:pPr>
        <w:spacing w:after="0" w:line="200" w:lineRule="exact"/>
        <w:rPr>
          <w:rFonts w:ascii="MS PGothic" w:cs="MS PGothic" w:eastAsia="MS PGothic" w:hAnsi="MS PGothic"/>
          <w:sz w:val="17"/>
          <w:szCs w:val="17"/>
          <w:color w:val="auto"/>
        </w:rPr>
      </w:pPr>
    </w:p>
    <w:p>
      <w:pPr>
        <w:spacing w:after="0" w:line="200" w:lineRule="exact"/>
        <w:rPr>
          <w:rFonts w:ascii="MS PGothic" w:cs="MS PGothic" w:eastAsia="MS PGothic" w:hAnsi="MS PGothic"/>
          <w:sz w:val="17"/>
          <w:szCs w:val="17"/>
          <w:color w:val="auto"/>
        </w:rPr>
      </w:pPr>
    </w:p>
    <w:p>
      <w:pPr>
        <w:spacing w:after="0" w:line="200" w:lineRule="exact"/>
        <w:rPr>
          <w:rFonts w:ascii="MS PGothic" w:cs="MS PGothic" w:eastAsia="MS PGothic" w:hAnsi="MS PGothic"/>
          <w:sz w:val="17"/>
          <w:szCs w:val="17"/>
          <w:color w:val="auto"/>
        </w:rPr>
      </w:pPr>
    </w:p>
    <w:p>
      <w:pPr>
        <w:spacing w:after="0" w:line="311" w:lineRule="exact"/>
        <w:rPr>
          <w:rFonts w:ascii="MS PGothic" w:cs="MS PGothic" w:eastAsia="MS PGothic" w:hAnsi="MS PGothic"/>
          <w:sz w:val="17"/>
          <w:szCs w:val="17"/>
          <w:color w:val="auto"/>
        </w:rPr>
      </w:pPr>
    </w:p>
    <w:p>
      <w:pPr>
        <w:ind w:left="198" w:hanging="198"/>
        <w:spacing w:after="0" w:line="196" w:lineRule="exact"/>
        <w:tabs>
          <w:tab w:leader="none" w:pos="198" w:val="left"/>
        </w:tabs>
        <w:numPr>
          <w:ilvl w:val="0"/>
          <w:numId w:val="189"/>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w:t>
      </w:r>
    </w:p>
    <w:p>
      <w:pPr>
        <w:spacing w:after="0" w:line="344" w:lineRule="exact"/>
        <w:rPr>
          <w:rFonts w:ascii="MS PGothic" w:cs="MS PGothic" w:eastAsia="MS PGothic" w:hAnsi="MS PGothic"/>
          <w:sz w:val="17"/>
          <w:szCs w:val="17"/>
          <w:color w:val="auto"/>
        </w:rPr>
      </w:pPr>
    </w:p>
    <w:p>
      <w:pPr>
        <w:ind w:left="198" w:hanging="198"/>
        <w:spacing w:after="0" w:line="196" w:lineRule="exact"/>
        <w:tabs>
          <w:tab w:leader="none" w:pos="198" w:val="left"/>
        </w:tabs>
        <w:numPr>
          <w:ilvl w:val="0"/>
          <w:numId w:val="189"/>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w:t>
      </w:r>
    </w:p>
    <w:p>
      <w:pPr>
        <w:spacing w:after="0" w:line="344" w:lineRule="exact"/>
        <w:rPr>
          <w:rFonts w:ascii="MS PGothic" w:cs="MS PGothic" w:eastAsia="MS PGothic" w:hAnsi="MS PGothic"/>
          <w:sz w:val="17"/>
          <w:szCs w:val="17"/>
          <w:color w:val="auto"/>
        </w:rPr>
      </w:pPr>
    </w:p>
    <w:p>
      <w:pPr>
        <w:ind w:left="198" w:hanging="198"/>
        <w:spacing w:after="0" w:line="196" w:lineRule="exact"/>
        <w:tabs>
          <w:tab w:leader="none" w:pos="198" w:val="left"/>
        </w:tabs>
        <w:numPr>
          <w:ilvl w:val="0"/>
          <w:numId w:val="189"/>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w:t>
      </w:r>
    </w:p>
    <w:p>
      <w:pPr>
        <w:spacing w:after="0" w:line="200" w:lineRule="exact"/>
        <w:rPr>
          <w:rFonts w:ascii="MS PGothic" w:cs="MS PGothic" w:eastAsia="MS PGothic" w:hAnsi="MS PGothic"/>
          <w:sz w:val="17"/>
          <w:szCs w:val="17"/>
          <w:color w:val="auto"/>
        </w:rPr>
      </w:pPr>
    </w:p>
    <w:p>
      <w:pPr>
        <w:spacing w:after="0" w:line="360" w:lineRule="exact"/>
        <w:rPr>
          <w:rFonts w:ascii="MS PGothic" w:cs="MS PGothic" w:eastAsia="MS PGothic" w:hAnsi="MS PGothic"/>
          <w:sz w:val="17"/>
          <w:szCs w:val="17"/>
          <w:color w:val="auto"/>
        </w:rPr>
      </w:pPr>
    </w:p>
    <w:p>
      <w:pPr>
        <w:ind w:left="198" w:hanging="198"/>
        <w:spacing w:after="0" w:line="196" w:lineRule="exact"/>
        <w:tabs>
          <w:tab w:leader="none" w:pos="198" w:val="left"/>
        </w:tabs>
        <w:numPr>
          <w:ilvl w:val="0"/>
          <w:numId w:val="189"/>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w:t>
      </w:r>
    </w:p>
    <w:p>
      <w:pPr>
        <w:spacing w:after="0" w:line="344" w:lineRule="exact"/>
        <w:rPr>
          <w:rFonts w:ascii="MS PGothic" w:cs="MS PGothic" w:eastAsia="MS PGothic" w:hAnsi="MS PGothic"/>
          <w:sz w:val="17"/>
          <w:szCs w:val="17"/>
          <w:color w:val="auto"/>
        </w:rPr>
      </w:pPr>
    </w:p>
    <w:p>
      <w:pPr>
        <w:ind w:left="198" w:hanging="198"/>
        <w:spacing w:after="0" w:line="196" w:lineRule="exact"/>
        <w:tabs>
          <w:tab w:leader="none" w:pos="198" w:val="left"/>
        </w:tabs>
        <w:numPr>
          <w:ilvl w:val="0"/>
          <w:numId w:val="189"/>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w:t>
      </w:r>
    </w:p>
    <w:p>
      <w:pPr>
        <w:sectPr>
          <w:pgSz w:w="11900" w:h="16838" w:orient="portrait"/>
          <w:cols w:equalWidth="0" w:num="2">
            <w:col w:w="8062" w:space="720"/>
            <w:col w:w="1238"/>
          </w:cols>
          <w:pgMar w:left="440" w:top="378" w:right="1440" w:bottom="1440" w:gutter="0" w:footer="0" w:header="0"/>
        </w:sectPr>
      </w:pPr>
    </w:p>
    <w:bookmarkStart w:id="199" w:name="page200"/>
    <w:bookmarkEnd w:id="199"/>
    <w:p>
      <w:pPr>
        <w:ind w:left="42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VII.</w:t>
        <w:tab/>
        <w:t>Tax Status of Non-U.S. Investors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following questions are relevant to proposed purchasers that are (or are acting for) a Beneficial Owner that is a non-U.S. person.</w:t>
      </w:r>
    </w:p>
    <w:p>
      <w:pPr>
        <w:spacing w:after="0" w:line="335" w:lineRule="exact"/>
        <w:rPr>
          <w:sz w:val="20"/>
          <w:szCs w:val="20"/>
          <w:color w:val="auto"/>
        </w:rPr>
      </w:pPr>
    </w:p>
    <w:tbl>
      <w:tblPr>
        <w:tblLayout w:type="fixed"/>
        <w:tblInd w:w="360" w:type="dxa"/>
        <w:tblCellMar>
          <w:top w:w="0" w:type="dxa"/>
          <w:left w:w="0" w:type="dxa"/>
          <w:bottom w:w="0" w:type="dxa"/>
          <w:right w:w="0" w:type="dxa"/>
        </w:tblCellMar>
      </w:tblPr>
      <w:tr>
        <w:trPr>
          <w:trHeight w:val="245"/>
        </w:trPr>
        <w:tc>
          <w:tcPr>
            <w:tcW w:w="9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   Do you qualify as an integral part or a controlled entity of a foreign government for purposes of section 892 of the Code (for</w:t>
            </w:r>
          </w:p>
        </w:tc>
        <w:tc>
          <w:tcPr>
            <w:tcW w:w="1200" w:type="dxa"/>
            <w:vAlign w:val="bottom"/>
          </w:tcPr>
          <w:p>
            <w:pPr>
              <w:ind w:left="140"/>
              <w:spacing w:after="0" w:line="207" w:lineRule="exact"/>
              <w:rPr>
                <w:sz w:val="20"/>
                <w:szCs w:val="20"/>
                <w:color w:val="auto"/>
              </w:rPr>
            </w:pPr>
            <w:r>
              <w:rPr>
                <w:rFonts w:ascii="MS PGothic" w:cs="MS PGothic" w:eastAsia="MS PGothic" w:hAnsi="MS PGothic"/>
                <w:sz w:val="18"/>
                <w:szCs w:val="18"/>
                <w:color w:val="auto"/>
                <w:w w:val="94"/>
              </w:rPr>
              <w:t>☐</w:t>
            </w:r>
            <w:r>
              <w:rPr>
                <w:rFonts w:ascii="Times New Roman" w:cs="Times New Roman" w:eastAsia="Times New Roman" w:hAnsi="Times New Roman"/>
                <w:sz w:val="18"/>
                <w:szCs w:val="18"/>
                <w:color w:val="auto"/>
                <w:w w:val="94"/>
              </w:rPr>
              <w:t xml:space="preserve"> YES </w:t>
            </w:r>
            <w:r>
              <w:rPr>
                <w:rFonts w:ascii="MS PGothic" w:cs="MS PGothic" w:eastAsia="MS PGothic" w:hAnsi="MS PGothic"/>
                <w:sz w:val="18"/>
                <w:szCs w:val="18"/>
                <w:color w:val="auto"/>
                <w:w w:val="94"/>
              </w:rPr>
              <w:t>☐</w:t>
            </w:r>
            <w:r>
              <w:rPr>
                <w:rFonts w:ascii="Times New Roman" w:cs="Times New Roman" w:eastAsia="Times New Roman" w:hAnsi="Times New Roman"/>
                <w:sz w:val="18"/>
                <w:szCs w:val="18"/>
                <w:color w:val="auto"/>
                <w:w w:val="94"/>
              </w:rPr>
              <w:t xml:space="preserve"> NO</w:t>
            </w:r>
          </w:p>
        </w:tc>
      </w:tr>
      <w:tr>
        <w:trPr>
          <w:trHeight w:val="234"/>
        </w:trPr>
        <w:tc>
          <w:tcPr>
            <w:tcW w:w="94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example, certain sovereign wealth funds)?</w:t>
            </w:r>
          </w:p>
        </w:tc>
        <w:tc>
          <w:tcPr>
            <w:tcW w:w="1200" w:type="dxa"/>
            <w:vAlign w:val="bottom"/>
          </w:tcPr>
          <w:p>
            <w:pPr>
              <w:spacing w:after="0"/>
              <w:rPr>
                <w:sz w:val="20"/>
                <w:szCs w:val="20"/>
                <w:color w:val="auto"/>
              </w:rPr>
            </w:pPr>
          </w:p>
        </w:tc>
      </w:tr>
      <w:tr>
        <w:trPr>
          <w:trHeight w:val="324"/>
        </w:trPr>
        <w:tc>
          <w:tcPr>
            <w:tcW w:w="9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If YES, please furnish an executed copy of form W-8EXP.</w:t>
            </w:r>
          </w:p>
        </w:tc>
        <w:tc>
          <w:tcPr>
            <w:tcW w:w="1200" w:type="dxa"/>
            <w:vAlign w:val="bottom"/>
          </w:tcPr>
          <w:p>
            <w:pPr>
              <w:spacing w:after="0"/>
              <w:rPr>
                <w:sz w:val="24"/>
                <w:szCs w:val="24"/>
                <w:color w:val="auto"/>
              </w:rPr>
            </w:pPr>
          </w:p>
        </w:tc>
      </w:tr>
      <w:tr>
        <w:trPr>
          <w:trHeight w:val="344"/>
        </w:trPr>
        <w:tc>
          <w:tcPr>
            <w:tcW w:w="9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   Do you qualify as a pension fund entitled to an exemption from withholding tax on dividends under an applicable tax treaty?</w:t>
            </w:r>
          </w:p>
        </w:tc>
        <w:tc>
          <w:tcPr>
            <w:tcW w:w="1200" w:type="dxa"/>
            <w:vAlign w:val="bottom"/>
          </w:tcPr>
          <w:p>
            <w:pPr>
              <w:ind w:left="140"/>
              <w:spacing w:after="0" w:line="207" w:lineRule="exact"/>
              <w:rPr>
                <w:sz w:val="20"/>
                <w:szCs w:val="20"/>
                <w:color w:val="auto"/>
              </w:rPr>
            </w:pPr>
            <w:r>
              <w:rPr>
                <w:rFonts w:ascii="MS PGothic" w:cs="MS PGothic" w:eastAsia="MS PGothic" w:hAnsi="MS PGothic"/>
                <w:sz w:val="18"/>
                <w:szCs w:val="18"/>
                <w:color w:val="auto"/>
                <w:w w:val="94"/>
              </w:rPr>
              <w:t>☐</w:t>
            </w:r>
            <w:r>
              <w:rPr>
                <w:rFonts w:ascii="Times New Roman" w:cs="Times New Roman" w:eastAsia="Times New Roman" w:hAnsi="Times New Roman"/>
                <w:sz w:val="18"/>
                <w:szCs w:val="18"/>
                <w:color w:val="auto"/>
                <w:w w:val="94"/>
              </w:rPr>
              <w:t xml:space="preserve"> YES </w:t>
            </w:r>
            <w:r>
              <w:rPr>
                <w:rFonts w:ascii="MS PGothic" w:cs="MS PGothic" w:eastAsia="MS PGothic" w:hAnsi="MS PGothic"/>
                <w:sz w:val="18"/>
                <w:szCs w:val="18"/>
                <w:color w:val="auto"/>
                <w:w w:val="94"/>
              </w:rPr>
              <w:t>☐</w:t>
            </w:r>
            <w:r>
              <w:rPr>
                <w:rFonts w:ascii="Times New Roman" w:cs="Times New Roman" w:eastAsia="Times New Roman" w:hAnsi="Times New Roman"/>
                <w:sz w:val="18"/>
                <w:szCs w:val="18"/>
                <w:color w:val="auto"/>
                <w:w w:val="94"/>
              </w:rPr>
              <w:t xml:space="preserve"> NO</w:t>
            </w:r>
          </w:p>
        </w:tc>
      </w:tr>
      <w:tr>
        <w:trPr>
          <w:trHeight w:val="304"/>
        </w:trPr>
        <w:tc>
          <w:tcPr>
            <w:tcW w:w="9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If YES, please indicate the relevant treaty here and on an executed copy of form W-8BEN or W-8BEN-E, as applicable.</w:t>
            </w:r>
          </w:p>
        </w:tc>
        <w:tc>
          <w:tcPr>
            <w:tcW w:w="1200" w:type="dxa"/>
            <w:vAlign w:val="bottom"/>
          </w:tcPr>
          <w:p>
            <w:pPr>
              <w:spacing w:after="0"/>
              <w:rPr>
                <w:sz w:val="24"/>
                <w:szCs w:val="24"/>
                <w:color w:val="auto"/>
              </w:rPr>
            </w:pPr>
          </w:p>
        </w:tc>
      </w:tr>
      <w:tr>
        <w:trPr>
          <w:trHeight w:val="297"/>
        </w:trPr>
        <w:tc>
          <w:tcPr>
            <w:tcW w:w="13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w w:val="97"/>
              </w:rPr>
              <w:t>Applicable Treaty:</w:t>
            </w:r>
          </w:p>
        </w:tc>
        <w:tc>
          <w:tcPr>
            <w:tcW w:w="3860" w:type="dxa"/>
            <w:vAlign w:val="bottom"/>
            <w:tcBorders>
              <w:bottom w:val="single" w:sz="8" w:color="auto"/>
            </w:tcBorders>
          </w:tcPr>
          <w:p>
            <w:pPr>
              <w:spacing w:after="0"/>
              <w:rPr>
                <w:sz w:val="24"/>
                <w:szCs w:val="24"/>
                <w:color w:val="auto"/>
              </w:rPr>
            </w:pPr>
          </w:p>
        </w:tc>
        <w:tc>
          <w:tcPr>
            <w:tcW w:w="42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78"/>
        </w:trPr>
        <w:tc>
          <w:tcPr>
            <w:tcW w:w="9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   Do you qualify for a reduced rate of withholding tax on dividends under an applicable tax treaty?</w:t>
            </w:r>
          </w:p>
        </w:tc>
        <w:tc>
          <w:tcPr>
            <w:tcW w:w="1200" w:type="dxa"/>
            <w:vAlign w:val="bottom"/>
          </w:tcPr>
          <w:p>
            <w:pPr>
              <w:ind w:left="140"/>
              <w:spacing w:after="0" w:line="207" w:lineRule="exact"/>
              <w:rPr>
                <w:sz w:val="20"/>
                <w:szCs w:val="20"/>
                <w:color w:val="auto"/>
              </w:rPr>
            </w:pPr>
            <w:r>
              <w:rPr>
                <w:rFonts w:ascii="MS PGothic" w:cs="MS PGothic" w:eastAsia="MS PGothic" w:hAnsi="MS PGothic"/>
                <w:sz w:val="18"/>
                <w:szCs w:val="18"/>
                <w:color w:val="auto"/>
                <w:w w:val="94"/>
              </w:rPr>
              <w:t>☐</w:t>
            </w:r>
            <w:r>
              <w:rPr>
                <w:rFonts w:ascii="Times New Roman" w:cs="Times New Roman" w:eastAsia="Times New Roman" w:hAnsi="Times New Roman"/>
                <w:sz w:val="18"/>
                <w:szCs w:val="18"/>
                <w:color w:val="auto"/>
                <w:w w:val="94"/>
              </w:rPr>
              <w:t xml:space="preserve"> YES </w:t>
            </w:r>
            <w:r>
              <w:rPr>
                <w:rFonts w:ascii="MS PGothic" w:cs="MS PGothic" w:eastAsia="MS PGothic" w:hAnsi="MS PGothic"/>
                <w:sz w:val="18"/>
                <w:szCs w:val="18"/>
                <w:color w:val="auto"/>
                <w:w w:val="94"/>
              </w:rPr>
              <w:t>☐</w:t>
            </w:r>
            <w:r>
              <w:rPr>
                <w:rFonts w:ascii="Times New Roman" w:cs="Times New Roman" w:eastAsia="Times New Roman" w:hAnsi="Times New Roman"/>
                <w:sz w:val="18"/>
                <w:szCs w:val="18"/>
                <w:color w:val="auto"/>
                <w:w w:val="94"/>
              </w:rPr>
              <w:t xml:space="preserve"> NO</w:t>
            </w:r>
          </w:p>
        </w:tc>
      </w:tr>
      <w:tr>
        <w:trPr>
          <w:trHeight w:val="304"/>
        </w:trPr>
        <w:tc>
          <w:tcPr>
            <w:tcW w:w="9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If YES, please indicate the relevant treaty here and on an executed copy of form W-8BEN or W-8BEN-E, as applicable.</w:t>
            </w:r>
          </w:p>
        </w:tc>
        <w:tc>
          <w:tcPr>
            <w:tcW w:w="1200" w:type="dxa"/>
            <w:vAlign w:val="bottom"/>
          </w:tcPr>
          <w:p>
            <w:pPr>
              <w:spacing w:after="0"/>
              <w:rPr>
                <w:sz w:val="24"/>
                <w:szCs w:val="24"/>
                <w:color w:val="auto"/>
              </w:rPr>
            </w:pPr>
          </w:p>
        </w:tc>
      </w:tr>
      <w:tr>
        <w:trPr>
          <w:trHeight w:val="297"/>
        </w:trPr>
        <w:tc>
          <w:tcPr>
            <w:tcW w:w="13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w w:val="97"/>
              </w:rPr>
              <w:t>Applicable Treaty:</w:t>
            </w:r>
          </w:p>
        </w:tc>
        <w:tc>
          <w:tcPr>
            <w:tcW w:w="3860" w:type="dxa"/>
            <w:vAlign w:val="bottom"/>
            <w:tcBorders>
              <w:bottom w:val="single" w:sz="8" w:color="auto"/>
            </w:tcBorders>
          </w:tcPr>
          <w:p>
            <w:pPr>
              <w:spacing w:after="0"/>
              <w:rPr>
                <w:sz w:val="24"/>
                <w:szCs w:val="24"/>
                <w:color w:val="auto"/>
              </w:rPr>
            </w:pPr>
          </w:p>
        </w:tc>
        <w:tc>
          <w:tcPr>
            <w:tcW w:w="42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40"/>
        </w:trPr>
        <w:tc>
          <w:tcPr>
            <w:tcW w:w="9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 If you are acting as a custodian, nominee, or in another capacity other than as the sole beneficial owner, or if you are a</w:t>
            </w:r>
          </w:p>
        </w:tc>
        <w:tc>
          <w:tcPr>
            <w:tcW w:w="1200" w:type="dxa"/>
            <w:vAlign w:val="bottom"/>
          </w:tcPr>
          <w:p>
            <w:pPr>
              <w:ind w:left="140"/>
              <w:spacing w:after="0" w:line="207" w:lineRule="exact"/>
              <w:rPr>
                <w:sz w:val="20"/>
                <w:szCs w:val="20"/>
                <w:color w:val="auto"/>
              </w:rPr>
            </w:pPr>
            <w:r>
              <w:rPr>
                <w:rFonts w:ascii="MS PGothic" w:cs="MS PGothic" w:eastAsia="MS PGothic" w:hAnsi="MS PGothic"/>
                <w:sz w:val="18"/>
                <w:szCs w:val="18"/>
                <w:color w:val="auto"/>
                <w:w w:val="94"/>
              </w:rPr>
              <w:t>☐</w:t>
            </w:r>
            <w:r>
              <w:rPr>
                <w:rFonts w:ascii="Times New Roman" w:cs="Times New Roman" w:eastAsia="Times New Roman" w:hAnsi="Times New Roman"/>
                <w:sz w:val="18"/>
                <w:szCs w:val="18"/>
                <w:color w:val="auto"/>
                <w:w w:val="94"/>
              </w:rPr>
              <w:t xml:space="preserve"> YES </w:t>
            </w:r>
            <w:r>
              <w:rPr>
                <w:rFonts w:ascii="MS PGothic" w:cs="MS PGothic" w:eastAsia="MS PGothic" w:hAnsi="MS PGothic"/>
                <w:sz w:val="18"/>
                <w:szCs w:val="18"/>
                <w:color w:val="auto"/>
                <w:w w:val="94"/>
              </w:rPr>
              <w:t>☐</w:t>
            </w:r>
            <w:r>
              <w:rPr>
                <w:rFonts w:ascii="Times New Roman" w:cs="Times New Roman" w:eastAsia="Times New Roman" w:hAnsi="Times New Roman"/>
                <w:sz w:val="18"/>
                <w:szCs w:val="18"/>
                <w:color w:val="auto"/>
                <w:w w:val="94"/>
              </w:rPr>
              <w:t xml:space="preserve"> NO</w:t>
            </w:r>
          </w:p>
        </w:tc>
      </w:tr>
      <w:tr>
        <w:trPr>
          <w:trHeight w:val="216"/>
        </w:trPr>
        <w:tc>
          <w:tcPr>
            <w:tcW w:w="94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partnership or other fiscally transparent entity for tax purposes in the United States, your country or organization or the</w:t>
            </w:r>
          </w:p>
        </w:tc>
        <w:tc>
          <w:tcPr>
            <w:tcW w:w="1200" w:type="dxa"/>
            <w:vAlign w:val="bottom"/>
          </w:tcPr>
          <w:p>
            <w:pPr>
              <w:spacing w:after="0"/>
              <w:rPr>
                <w:sz w:val="18"/>
                <w:szCs w:val="18"/>
                <w:color w:val="auto"/>
              </w:rPr>
            </w:pPr>
          </w:p>
        </w:tc>
      </w:tr>
      <w:tr>
        <w:trPr>
          <w:trHeight w:val="216"/>
        </w:trPr>
        <w:tc>
          <w:tcPr>
            <w:tcW w:w="94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country of residence of a partner or interest holder, please provide information regarding the tax status of the relevant</w:t>
            </w:r>
          </w:p>
        </w:tc>
        <w:tc>
          <w:tcPr>
            <w:tcW w:w="1200" w:type="dxa"/>
            <w:vAlign w:val="bottom"/>
          </w:tcPr>
          <w:p>
            <w:pPr>
              <w:spacing w:after="0"/>
              <w:rPr>
                <w:sz w:val="18"/>
                <w:szCs w:val="18"/>
                <w:color w:val="auto"/>
              </w:rPr>
            </w:pPr>
          </w:p>
        </w:tc>
      </w:tr>
      <w:tr>
        <w:trPr>
          <w:trHeight w:val="234"/>
        </w:trPr>
        <w:tc>
          <w:tcPr>
            <w:tcW w:w="94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beneficial owners, partners or other interest holders, including:</w:t>
            </w:r>
          </w:p>
        </w:tc>
        <w:tc>
          <w:tcPr>
            <w:tcW w:w="1200" w:type="dxa"/>
            <w:vAlign w:val="bottom"/>
          </w:tcPr>
          <w:p>
            <w:pPr>
              <w:spacing w:after="0"/>
              <w:rPr>
                <w:sz w:val="20"/>
                <w:szCs w:val="20"/>
                <w:color w:val="auto"/>
              </w:rPr>
            </w:pPr>
          </w:p>
        </w:tc>
      </w:tr>
      <w:tr>
        <w:trPr>
          <w:trHeight w:val="324"/>
        </w:trPr>
        <w:tc>
          <w:tcPr>
            <w:tcW w:w="94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    the legal forms of the relevant beneficial owners, partners or other interest holders (by percentage interest);</w:t>
            </w:r>
          </w:p>
        </w:tc>
        <w:tc>
          <w:tcPr>
            <w:tcW w:w="1200" w:type="dxa"/>
            <w:vAlign w:val="bottom"/>
          </w:tcPr>
          <w:p>
            <w:pPr>
              <w:spacing w:after="0"/>
              <w:rPr>
                <w:sz w:val="24"/>
                <w:szCs w:val="24"/>
                <w:color w:val="auto"/>
              </w:rPr>
            </w:pPr>
          </w:p>
        </w:tc>
      </w:tr>
      <w:tr>
        <w:trPr>
          <w:trHeight w:val="306"/>
        </w:trPr>
        <w:tc>
          <w:tcPr>
            <w:tcW w:w="94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(b)    the residence, for tax purposes, of the relevant beneficial owners, partners or other interest holders (by percentage</w:t>
            </w:r>
          </w:p>
        </w:tc>
        <w:tc>
          <w:tcPr>
            <w:tcW w:w="1200" w:type="dxa"/>
            <w:vAlign w:val="bottom"/>
          </w:tcPr>
          <w:p>
            <w:pPr>
              <w:spacing w:after="0"/>
              <w:rPr>
                <w:sz w:val="24"/>
                <w:szCs w:val="24"/>
                <w:color w:val="auto"/>
              </w:rPr>
            </w:pPr>
          </w:p>
        </w:tc>
      </w:tr>
      <w:tr>
        <w:trPr>
          <w:trHeight w:val="234"/>
        </w:trPr>
        <w:tc>
          <w:tcPr>
            <w:tcW w:w="946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interest);</w:t>
            </w:r>
          </w:p>
        </w:tc>
        <w:tc>
          <w:tcPr>
            <w:tcW w:w="1200" w:type="dxa"/>
            <w:vAlign w:val="bottom"/>
          </w:tcPr>
          <w:p>
            <w:pPr>
              <w:spacing w:after="0"/>
              <w:rPr>
                <w:sz w:val="20"/>
                <w:szCs w:val="20"/>
                <w:color w:val="auto"/>
              </w:rPr>
            </w:pPr>
          </w:p>
        </w:tc>
      </w:tr>
      <w:tr>
        <w:trPr>
          <w:trHeight w:val="306"/>
        </w:trPr>
        <w:tc>
          <w:tcPr>
            <w:tcW w:w="94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(c)    the entity classification (e.g., corporation, partnership, disregarded entity, trust or estate) for U.S. federal tax purposes</w:t>
            </w:r>
          </w:p>
        </w:tc>
        <w:tc>
          <w:tcPr>
            <w:tcW w:w="1200" w:type="dxa"/>
            <w:vAlign w:val="bottom"/>
          </w:tcPr>
          <w:p>
            <w:pPr>
              <w:spacing w:after="0"/>
              <w:rPr>
                <w:sz w:val="24"/>
                <w:szCs w:val="24"/>
                <w:color w:val="auto"/>
              </w:rPr>
            </w:pPr>
          </w:p>
        </w:tc>
      </w:tr>
      <w:tr>
        <w:trPr>
          <w:trHeight w:val="234"/>
        </w:trPr>
        <w:tc>
          <w:tcPr>
            <w:tcW w:w="946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of the relevant beneficial owners, partners or other interest holders;</w:t>
            </w:r>
          </w:p>
        </w:tc>
        <w:tc>
          <w:tcPr>
            <w:tcW w:w="1200" w:type="dxa"/>
            <w:vAlign w:val="bottom"/>
          </w:tcPr>
          <w:p>
            <w:pPr>
              <w:spacing w:after="0"/>
              <w:rPr>
                <w:sz w:val="20"/>
                <w:szCs w:val="20"/>
                <w:color w:val="auto"/>
              </w:rPr>
            </w:pPr>
          </w:p>
        </w:tc>
      </w:tr>
      <w:tr>
        <w:trPr>
          <w:trHeight w:val="306"/>
        </w:trPr>
        <w:tc>
          <w:tcPr>
            <w:tcW w:w="94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    the aggregate percentage interest of the relevant beneficial owners, partners or other interest holders that are exempt</w:t>
            </w:r>
          </w:p>
        </w:tc>
        <w:tc>
          <w:tcPr>
            <w:tcW w:w="1200" w:type="dxa"/>
            <w:vAlign w:val="bottom"/>
          </w:tcPr>
          <w:p>
            <w:pPr>
              <w:spacing w:after="0"/>
              <w:rPr>
                <w:sz w:val="24"/>
                <w:szCs w:val="24"/>
                <w:color w:val="auto"/>
              </w:rPr>
            </w:pPr>
          </w:p>
        </w:tc>
      </w:tr>
      <w:tr>
        <w:trPr>
          <w:trHeight w:val="216"/>
        </w:trPr>
        <w:tc>
          <w:tcPr>
            <w:tcW w:w="946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from federal income taxation (Please separately indicate what percentage of such owners are exempt from tax under</w:t>
            </w:r>
          </w:p>
        </w:tc>
        <w:tc>
          <w:tcPr>
            <w:tcW w:w="1200" w:type="dxa"/>
            <w:vAlign w:val="bottom"/>
          </w:tcPr>
          <w:p>
            <w:pPr>
              <w:spacing w:after="0"/>
              <w:rPr>
                <w:sz w:val="18"/>
                <w:szCs w:val="18"/>
                <w:color w:val="auto"/>
              </w:rPr>
            </w:pPr>
          </w:p>
        </w:tc>
      </w:tr>
      <w:tr>
        <w:trPr>
          <w:trHeight w:val="234"/>
        </w:trPr>
        <w:tc>
          <w:tcPr>
            <w:tcW w:w="946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Sections 892 of the Code); and</w:t>
            </w:r>
          </w:p>
        </w:tc>
        <w:tc>
          <w:tcPr>
            <w:tcW w:w="1200" w:type="dxa"/>
            <w:vAlign w:val="bottom"/>
          </w:tcPr>
          <w:p>
            <w:pPr>
              <w:spacing w:after="0"/>
              <w:rPr>
                <w:sz w:val="20"/>
                <w:szCs w:val="20"/>
                <w:color w:val="auto"/>
              </w:rPr>
            </w:pPr>
          </w:p>
        </w:tc>
      </w:tr>
    </w:tbl>
    <w:p>
      <w:pPr>
        <w:sectPr>
          <w:pgSz w:w="11900" w:h="16838" w:orient="portrait"/>
          <w:cols w:equalWidth="0" w:num="1">
            <w:col w:w="11020"/>
          </w:cols>
          <w:pgMar w:left="440" w:top="266" w:right="439" w:bottom="1440" w:gutter="0" w:footer="0" w:header="0"/>
        </w:sectPr>
      </w:pPr>
    </w:p>
    <w:bookmarkStart w:id="200" w:name="page201"/>
    <w:bookmarkEnd w:id="200"/>
    <w:p>
      <w:pPr>
        <w:ind w:hanging="359"/>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    for each owner of the subscriber that is a pass-through entity for U.S. federal tax purposes, the information specified in this subsection VIID)(a)-(d), to the extent such information is known, or reasonably available, to the subscriber.</w:t>
      </w:r>
    </w:p>
    <w:p>
      <w:pPr>
        <w:spacing w:after="0" w:line="54" w:lineRule="exact"/>
        <w:rPr>
          <w:sz w:val="20"/>
          <w:szCs w:val="20"/>
          <w:color w:val="auto"/>
        </w:rPr>
      </w:pPr>
    </w:p>
    <w:p>
      <w:pPr>
        <w:ind w:right="140" w:hanging="359"/>
        <w:spacing w:after="0" w:line="282" w:lineRule="auto"/>
        <w:rPr>
          <w:sz w:val="20"/>
          <w:szCs w:val="20"/>
          <w:color w:val="auto"/>
        </w:rPr>
      </w:pPr>
      <w:r>
        <w:rPr>
          <w:rFonts w:ascii="Times New Roman" w:cs="Times New Roman" w:eastAsia="Times New Roman" w:hAnsi="Times New Roman"/>
          <w:sz w:val="18"/>
          <w:szCs w:val="18"/>
          <w:color w:val="auto"/>
        </w:rPr>
        <w:t>(E)   Is the subscriber fiscally transparent in its jurisdiction of organization within the meaning of Section 894 of the Code and related iTreasury Regulations, with respect to any items of income?</w:t>
      </w:r>
    </w:p>
    <w:p>
      <w:pPr>
        <w:spacing w:after="0" w:line="54" w:lineRule="exact"/>
        <w:rPr>
          <w:sz w:val="20"/>
          <w:szCs w:val="20"/>
          <w:color w:val="auto"/>
        </w:rPr>
      </w:pPr>
    </w:p>
    <w:p>
      <w:pPr>
        <w:ind w:right="280" w:hanging="359"/>
        <w:spacing w:after="0" w:line="282" w:lineRule="auto"/>
        <w:rPr>
          <w:sz w:val="20"/>
          <w:szCs w:val="20"/>
          <w:color w:val="auto"/>
        </w:rPr>
      </w:pPr>
      <w:r>
        <w:rPr>
          <w:rFonts w:ascii="Times New Roman" w:cs="Times New Roman" w:eastAsia="Times New Roman" w:hAnsi="Times New Roman"/>
          <w:sz w:val="18"/>
          <w:szCs w:val="18"/>
          <w:color w:val="auto"/>
        </w:rPr>
        <w:t>(1)    If YES, will the items of income received by the subscriber from the Company be treated as derived by a resident of an applicable treaty jurisdiction, within the meaning of Section 894 of the Code and related Treasury Regulations?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1" w:lineRule="exact"/>
        <w:rPr>
          <w:sz w:val="20"/>
          <w:szCs w:val="20"/>
          <w:color w:val="auto"/>
        </w:rPr>
      </w:pPr>
    </w:p>
    <w:p>
      <w:pPr>
        <w:ind w:left="203" w:hanging="203"/>
        <w:spacing w:after="0" w:line="196" w:lineRule="exact"/>
        <w:tabs>
          <w:tab w:leader="none" w:pos="203" w:val="left"/>
        </w:tabs>
        <w:numPr>
          <w:ilvl w:val="0"/>
          <w:numId w:val="190"/>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w:t>
      </w:r>
    </w:p>
    <w:p>
      <w:pPr>
        <w:spacing w:after="0" w:line="344" w:lineRule="exact"/>
        <w:rPr>
          <w:rFonts w:ascii="MS PGothic" w:cs="MS PGothic" w:eastAsia="MS PGothic" w:hAnsi="MS PGothic"/>
          <w:sz w:val="17"/>
          <w:szCs w:val="17"/>
          <w:color w:val="auto"/>
        </w:rPr>
      </w:pPr>
    </w:p>
    <w:p>
      <w:pPr>
        <w:ind w:left="203" w:hanging="203"/>
        <w:spacing w:after="0" w:line="196" w:lineRule="exact"/>
        <w:tabs>
          <w:tab w:leader="none" w:pos="203" w:val="left"/>
        </w:tabs>
        <w:numPr>
          <w:ilvl w:val="0"/>
          <w:numId w:val="190"/>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w:t>
      </w:r>
    </w:p>
    <w:p>
      <w:pPr>
        <w:sectPr>
          <w:pgSz w:w="11900" w:h="16838" w:orient="portrait"/>
          <w:cols w:equalWidth="0" w:num="2">
            <w:col w:w="8840" w:space="237"/>
            <w:col w:w="1063"/>
          </w:cols>
          <w:pgMar w:left="1160" w:top="378" w:right="599" w:bottom="1440" w:gutter="0" w:footer="0" w:header="0"/>
        </w:sectPr>
      </w:pPr>
    </w:p>
    <w:bookmarkStart w:id="201" w:name="page202"/>
    <w:bookmarkEnd w:id="201"/>
    <w:tbl>
      <w:tblPr>
        <w:tblLayout w:type="fixed"/>
        <w:tblInd w:w="4" w:type="dxa"/>
        <w:tblCellMar>
          <w:top w:w="0" w:type="dxa"/>
          <w:left w:w="0" w:type="dxa"/>
          <w:bottom w:w="0" w:type="dxa"/>
          <w:right w:w="0" w:type="dxa"/>
        </w:tblCellMar>
      </w:tblPr>
      <w:tr>
        <w:trPr>
          <w:trHeight w:val="238"/>
        </w:trPr>
        <w:tc>
          <w:tcPr>
            <w:tcW w:w="9580" w:type="dxa"/>
            <w:vAlign w:val="bottom"/>
            <w:gridSpan w:val="3"/>
          </w:tcPr>
          <w:p>
            <w:pPr>
              <w:ind w:left="420"/>
              <w:spacing w:after="0"/>
              <w:rPr>
                <w:sz w:val="20"/>
                <w:szCs w:val="20"/>
                <w:color w:val="auto"/>
              </w:rPr>
            </w:pPr>
            <w:r>
              <w:rPr>
                <w:rFonts w:ascii="Times New Roman" w:cs="Times New Roman" w:eastAsia="Times New Roman" w:hAnsi="Times New Roman"/>
                <w:sz w:val="18"/>
                <w:szCs w:val="18"/>
                <w:b w:val="1"/>
                <w:bCs w:val="1"/>
                <w:color w:val="auto"/>
              </w:rPr>
              <w:t>VIII.  Anti-Money Laundering</w:t>
            </w:r>
          </w:p>
        </w:tc>
        <w:tc>
          <w:tcPr>
            <w:tcW w:w="1280" w:type="dxa"/>
            <w:vAlign w:val="bottom"/>
          </w:tcPr>
          <w:p>
            <w:pPr>
              <w:spacing w:after="0"/>
              <w:rPr>
                <w:sz w:val="20"/>
                <w:szCs w:val="20"/>
                <w:color w:val="auto"/>
              </w:rPr>
            </w:pPr>
          </w:p>
        </w:tc>
      </w:tr>
      <w:tr>
        <w:trPr>
          <w:trHeight w:val="297"/>
        </w:trPr>
        <w:tc>
          <w:tcPr>
            <w:tcW w:w="9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  Name of the bank from which your payments to the Company will be wired (the “Wiring Bank”):</w:t>
            </w:r>
          </w:p>
        </w:tc>
        <w:tc>
          <w:tcPr>
            <w:tcW w:w="1280" w:type="dxa"/>
            <w:vAlign w:val="bottom"/>
          </w:tcPr>
          <w:p>
            <w:pPr>
              <w:spacing w:after="0"/>
              <w:rPr>
                <w:sz w:val="24"/>
                <w:szCs w:val="24"/>
                <w:color w:val="auto"/>
              </w:rPr>
            </w:pPr>
          </w:p>
        </w:tc>
      </w:tr>
      <w:tr>
        <w:trPr>
          <w:trHeight w:val="345"/>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w:t>
            </w:r>
          </w:p>
        </w:tc>
        <w:tc>
          <w:tcPr>
            <w:tcW w:w="920" w:type="dxa"/>
            <w:vAlign w:val="bottom"/>
            <w:tcBorders>
              <w:top w:val="single" w:sz="8" w:color="auto"/>
            </w:tcBorders>
          </w:tcPr>
          <w:p>
            <w:pPr>
              <w:spacing w:after="0"/>
              <w:rPr>
                <w:sz w:val="24"/>
                <w:szCs w:val="24"/>
                <w:color w:val="auto"/>
              </w:rPr>
            </w:pPr>
          </w:p>
        </w:tc>
        <w:tc>
          <w:tcPr>
            <w:tcW w:w="23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44"/>
        </w:trPr>
        <w:tc>
          <w:tcPr>
            <w:tcW w:w="9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   Is the Wiring Bank located in the United States ?</w:t>
            </w:r>
          </w:p>
        </w:tc>
        <w:tc>
          <w:tcPr>
            <w:tcW w:w="1280" w:type="dxa"/>
            <w:vAlign w:val="bottom"/>
          </w:tcPr>
          <w:p>
            <w:pPr>
              <w:ind w:left="240"/>
              <w:spacing w:after="0" w:line="207" w:lineRule="exact"/>
              <w:rPr>
                <w:sz w:val="20"/>
                <w:szCs w:val="20"/>
                <w:color w:val="auto"/>
              </w:rPr>
            </w:pPr>
            <w:r>
              <w:rPr>
                <w:rFonts w:ascii="MS PGothic" w:cs="MS PGothic" w:eastAsia="MS PGothic" w:hAnsi="MS PGothic"/>
                <w:sz w:val="18"/>
                <w:szCs w:val="18"/>
                <w:color w:val="auto"/>
                <w:w w:val="93"/>
              </w:rPr>
              <w:t>☐</w:t>
            </w:r>
            <w:r>
              <w:rPr>
                <w:rFonts w:ascii="Times New Roman" w:cs="Times New Roman" w:eastAsia="Times New Roman" w:hAnsi="Times New Roman"/>
                <w:sz w:val="18"/>
                <w:szCs w:val="18"/>
                <w:color w:val="auto"/>
                <w:w w:val="93"/>
              </w:rPr>
              <w:t xml:space="preserve"> YES </w:t>
            </w:r>
            <w:r>
              <w:rPr>
                <w:rFonts w:ascii="MS PGothic" w:cs="MS PGothic" w:eastAsia="MS PGothic" w:hAnsi="MS PGothic"/>
                <w:sz w:val="18"/>
                <w:szCs w:val="18"/>
                <w:color w:val="auto"/>
                <w:w w:val="93"/>
              </w:rPr>
              <w:t>☐</w:t>
            </w:r>
            <w:r>
              <w:rPr>
                <w:rFonts w:ascii="Times New Roman" w:cs="Times New Roman" w:eastAsia="Times New Roman" w:hAnsi="Times New Roman"/>
                <w:sz w:val="18"/>
                <w:szCs w:val="18"/>
                <w:color w:val="auto"/>
                <w:w w:val="93"/>
              </w:rPr>
              <w:t xml:space="preserve"> NO</w:t>
            </w:r>
          </w:p>
        </w:tc>
      </w:tr>
      <w:tr>
        <w:trPr>
          <w:trHeight w:val="299"/>
        </w:trPr>
        <w:tc>
          <w:tcPr>
            <w:tcW w:w="9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If NO, please list the jurisdiction:</w:t>
            </w:r>
          </w:p>
        </w:tc>
        <w:tc>
          <w:tcPr>
            <w:tcW w:w="1280" w:type="dxa"/>
            <w:vAlign w:val="bottom"/>
          </w:tcPr>
          <w:p>
            <w:pPr>
              <w:spacing w:after="0"/>
              <w:rPr>
                <w:sz w:val="24"/>
                <w:szCs w:val="24"/>
                <w:color w:val="auto"/>
              </w:rPr>
            </w:pPr>
          </w:p>
        </w:tc>
      </w:tr>
      <w:tr>
        <w:trPr>
          <w:trHeight w:val="234"/>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w:t>
            </w:r>
          </w:p>
        </w:tc>
        <w:tc>
          <w:tcPr>
            <w:tcW w:w="9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79"/>
        </w:trPr>
        <w:tc>
          <w:tcPr>
            <w:tcW w:w="9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 Are you a customer of the Wiring Bank?</w:t>
            </w:r>
          </w:p>
        </w:tc>
        <w:tc>
          <w:tcPr>
            <w:tcW w:w="1280" w:type="dxa"/>
            <w:vAlign w:val="bottom"/>
          </w:tcPr>
          <w:p>
            <w:pPr>
              <w:ind w:left="240"/>
              <w:spacing w:after="0" w:line="207" w:lineRule="exact"/>
              <w:rPr>
                <w:sz w:val="20"/>
                <w:szCs w:val="20"/>
                <w:color w:val="auto"/>
              </w:rPr>
            </w:pPr>
            <w:r>
              <w:rPr>
                <w:rFonts w:ascii="MS PGothic" w:cs="MS PGothic" w:eastAsia="MS PGothic" w:hAnsi="MS PGothic"/>
                <w:sz w:val="18"/>
                <w:szCs w:val="18"/>
                <w:color w:val="auto"/>
                <w:w w:val="93"/>
              </w:rPr>
              <w:t>☐</w:t>
            </w:r>
            <w:r>
              <w:rPr>
                <w:rFonts w:ascii="Times New Roman" w:cs="Times New Roman" w:eastAsia="Times New Roman" w:hAnsi="Times New Roman"/>
                <w:sz w:val="18"/>
                <w:szCs w:val="18"/>
                <w:color w:val="auto"/>
                <w:w w:val="93"/>
              </w:rPr>
              <w:t xml:space="preserve"> YES </w:t>
            </w:r>
            <w:r>
              <w:rPr>
                <w:rFonts w:ascii="MS PGothic" w:cs="MS PGothic" w:eastAsia="MS PGothic" w:hAnsi="MS PGothic"/>
                <w:sz w:val="18"/>
                <w:szCs w:val="18"/>
                <w:color w:val="auto"/>
                <w:w w:val="93"/>
              </w:rPr>
              <w:t>☐</w:t>
            </w:r>
            <w:r>
              <w:rPr>
                <w:rFonts w:ascii="Times New Roman" w:cs="Times New Roman" w:eastAsia="Times New Roman" w:hAnsi="Times New Roman"/>
                <w:sz w:val="18"/>
                <w:szCs w:val="18"/>
                <w:color w:val="auto"/>
                <w:w w:val="93"/>
              </w:rPr>
              <w:t xml:space="preserve"> NO</w:t>
            </w:r>
          </w:p>
        </w:tc>
      </w:tr>
      <w:tr>
        <w:trPr>
          <w:trHeight w:val="286"/>
        </w:trPr>
        <w:tc>
          <w:tcPr>
            <w:tcW w:w="95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If NO, please provide an explanation as to the relationship between the subscriber and the account holder at the Wiring Bank</w:t>
            </w:r>
          </w:p>
        </w:tc>
        <w:tc>
          <w:tcPr>
            <w:tcW w:w="1280" w:type="dxa"/>
            <w:vAlign w:val="bottom"/>
          </w:tcPr>
          <w:p>
            <w:pPr>
              <w:spacing w:after="0"/>
              <w:rPr>
                <w:sz w:val="24"/>
                <w:szCs w:val="24"/>
                <w:color w:val="auto"/>
              </w:rPr>
            </w:pPr>
          </w:p>
        </w:tc>
      </w:tr>
      <w:tr>
        <w:trPr>
          <w:trHeight w:val="234"/>
        </w:trPr>
        <w:tc>
          <w:tcPr>
            <w:tcW w:w="95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from which funds are being transferred and the rationale for such arrangement:</w:t>
            </w:r>
          </w:p>
        </w:tc>
        <w:tc>
          <w:tcPr>
            <w:tcW w:w="1280" w:type="dxa"/>
            <w:vAlign w:val="bottom"/>
          </w:tcPr>
          <w:p>
            <w:pPr>
              <w:spacing w:after="0"/>
              <w:rPr>
                <w:sz w:val="20"/>
                <w:szCs w:val="20"/>
                <w:color w:val="auto"/>
              </w:rPr>
            </w:pPr>
          </w:p>
        </w:tc>
      </w:tr>
      <w:tr>
        <w:trPr>
          <w:trHeight w:val="338"/>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w:t>
            </w:r>
          </w:p>
        </w:tc>
        <w:tc>
          <w:tcPr>
            <w:tcW w:w="9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pacing w:after="0" w:line="1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44"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NOTE: </w:t>
      </w:r>
      <w:r>
        <w:rPr>
          <w:rFonts w:ascii="Times New Roman" w:cs="Times New Roman" w:eastAsia="Times New Roman" w:hAnsi="Times New Roman"/>
          <w:sz w:val="18"/>
          <w:szCs w:val="18"/>
          <w:color w:val="auto"/>
        </w:rPr>
        <w:t>If the answer to Section VIII(B) or VIII(C)? above is NO, please email List-SixthStreetBDC@stblaw.com or call Jeremy Entwistle (202-636-5993) at Simpson Thacher &amp; Bartlett LLP immediately for a list of additional documentation that may be required by the Company or the Adviser.</w:t>
      </w:r>
    </w:p>
    <w:p>
      <w:pPr>
        <w:spacing w:after="0" w:line="80" w:lineRule="exact"/>
        <w:rPr>
          <w:sz w:val="20"/>
          <w:szCs w:val="20"/>
          <w:color w:val="auto"/>
        </w:rPr>
      </w:pPr>
    </w:p>
    <w:p>
      <w:pPr>
        <w:ind w:left="424" w:hanging="424"/>
        <w:spacing w:after="0" w:line="266" w:lineRule="auto"/>
        <w:tabs>
          <w:tab w:leader="none" w:pos="424"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provide a short narrative summary of the source(s) of funds used to make this investment and a supporting record. An acceptable record of source of funds may include: (i) an email certification from the subscriber indicating (x) the nature of the subscriber’s business AND (y) the source of the subscriber’s funds; OR (ii) the first page of the subscriber’s bank statement.</w:t>
      </w:r>
    </w:p>
    <w:p>
      <w:pPr>
        <w:spacing w:after="0" w:line="202"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entities only, is the subscriber (</w:t>
      </w:r>
      <w:r>
        <w:rPr>
          <w:rFonts w:ascii="Times New Roman" w:cs="Times New Roman" w:eastAsia="Times New Roman" w:hAnsi="Times New Roman"/>
          <w:sz w:val="18"/>
          <w:szCs w:val="18"/>
          <w:u w:val="single" w:color="auto"/>
          <w:color w:val="auto"/>
        </w:rPr>
        <w:t>please check all that apply</w:t>
      </w:r>
      <w:r>
        <w:rPr>
          <w:rFonts w:ascii="Times New Roman" w:cs="Times New Roman" w:eastAsia="Times New Roman" w:hAnsi="Times New Roman"/>
          <w:sz w:val="18"/>
          <w:szCs w:val="18"/>
          <w:color w:val="auto"/>
        </w:rPr>
        <w:t>):</w:t>
      </w:r>
    </w:p>
    <w:p>
      <w:pPr>
        <w:sectPr>
          <w:pgSz w:w="11900" w:h="16838" w:orient="portrait"/>
          <w:cols w:equalWidth="0" w:num="1">
            <w:col w:w="10924"/>
          </w:cols>
          <w:pgMar w:left="436" w:top="266" w:right="539" w:bottom="1440" w:gutter="0" w:footer="0" w:header="0"/>
        </w:sectPr>
      </w:pPr>
    </w:p>
    <w:p>
      <w:pPr>
        <w:spacing w:after="0" w:line="252"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17"/>
          <w:szCs w:val="17"/>
          <w:color w:val="auto"/>
        </w:rPr>
        <w:t>(1)    A national or regional government, a public body that manages public debt, or a central bank in a country that is a member</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NO</w:t>
      </w:r>
    </w:p>
    <w:p>
      <w:pPr>
        <w:spacing w:after="0" w:line="36" w:lineRule="exact"/>
        <w:rPr>
          <w:sz w:val="20"/>
          <w:szCs w:val="20"/>
          <w:color w:val="auto"/>
        </w:rPr>
      </w:pPr>
    </w:p>
    <w:p>
      <w:pPr>
        <w:sectPr>
          <w:pgSz w:w="11900" w:h="16838" w:orient="portrait"/>
          <w:cols w:equalWidth="0" w:num="3">
            <w:col w:w="9524" w:space="300"/>
            <w:col w:w="740" w:space="40"/>
            <w:col w:w="320"/>
          </w:cols>
          <w:pgMar w:left="436" w:top="266" w:right="539" w:bottom="1440" w:gutter="0" w:footer="0" w:header="0"/>
          <w:type w:val="continuous"/>
        </w:sectPr>
      </w:pPr>
    </w:p>
    <w:p>
      <w:pPr>
        <w:ind w:left="724"/>
        <w:spacing w:after="0"/>
        <w:rPr>
          <w:sz w:val="20"/>
          <w:szCs w:val="20"/>
          <w:color w:val="auto"/>
        </w:rPr>
      </w:pPr>
      <w:r>
        <w:rPr>
          <w:rFonts w:ascii="Times New Roman" w:cs="Times New Roman" w:eastAsia="Times New Roman" w:hAnsi="Times New Roman"/>
          <w:sz w:val="18"/>
          <w:szCs w:val="18"/>
          <w:color w:val="auto"/>
        </w:rPr>
        <w:t>of the Financial Action Task Force</w:t>
      </w:r>
      <w:r>
        <w:rPr>
          <w:rFonts w:ascii="Times New Roman" w:cs="Times New Roman" w:eastAsia="Times New Roman" w:hAnsi="Times New Roman"/>
          <w:sz w:val="15"/>
          <w:szCs w:val="15"/>
          <w:color w:val="auto"/>
        </w:rPr>
        <w:t>26</w:t>
      </w:r>
      <w:r>
        <w:rPr>
          <w:rFonts w:ascii="Times New Roman" w:cs="Times New Roman" w:eastAsia="Times New Roman" w:hAnsi="Times New Roman"/>
          <w:sz w:val="18"/>
          <w:szCs w:val="18"/>
          <w:color w:val="auto"/>
        </w:rPr>
        <w:t>?</w:t>
      </w:r>
    </w:p>
    <w:p>
      <w:pPr>
        <w:spacing w:after="0" w:line="99" w:lineRule="exact"/>
        <w:rPr>
          <w:sz w:val="20"/>
          <w:szCs w:val="20"/>
          <w:color w:val="auto"/>
        </w:rPr>
      </w:pPr>
    </w:p>
    <w:p>
      <w:pPr>
        <w:ind w:left="724" w:right="16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 </w:t>
      </w:r>
      <w:r>
        <w:rPr>
          <w:rFonts w:ascii="Times New Roman" w:cs="Times New Roman" w:eastAsia="Times New Roman" w:hAnsi="Times New Roman"/>
          <w:sz w:val="18"/>
          <w:szCs w:val="18"/>
          <w:color w:val="auto"/>
        </w:rPr>
        <w:t>If the answer to Section VIII(E)(1) is YES, please evidence this as appropriate, e.g., by providing a copy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government charter establishing said body.</w:t>
      </w:r>
    </w:p>
    <w:p>
      <w:pPr>
        <w:sectPr>
          <w:pgSz w:w="11900" w:h="16838" w:orient="portrait"/>
          <w:cols w:equalWidth="0" w:num="1">
            <w:col w:w="10924"/>
          </w:cols>
          <w:pgMar w:left="436" w:top="266" w:right="539" w:bottom="1440" w:gutter="0" w:footer="0" w:header="0"/>
          <w:type w:val="continuous"/>
        </w:sectPr>
      </w:pPr>
    </w:p>
    <w:p>
      <w:pPr>
        <w:spacing w:after="0" w:line="64"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17"/>
          <w:szCs w:val="17"/>
          <w:color w:val="auto"/>
        </w:rPr>
        <w:t>(2)    A financial institution (e.g., a bank or broker-dealer) that is: (i) subject to the Cayman Islands Anti-Money Laundering</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NO</w:t>
      </w:r>
    </w:p>
    <w:p>
      <w:pPr>
        <w:spacing w:after="0" w:line="47" w:lineRule="exact"/>
        <w:rPr>
          <w:sz w:val="20"/>
          <w:szCs w:val="20"/>
          <w:color w:val="auto"/>
        </w:rPr>
      </w:pPr>
    </w:p>
    <w:p>
      <w:pPr>
        <w:sectPr>
          <w:pgSz w:w="11900" w:h="16838" w:orient="portrait"/>
          <w:cols w:equalWidth="0" w:num="3">
            <w:col w:w="9224" w:space="600"/>
            <w:col w:w="740" w:space="40"/>
            <w:col w:w="320"/>
          </w:cols>
          <w:pgMar w:left="436" w:top="266" w:right="539" w:bottom="1440" w:gutter="0" w:footer="0" w:header="0"/>
          <w:type w:val="continuous"/>
        </w:sectPr>
      </w:pPr>
    </w:p>
    <w:p>
      <w:pPr>
        <w:ind w:left="724" w:right="1280"/>
        <w:spacing w:after="0" w:line="247" w:lineRule="auto"/>
        <w:rPr>
          <w:sz w:val="20"/>
          <w:szCs w:val="20"/>
          <w:color w:val="auto"/>
        </w:rPr>
      </w:pPr>
      <w:r>
        <w:rPr>
          <w:rFonts w:ascii="Times New Roman" w:cs="Times New Roman" w:eastAsia="Times New Roman" w:hAnsi="Times New Roman"/>
          <w:sz w:val="18"/>
          <w:szCs w:val="18"/>
          <w:color w:val="auto"/>
        </w:rPr>
        <w:t>Regulations (as amended) (the “Regulations”), or based in, or formed under, the laws of a country that is a member of the Financial Action Task Force</w:t>
      </w:r>
      <w:r>
        <w:rPr>
          <w:rFonts w:ascii="Times New Roman" w:cs="Times New Roman" w:eastAsia="Times New Roman" w:hAnsi="Times New Roman"/>
          <w:sz w:val="15"/>
          <w:szCs w:val="15"/>
          <w:color w:val="auto"/>
        </w:rPr>
        <w:t>27</w:t>
      </w:r>
      <w:r>
        <w:rPr>
          <w:rFonts w:ascii="Times New Roman" w:cs="Times New Roman" w:eastAsia="Times New Roman" w:hAnsi="Times New Roman"/>
          <w:sz w:val="18"/>
          <w:szCs w:val="18"/>
          <w:color w:val="auto"/>
        </w:rPr>
        <w:t>; AND (ii) acting in the course of business in relation to which a regulatory authority (such as the U.S. Financial Industry Regulatory Authority, the Securities &amp; Futures Commission of Hong Kong and the Monetary Authority of Singapore) exercises regulatory functions and maintains beneficial ownership nformation regarding such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99695</wp:posOffset>
            </wp:positionV>
            <wp:extent cx="77152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ectPr>
          <w:pgSz w:w="11900" w:h="16838" w:orient="portrait"/>
          <w:cols w:equalWidth="0" w:num="1">
            <w:col w:w="10924"/>
          </w:cols>
          <w:pgMar w:left="436" w:top="266" w:right="539" w:bottom="1440" w:gutter="0" w:footer="0" w:header="0"/>
          <w:type w:val="continuous"/>
        </w:sectPr>
      </w:pPr>
    </w:p>
    <w:p>
      <w:pPr>
        <w:spacing w:after="0" w:line="179" w:lineRule="exact"/>
        <w:rPr>
          <w:sz w:val="20"/>
          <w:szCs w:val="20"/>
          <w:color w:val="auto"/>
        </w:rPr>
      </w:pPr>
    </w:p>
    <w:p>
      <w:pPr>
        <w:ind w:left="424" w:right="100" w:hanging="424"/>
        <w:spacing w:after="0" w:line="255" w:lineRule="auto"/>
        <w:tabs>
          <w:tab w:leader="none" w:pos="424" w:val="left"/>
        </w:tabs>
        <w:numPr>
          <w:ilvl w:val="0"/>
          <w:numId w:val="19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countries that are members of the Financial Action Task Force are Argentina, Australia, Austria, Belgium, Brazil, Canada, China, Denmark, European Commission, Finland, France, Germany, Greece, Gulf Co-operation Council, Hong Kong, China, Iceland, India, Ireland, Israel, Italy, Japan, Republic of Korea, Luxembourg, Malaysia, Mexico, Kingdom of the Netherlands, New Zealand, Norway, Portugal, Russian Federation, Saudi Arabia, Singapore, South Africa, Spain, Sweden, Switzerland, Turkey, United Kingdom and the United States.</w:t>
      </w:r>
    </w:p>
    <w:p>
      <w:pPr>
        <w:spacing w:after="0" w:line="2" w:lineRule="exact"/>
        <w:rPr>
          <w:rFonts w:ascii="Times New Roman" w:cs="Times New Roman" w:eastAsia="Times New Roman" w:hAnsi="Times New Roman"/>
          <w:sz w:val="15"/>
          <w:szCs w:val="15"/>
          <w:color w:val="auto"/>
        </w:rPr>
      </w:pPr>
    </w:p>
    <w:p>
      <w:pPr>
        <w:ind w:left="424" w:hanging="424"/>
        <w:spacing w:after="0"/>
        <w:tabs>
          <w:tab w:leader="none" w:pos="424" w:val="left"/>
        </w:tabs>
        <w:numPr>
          <w:ilvl w:val="0"/>
          <w:numId w:val="19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Please see preceding footnote for applicable list of jurisdictions.</w:t>
      </w:r>
    </w:p>
    <w:p>
      <w:pPr>
        <w:spacing w:after="0" w:line="139"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0924"/>
          </w:cols>
          <w:pgMar w:left="436" w:top="266" w:right="539" w:bottom="1440" w:gutter="0" w:footer="0" w:header="0"/>
          <w:type w:val="continuous"/>
        </w:sectPr>
      </w:pPr>
    </w:p>
    <w:bookmarkStart w:id="202" w:name="page203"/>
    <w:bookmarkEnd w:id="202"/>
    <w:p>
      <w:pPr>
        <w:ind w:left="72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exercises regulatory functions and maintains beneficial ownership information regarding such institution?</w:t>
      </w:r>
    </w:p>
    <w:p>
      <w:pPr>
        <w:spacing w:after="0" w:line="127" w:lineRule="exact"/>
        <w:rPr>
          <w:sz w:val="20"/>
          <w:szCs w:val="20"/>
          <w:color w:val="auto"/>
        </w:rPr>
      </w:pPr>
    </w:p>
    <w:p>
      <w:pPr>
        <w:ind w:left="724" w:right="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NOTE: </w:t>
      </w:r>
      <w:r>
        <w:rPr>
          <w:rFonts w:ascii="Times New Roman" w:cs="Times New Roman" w:eastAsia="Times New Roman" w:hAnsi="Times New Roman"/>
          <w:sz w:val="18"/>
          <w:szCs w:val="18"/>
          <w:color w:val="auto"/>
        </w:rPr>
        <w:t>If the answer to Section VIII(E)(2) is YES, please provide: (i) evidence of regulatory status, such as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extract from the applicable regulatory authority’s register or a copy of the authorization or license; </w:t>
      </w:r>
      <w:r>
        <w:rPr>
          <w:rFonts w:ascii="Times New Roman" w:cs="Times New Roman" w:eastAsia="Times New Roman" w:hAnsi="Times New Roman"/>
          <w:sz w:val="18"/>
          <w:szCs w:val="18"/>
          <w:u w:val="single" w:color="auto"/>
          <w:color w:val="auto"/>
        </w:rPr>
        <w:t>AND</w:t>
      </w:r>
      <w:r>
        <w:rPr>
          <w:rFonts w:ascii="Times New Roman" w:cs="Times New Roman" w:eastAsia="Times New Roman" w:hAnsi="Times New Roman"/>
          <w:sz w:val="18"/>
          <w:szCs w:val="18"/>
          <w:color w:val="auto"/>
        </w:rPr>
        <w:t xml:space="preserve"> (ii) the name of the regulator below.</w:t>
      </w:r>
    </w:p>
    <w:p>
      <w:pPr>
        <w:spacing w:after="0" w:line="94" w:lineRule="exact"/>
        <w:rPr>
          <w:sz w:val="20"/>
          <w:szCs w:val="20"/>
          <w:color w:val="auto"/>
        </w:rPr>
      </w:pPr>
    </w:p>
    <w:p>
      <w:pPr>
        <w:ind w:left="724"/>
        <w:spacing w:after="0"/>
        <w:rPr>
          <w:sz w:val="20"/>
          <w:szCs w:val="20"/>
          <w:color w:val="auto"/>
        </w:rPr>
      </w:pPr>
      <w:r>
        <w:rPr>
          <w:rFonts w:ascii="Times New Roman" w:cs="Times New Roman" w:eastAsia="Times New Roman" w:hAnsi="Times New Roman"/>
          <w:sz w:val="18"/>
          <w:szCs w:val="18"/>
          <w:color w:val="auto"/>
        </w:rPr>
        <w:t>Name of Regulator:</w:t>
      </w:r>
    </w:p>
    <w:p>
      <w:pPr>
        <w:spacing w:after="0" w:line="144" w:lineRule="exact"/>
        <w:rPr>
          <w:sz w:val="20"/>
          <w:szCs w:val="20"/>
          <w:color w:val="auto"/>
        </w:rPr>
      </w:pPr>
    </w:p>
    <w:p>
      <w:pPr>
        <w:ind w:left="724"/>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w:t>
      </w:r>
    </w:p>
    <w:p>
      <w:pPr>
        <w:spacing w:after="0" w:line="144" w:lineRule="exact"/>
        <w:rPr>
          <w:sz w:val="20"/>
          <w:szCs w:val="20"/>
          <w:color w:val="auto"/>
        </w:rPr>
      </w:pPr>
    </w:p>
    <w:p>
      <w:pPr>
        <w:ind w:left="724" w:right="880" w:hanging="359"/>
        <w:spacing w:after="0" w:line="312" w:lineRule="auto"/>
        <w:rPr>
          <w:sz w:val="20"/>
          <w:szCs w:val="20"/>
          <w:color w:val="auto"/>
        </w:rPr>
      </w:pPr>
      <w:r>
        <w:rPr>
          <w:rFonts w:ascii="Times New Roman" w:cs="Times New Roman" w:eastAsia="Times New Roman" w:hAnsi="Times New Roman"/>
          <w:sz w:val="17"/>
          <w:szCs w:val="17"/>
          <w:color w:val="auto"/>
        </w:rPr>
        <w:t>(3)    Any entity whose common stock is listed on any of the following U.S. stock exchanges: NYSE American, International Securities Exchange, NASDAQ, National Stock Exchange or NYSE / NYSE Arca?</w:t>
      </w:r>
    </w:p>
    <w:p>
      <w:pPr>
        <w:spacing w:after="0" w:line="41" w:lineRule="exact"/>
        <w:rPr>
          <w:sz w:val="20"/>
          <w:szCs w:val="20"/>
          <w:color w:val="auto"/>
        </w:rPr>
      </w:pPr>
    </w:p>
    <w:p>
      <w:pPr>
        <w:ind w:left="724" w:right="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NOTE: </w:t>
      </w:r>
      <w:r>
        <w:rPr>
          <w:rFonts w:ascii="Times New Roman" w:cs="Times New Roman" w:eastAsia="Times New Roman" w:hAnsi="Times New Roman"/>
          <w:sz w:val="18"/>
          <w:szCs w:val="18"/>
          <w:color w:val="auto"/>
        </w:rPr>
        <w:t>If the answer to Section VIII(E)(3) is YES, please provide: (i) evidence of listing status, such as an extract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the applicable exchange listing or a copy of the membership or listing approval; AND (ii) the name of the stock exchange below.</w:t>
      </w:r>
    </w:p>
    <w:p>
      <w:pPr>
        <w:spacing w:after="0" w:line="80" w:lineRule="exact"/>
        <w:rPr>
          <w:sz w:val="20"/>
          <w:szCs w:val="20"/>
          <w:color w:val="auto"/>
        </w:rPr>
      </w:pPr>
    </w:p>
    <w:p>
      <w:pPr>
        <w:ind w:left="724"/>
        <w:spacing w:after="0"/>
        <w:rPr>
          <w:sz w:val="20"/>
          <w:szCs w:val="20"/>
          <w:color w:val="auto"/>
        </w:rPr>
      </w:pPr>
      <w:r>
        <w:rPr>
          <w:rFonts w:ascii="Times New Roman" w:cs="Times New Roman" w:eastAsia="Times New Roman" w:hAnsi="Times New Roman"/>
          <w:sz w:val="18"/>
          <w:szCs w:val="18"/>
          <w:color w:val="auto"/>
        </w:rPr>
        <w:t>Name of Stock Exchange:</w:t>
      </w:r>
    </w:p>
    <w:p>
      <w:pPr>
        <w:spacing w:after="0" w:line="131" w:lineRule="exact"/>
        <w:rPr>
          <w:sz w:val="20"/>
          <w:szCs w:val="20"/>
          <w:color w:val="auto"/>
        </w:rPr>
      </w:pPr>
    </w:p>
    <w:p>
      <w:pPr>
        <w:ind w:left="724"/>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w:t>
      </w:r>
    </w:p>
    <w:p>
      <w:pPr>
        <w:spacing w:after="0" w:line="144"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18"/>
          <w:szCs w:val="18"/>
          <w:color w:val="auto"/>
        </w:rPr>
        <w:t>(4)    A majority-owned direct or indirect subsidiary of an entity referenced under Sections VIII(E)(2) – (3) above?</w:t>
      </w:r>
    </w:p>
    <w:p>
      <w:pPr>
        <w:spacing w:after="0" w:line="127" w:lineRule="exact"/>
        <w:rPr>
          <w:sz w:val="20"/>
          <w:szCs w:val="20"/>
          <w:color w:val="auto"/>
        </w:rPr>
      </w:pPr>
    </w:p>
    <w:p>
      <w:pPr>
        <w:ind w:left="7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NOTE: </w:t>
      </w:r>
      <w:r>
        <w:rPr>
          <w:rFonts w:ascii="Times New Roman" w:cs="Times New Roman" w:eastAsia="Times New Roman" w:hAnsi="Times New Roman"/>
          <w:sz w:val="18"/>
          <w:szCs w:val="18"/>
          <w:color w:val="auto"/>
        </w:rPr>
        <w:t>If the answer to Section VIII(E)(4) is YES, please provide: (i) evidence of the relationship between the parent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entity and the subsidiary (this may be a structure chart); </w:t>
      </w:r>
      <w:r>
        <w:rPr>
          <w:rFonts w:ascii="Times New Roman" w:cs="Times New Roman" w:eastAsia="Times New Roman" w:hAnsi="Times New Roman"/>
          <w:sz w:val="18"/>
          <w:szCs w:val="18"/>
          <w:u w:val="single" w:color="auto"/>
          <w:color w:val="auto"/>
        </w:rPr>
        <w:t>AND</w:t>
      </w:r>
      <w:r>
        <w:rPr>
          <w:rFonts w:ascii="Times New Roman" w:cs="Times New Roman" w:eastAsia="Times New Roman" w:hAnsi="Times New Roman"/>
          <w:sz w:val="18"/>
          <w:szCs w:val="18"/>
          <w:color w:val="auto"/>
        </w:rPr>
        <w:t xml:space="preserve"> (ii) the name of the regulator or stock exchange of the subscriber’s parent entity below.</w:t>
      </w:r>
    </w:p>
    <w:p>
      <w:pPr>
        <w:spacing w:after="0" w:line="94" w:lineRule="exact"/>
        <w:rPr>
          <w:sz w:val="20"/>
          <w:szCs w:val="20"/>
          <w:color w:val="auto"/>
        </w:rPr>
      </w:pPr>
    </w:p>
    <w:p>
      <w:pPr>
        <w:ind w:left="724"/>
        <w:spacing w:after="0"/>
        <w:rPr>
          <w:sz w:val="20"/>
          <w:szCs w:val="20"/>
          <w:color w:val="auto"/>
        </w:rPr>
      </w:pPr>
      <w:r>
        <w:rPr>
          <w:rFonts w:ascii="Times New Roman" w:cs="Times New Roman" w:eastAsia="Times New Roman" w:hAnsi="Times New Roman"/>
          <w:sz w:val="18"/>
          <w:szCs w:val="18"/>
          <w:color w:val="auto"/>
        </w:rPr>
        <w:t>Name of Regulator/Stock Exchange of Parent:</w:t>
      </w:r>
    </w:p>
    <w:p>
      <w:pPr>
        <w:spacing w:after="0" w:line="131" w:lineRule="exact"/>
        <w:rPr>
          <w:sz w:val="20"/>
          <w:szCs w:val="20"/>
          <w:color w:val="auto"/>
        </w:rPr>
      </w:pPr>
    </w:p>
    <w:p>
      <w:pPr>
        <w:ind w:left="724"/>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47" w:hanging="247"/>
        <w:spacing w:after="0" w:line="207" w:lineRule="exact"/>
        <w:tabs>
          <w:tab w:leader="none" w:pos="247" w:val="left"/>
        </w:tabs>
        <w:numPr>
          <w:ilvl w:val="0"/>
          <w:numId w:val="19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7"/>
        <w:spacing w:after="0" w:line="207" w:lineRule="exact"/>
        <w:tabs>
          <w:tab w:leader="none" w:pos="787"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NO</w:t>
      </w:r>
    </w:p>
    <w:p>
      <w:pPr>
        <w:spacing w:after="0" w:line="1808" w:lineRule="exact"/>
        <w:rPr>
          <w:sz w:val="20"/>
          <w:szCs w:val="20"/>
          <w:color w:val="auto"/>
        </w:rPr>
      </w:pPr>
    </w:p>
    <w:p>
      <w:pPr>
        <w:sectPr>
          <w:pgSz w:w="11900" w:h="16838" w:orient="portrait"/>
          <w:cols w:equalWidth="0" w:num="2">
            <w:col w:w="9224" w:space="253"/>
            <w:col w:w="1387"/>
          </w:cols>
          <w:pgMar w:left="436" w:top="270" w:right="599" w:bottom="1440" w:gutter="0" w:footer="0" w:header="0"/>
        </w:sectPr>
      </w:pPr>
    </w:p>
    <w:p>
      <w:pPr>
        <w:spacing w:after="0" w:line="39" w:lineRule="exact"/>
        <w:rPr>
          <w:sz w:val="20"/>
          <w:szCs w:val="20"/>
          <w:color w:val="auto"/>
        </w:rPr>
      </w:pPr>
    </w:p>
    <w:p>
      <w:pPr>
        <w:ind w:left="4" w:right="320"/>
        <w:spacing w:after="0" w:line="282" w:lineRule="auto"/>
        <w:rPr>
          <w:sz w:val="20"/>
          <w:szCs w:val="20"/>
          <w:color w:val="auto"/>
        </w:rPr>
      </w:pPr>
      <w:r>
        <w:rPr>
          <w:rFonts w:ascii="Times New Roman" w:cs="Times New Roman" w:eastAsia="Times New Roman" w:hAnsi="Times New Roman"/>
          <w:sz w:val="18"/>
          <w:szCs w:val="18"/>
          <w:color w:val="auto"/>
        </w:rPr>
        <w:t>If the answer to Sections VIII(E)(1) – (4) is NO, please proceed to Section VIII(F) below. If the answer to any of Sections VIII(E)(1) – (4) is YES, please proceed to the “Certification of Authorized Representative of Subscriber” below following Section VIII(J).</w:t>
      </w:r>
    </w:p>
    <w:p>
      <w:pPr>
        <w:spacing w:after="0" w:line="189" w:lineRule="exact"/>
        <w:rPr>
          <w:sz w:val="20"/>
          <w:szCs w:val="20"/>
          <w:color w:val="auto"/>
        </w:rPr>
      </w:pPr>
    </w:p>
    <w:p>
      <w:pPr>
        <w:ind w:left="424" w:hanging="424"/>
        <w:spacing w:after="0"/>
        <w:tabs>
          <w:tab w:leader="none" w:pos="424"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provide the information in the table below, to the extent applicable, for:</w:t>
      </w:r>
    </w:p>
    <w:p>
      <w:pPr>
        <w:spacing w:after="0" w:line="252" w:lineRule="exact"/>
        <w:rPr>
          <w:rFonts w:ascii="Times New Roman" w:cs="Times New Roman" w:eastAsia="Times New Roman" w:hAnsi="Times New Roman"/>
          <w:sz w:val="18"/>
          <w:szCs w:val="18"/>
          <w:color w:val="auto"/>
        </w:rPr>
      </w:pPr>
    </w:p>
    <w:p>
      <w:pPr>
        <w:jc w:val="both"/>
        <w:ind w:left="964" w:right="320" w:hanging="532"/>
        <w:spacing w:after="0" w:line="266" w:lineRule="auto"/>
        <w:tabs>
          <w:tab w:leader="none" w:pos="964"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natural person who, directly or indirectly, through any contract, arrangement, understanding, relationship or otherwise, owns or controls ten percent (10%) or more of the equity, partnership, membership or similar interests of the subscriber, or otherwise owns or controls the partnership, membership or similar interests of the subscriber (each such person, a “10% Beneficial Owner”);</w:t>
      </w:r>
    </w:p>
    <w:p>
      <w:pPr>
        <w:spacing w:after="0" w:line="171" w:lineRule="exact"/>
        <w:rPr>
          <w:rFonts w:ascii="Times New Roman" w:cs="Times New Roman" w:eastAsia="Times New Roman" w:hAnsi="Times New Roman"/>
          <w:sz w:val="18"/>
          <w:szCs w:val="18"/>
          <w:color w:val="auto"/>
        </w:rPr>
      </w:pPr>
    </w:p>
    <w:p>
      <w:pPr>
        <w:ind w:left="9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NOTE: </w:t>
      </w:r>
      <w:r>
        <w:rPr>
          <w:rFonts w:ascii="Times New Roman" w:cs="Times New Roman" w:eastAsia="Times New Roman" w:hAnsi="Times New Roman"/>
          <w:sz w:val="18"/>
          <w:szCs w:val="18"/>
          <w:i w:val="1"/>
          <w:iCs w:val="1"/>
          <w:color w:val="auto"/>
        </w:rPr>
        <w:t>If the subscriber is a trust,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please proceed to Section VIII(F)(4) directly below.</w:t>
      </w:r>
    </w:p>
    <w:p>
      <w:pPr>
        <w:spacing w:after="0" w:line="227" w:lineRule="exact"/>
        <w:rPr>
          <w:rFonts w:ascii="Times New Roman" w:cs="Times New Roman" w:eastAsia="Times New Roman" w:hAnsi="Times New Roman"/>
          <w:sz w:val="18"/>
          <w:szCs w:val="18"/>
          <w:color w:val="auto"/>
        </w:rPr>
      </w:pPr>
    </w:p>
    <w:p>
      <w:pPr>
        <w:ind w:left="984"/>
        <w:spacing w:after="0" w:line="28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If any trust is a 10% Beneficial Owner of the subscriber</w:t>
      </w:r>
      <w:r>
        <w:rPr>
          <w:rFonts w:ascii="Times New Roman" w:cs="Times New Roman" w:eastAsia="Times New Roman" w:hAnsi="Times New Roman"/>
          <w:sz w:val="18"/>
          <w:szCs w:val="18"/>
          <w:color w:val="auto"/>
        </w:rPr>
        <w:t>, please also provide, in the table below (as applicable), the information set out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Sections VIII(F)(4) – (5) for such trust.</w:t>
      </w:r>
    </w:p>
    <w:p>
      <w:pPr>
        <w:sectPr>
          <w:pgSz w:w="11900" w:h="16838" w:orient="portrait"/>
          <w:cols w:equalWidth="0" w:num="1">
            <w:col w:w="10864"/>
          </w:cols>
          <w:pgMar w:left="436" w:top="270" w:right="599" w:bottom="1440" w:gutter="0" w:footer="0" w:header="0"/>
          <w:type w:val="continuous"/>
        </w:sectPr>
      </w:pPr>
    </w:p>
    <w:bookmarkStart w:id="203" w:name="page204"/>
    <w:bookmarkEnd w:id="203"/>
    <w:p>
      <w:pPr>
        <w:ind w:left="964" w:right="40" w:hanging="532"/>
        <w:spacing w:after="0" w:line="261" w:lineRule="auto"/>
        <w:tabs>
          <w:tab w:leader="none" w:pos="964"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subscriber is a company or limited liability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to the extent not provided above</w:t>
      </w:r>
      <w:r>
        <w:rPr>
          <w:rFonts w:ascii="Times New Roman" w:cs="Times New Roman" w:eastAsia="Times New Roman" w:hAnsi="Times New Roman"/>
          <w:sz w:val="18"/>
          <w:szCs w:val="18"/>
          <w:color w:val="auto"/>
        </w:rPr>
        <w:t>, (A) at least two directors who are natural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persons (or one, if there is only one director who is a natural person); </w:t>
      </w:r>
      <w:r>
        <w:rPr>
          <w:rFonts w:ascii="Times New Roman" w:cs="Times New Roman" w:eastAsia="Times New Roman" w:hAnsi="Times New Roman"/>
          <w:sz w:val="18"/>
          <w:szCs w:val="18"/>
          <w:u w:val="single" w:color="auto"/>
          <w:color w:val="auto"/>
        </w:rPr>
        <w:t>OR</w:t>
      </w:r>
      <w:r>
        <w:rPr>
          <w:rFonts w:ascii="Times New Roman" w:cs="Times New Roman" w:eastAsia="Times New Roman" w:hAnsi="Times New Roman"/>
          <w:sz w:val="18"/>
          <w:szCs w:val="18"/>
          <w:color w:val="auto"/>
        </w:rPr>
        <w:t xml:space="preserve"> (B) if the subscriber does not have any directors (whether natural persons or entities), at least two officers, managers or equivalent persons who are natural persons (or one, if there is only one such natural person);</w:t>
      </w:r>
    </w:p>
    <w:p>
      <w:pPr>
        <w:spacing w:after="0" w:line="87" w:lineRule="exact"/>
        <w:rPr>
          <w:rFonts w:ascii="Times New Roman" w:cs="Times New Roman" w:eastAsia="Times New Roman" w:hAnsi="Times New Roman"/>
          <w:sz w:val="18"/>
          <w:szCs w:val="18"/>
          <w:color w:val="auto"/>
        </w:rPr>
      </w:pPr>
    </w:p>
    <w:p>
      <w:pPr>
        <w:ind w:left="964" w:right="120" w:hanging="532"/>
        <w:spacing w:after="0" w:line="282" w:lineRule="auto"/>
        <w:tabs>
          <w:tab w:leader="none" w:pos="964"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subscriber is a partnership, </w:t>
      </w:r>
      <w:r>
        <w:rPr>
          <w:rFonts w:ascii="Times New Roman" w:cs="Times New Roman" w:eastAsia="Times New Roman" w:hAnsi="Times New Roman"/>
          <w:sz w:val="18"/>
          <w:szCs w:val="18"/>
          <w:u w:val="single" w:color="auto"/>
          <w:color w:val="auto"/>
        </w:rPr>
        <w:t>to the extent not provided above</w:t>
      </w:r>
      <w:r>
        <w:rPr>
          <w:rFonts w:ascii="Times New Roman" w:cs="Times New Roman" w:eastAsia="Times New Roman" w:hAnsi="Times New Roman"/>
          <w:sz w:val="18"/>
          <w:szCs w:val="18"/>
          <w:color w:val="auto"/>
        </w:rPr>
        <w:t xml:space="preserve">, (A) two partners; </w:t>
      </w:r>
      <w:r>
        <w:rPr>
          <w:rFonts w:ascii="Times New Roman" w:cs="Times New Roman" w:eastAsia="Times New Roman" w:hAnsi="Times New Roman"/>
          <w:sz w:val="18"/>
          <w:szCs w:val="18"/>
          <w:u w:val="single" w:color="auto"/>
          <w:color w:val="auto"/>
        </w:rPr>
        <w:t>AND</w:t>
      </w:r>
      <w:r>
        <w:rPr>
          <w:rFonts w:ascii="Times New Roman" w:cs="Times New Roman" w:eastAsia="Times New Roman" w:hAnsi="Times New Roman"/>
          <w:sz w:val="18"/>
          <w:szCs w:val="18"/>
          <w:color w:val="auto"/>
        </w:rPr>
        <w:t xml:space="preserve"> (B) the general partner(s), in each case who are natural persons;</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subscriber is a trust:</w:t>
      </w:r>
    </w:p>
    <w:p>
      <w:pPr>
        <w:spacing w:after="0" w:line="130" w:lineRule="exact"/>
        <w:rPr>
          <w:rFonts w:ascii="Times New Roman" w:cs="Times New Roman" w:eastAsia="Times New Roman" w:hAnsi="Times New Roman"/>
          <w:sz w:val="18"/>
          <w:szCs w:val="18"/>
          <w:color w:val="auto"/>
        </w:rPr>
      </w:pPr>
    </w:p>
    <w:p>
      <w:pPr>
        <w:ind w:left="1424" w:right="80" w:hanging="439"/>
        <w:spacing w:after="0" w:line="261" w:lineRule="auto"/>
        <w:tabs>
          <w:tab w:leader="none" w:pos="1424"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each settlor (i.e., the person(s) whose property was settled on trust); (B) the protector (if any); (C) the enforcer (if any); (D) each trustee; </w:t>
      </w:r>
      <w:r>
        <w:rPr>
          <w:rFonts w:ascii="Times New Roman" w:cs="Times New Roman" w:eastAsia="Times New Roman" w:hAnsi="Times New Roman"/>
          <w:sz w:val="18"/>
          <w:szCs w:val="18"/>
          <w:u w:val="single" w:color="auto"/>
          <w:color w:val="auto"/>
        </w:rPr>
        <w:t>AND</w:t>
      </w:r>
      <w:r>
        <w:rPr>
          <w:rFonts w:ascii="Times New Roman" w:cs="Times New Roman" w:eastAsia="Times New Roman" w:hAnsi="Times New Roman"/>
          <w:sz w:val="18"/>
          <w:szCs w:val="18"/>
          <w:color w:val="auto"/>
        </w:rPr>
        <w:t xml:space="preserve"> (E) each person who, directly or indirectly, through any contract, arrangement, relationship or otherwise, is a trust beneficiary or otherwise owns, controls or is entitled to any of the trust’s assets or proceeds, in each case, who are natural persons; and</w:t>
      </w:r>
    </w:p>
    <w:p>
      <w:pPr>
        <w:spacing w:after="0" w:line="85" w:lineRule="exact"/>
        <w:rPr>
          <w:rFonts w:ascii="Times New Roman" w:cs="Times New Roman" w:eastAsia="Times New Roman" w:hAnsi="Times New Roman"/>
          <w:sz w:val="18"/>
          <w:szCs w:val="18"/>
          <w:color w:val="auto"/>
        </w:rPr>
      </w:pPr>
    </w:p>
    <w:p>
      <w:pPr>
        <w:ind w:left="1424" w:right="60" w:hanging="439"/>
        <w:spacing w:after="0" w:line="282" w:lineRule="auto"/>
        <w:tabs>
          <w:tab w:leader="none" w:pos="1424"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trustee is an entity, the natural persons described in Sections VIII(F)(1) and (5) with respect to such entity, unless such entity is otherwise exempt under Sections VIII(E)(1) – (4) above;</w:t>
      </w:r>
    </w:p>
    <w:p>
      <w:pPr>
        <w:spacing w:after="0" w:line="67" w:lineRule="exact"/>
        <w:rPr>
          <w:rFonts w:ascii="Times New Roman" w:cs="Times New Roman" w:eastAsia="Times New Roman" w:hAnsi="Times New Roman"/>
          <w:sz w:val="18"/>
          <w:szCs w:val="18"/>
          <w:color w:val="auto"/>
        </w:rPr>
      </w:pPr>
    </w:p>
    <w:p>
      <w:pPr>
        <w:ind w:left="964" w:right="160" w:hanging="532"/>
        <w:spacing w:after="0" w:line="266" w:lineRule="auto"/>
        <w:tabs>
          <w:tab w:leader="none" w:pos="964"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to the extent not provided above</w:t>
      </w:r>
      <w:r>
        <w:rPr>
          <w:rFonts w:ascii="Times New Roman" w:cs="Times New Roman" w:eastAsia="Times New Roman" w:hAnsi="Times New Roman"/>
          <w:sz w:val="18"/>
          <w:szCs w:val="18"/>
          <w:color w:val="auto"/>
        </w:rPr>
        <w:t>, one natural person with significant responsibility for managing the subscriber, such as: (A) an executive officer or senior manager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Chief Executive Officer, Chief Financial Officer, Chief Operating Officer, Managing Member, General Partner, President, Vice President or Treasurer); </w:t>
      </w:r>
      <w:r>
        <w:rPr>
          <w:rFonts w:ascii="Times New Roman" w:cs="Times New Roman" w:eastAsia="Times New Roman" w:hAnsi="Times New Roman"/>
          <w:sz w:val="18"/>
          <w:szCs w:val="18"/>
          <w:u w:val="single" w:color="auto"/>
          <w:color w:val="auto"/>
        </w:rPr>
        <w:t>OR</w:t>
      </w:r>
      <w:r>
        <w:rPr>
          <w:rFonts w:ascii="Times New Roman" w:cs="Times New Roman" w:eastAsia="Times New Roman" w:hAnsi="Times New Roman"/>
          <w:sz w:val="18"/>
          <w:szCs w:val="18"/>
          <w:color w:val="auto"/>
        </w:rPr>
        <w:t xml:space="preserve"> (B) any other individual who regularly performs similar functions; </w:t>
      </w:r>
      <w:r>
        <w:rPr>
          <w:rFonts w:ascii="Times New Roman" w:cs="Times New Roman" w:eastAsia="Times New Roman" w:hAnsi="Times New Roman"/>
          <w:sz w:val="18"/>
          <w:szCs w:val="18"/>
          <w:u w:val="single" w:color="auto"/>
          <w:color w:val="auto"/>
        </w:rPr>
        <w:t>AND</w:t>
      </w:r>
    </w:p>
    <w:p>
      <w:pPr>
        <w:spacing w:after="0" w:line="81" w:lineRule="exact"/>
        <w:rPr>
          <w:rFonts w:ascii="Times New Roman" w:cs="Times New Roman" w:eastAsia="Times New Roman" w:hAnsi="Times New Roman"/>
          <w:sz w:val="18"/>
          <w:szCs w:val="18"/>
          <w:color w:val="auto"/>
        </w:rPr>
      </w:pPr>
    </w:p>
    <w:p>
      <w:pPr>
        <w:ind w:left="964" w:right="140" w:hanging="532"/>
        <w:spacing w:after="0" w:line="282" w:lineRule="auto"/>
        <w:tabs>
          <w:tab w:leader="none" w:pos="964"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to the extent not provided above</w:t>
      </w:r>
      <w:r>
        <w:rPr>
          <w:rFonts w:ascii="Times New Roman" w:cs="Times New Roman" w:eastAsia="Times New Roman" w:hAnsi="Times New Roman"/>
          <w:sz w:val="18"/>
          <w:szCs w:val="18"/>
          <w:color w:val="auto"/>
        </w:rPr>
        <w:t>, each other natural person whom the subscriber wishes the Company to recognize as having the power to bind the subscriber in connection with the subscriber’s investment in the Company.</w:t>
      </w:r>
    </w:p>
    <w:p>
      <w:pPr>
        <w:spacing w:after="0" w:line="170"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4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For Foreign</w:t>
            </w:r>
          </w:p>
        </w:tc>
        <w:tc>
          <w:tcPr>
            <w:tcW w:w="0" w:type="dxa"/>
            <w:vAlign w:val="bottom"/>
          </w:tcPr>
          <w:p>
            <w:pPr>
              <w:spacing w:after="0"/>
              <w:rPr>
                <w:sz w:val="1"/>
                <w:szCs w:val="1"/>
                <w:color w:val="auto"/>
              </w:rPr>
            </w:pPr>
          </w:p>
        </w:tc>
      </w:tr>
      <w:tr>
        <w:trPr>
          <w:trHeight w:val="151"/>
        </w:trPr>
        <w:tc>
          <w:tcPr>
            <w:tcW w:w="34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8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i w:val="1"/>
                <w:iCs w:val="1"/>
                <w:color w:val="auto"/>
              </w:rPr>
              <w:t>Persons:</w:t>
            </w: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Passport Number</w:t>
            </w: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and Country of</w:t>
            </w: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i w:val="1"/>
                <w:iCs w:val="1"/>
                <w:color w:val="auto"/>
              </w:rPr>
              <w:t>U.S. Persons</w:t>
            </w:r>
            <w:r>
              <w:rPr>
                <w:rFonts w:ascii="Times New Roman" w:cs="Times New Roman" w:eastAsia="Times New Roman" w:hAnsi="Times New Roman"/>
                <w:sz w:val="14"/>
                <w:szCs w:val="14"/>
                <w:color w:val="auto"/>
              </w:rPr>
              <w:t>:</w:t>
            </w:r>
          </w:p>
        </w:tc>
        <w:tc>
          <w:tcPr>
            <w:tcW w:w="1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Issuance, or Other</w:t>
            </w: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gridSpan w:val="2"/>
            <w:vMerge w:val="continue"/>
          </w:tcPr>
          <w:p>
            <w:pPr>
              <w:spacing w:after="0"/>
              <w:rPr>
                <w:sz w:val="12"/>
                <w:szCs w:val="12"/>
                <w:color w:val="auto"/>
              </w:rPr>
            </w:pPr>
          </w:p>
        </w:tc>
        <w:tc>
          <w:tcPr>
            <w:tcW w:w="1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Similar</w:t>
            </w:r>
          </w:p>
        </w:tc>
        <w:tc>
          <w:tcPr>
            <w:tcW w:w="0" w:type="dxa"/>
            <w:vAlign w:val="bottom"/>
          </w:tcPr>
          <w:p>
            <w:pPr>
              <w:spacing w:after="0"/>
              <w:rPr>
                <w:sz w:val="1"/>
                <w:szCs w:val="1"/>
                <w:color w:val="auto"/>
              </w:rPr>
            </w:pPr>
          </w:p>
        </w:tc>
      </w:tr>
      <w:tr>
        <w:trPr>
          <w:trHeight w:val="149"/>
        </w:trPr>
        <w:tc>
          <w:tcPr>
            <w:tcW w:w="3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95"/>
              </w:rPr>
              <w:t>Name</w:t>
            </w:r>
          </w:p>
        </w:tc>
        <w:tc>
          <w:tcPr>
            <w:tcW w:w="2100" w:type="dxa"/>
            <w:vAlign w:val="bottom"/>
          </w:tcPr>
          <w:p>
            <w:pPr>
              <w:spacing w:after="0"/>
              <w:rPr>
                <w:sz w:val="12"/>
                <w:szCs w:val="12"/>
                <w:color w:val="auto"/>
              </w:rPr>
            </w:pPr>
          </w:p>
        </w:tc>
        <w:tc>
          <w:tcPr>
            <w:tcW w:w="2100" w:type="dxa"/>
            <w:vAlign w:val="bottom"/>
            <w:vMerge w:val="restart"/>
          </w:tcPr>
          <w:p>
            <w:pPr>
              <w:ind w:left="660"/>
              <w:spacing w:after="0"/>
              <w:rPr>
                <w:sz w:val="20"/>
                <w:szCs w:val="20"/>
                <w:color w:val="auto"/>
              </w:rPr>
            </w:pPr>
            <w:r>
              <w:rPr>
                <w:rFonts w:ascii="Times New Roman" w:cs="Times New Roman" w:eastAsia="Times New Roman" w:hAnsi="Times New Roman"/>
                <w:sz w:val="14"/>
                <w:szCs w:val="14"/>
                <w:color w:val="auto"/>
              </w:rPr>
              <w:t>Date of Birth</w:t>
            </w:r>
          </w:p>
        </w:tc>
        <w:tc>
          <w:tcPr>
            <w:tcW w:w="100" w:type="dxa"/>
            <w:vAlign w:val="bottom"/>
            <w:vMerge w:val="restart"/>
          </w:tcPr>
          <w:p>
            <w:pPr>
              <w:spacing w:after="0"/>
              <w:rPr>
                <w:sz w:val="12"/>
                <w:szCs w:val="12"/>
                <w:color w:val="auto"/>
              </w:rPr>
            </w:pPr>
          </w:p>
        </w:tc>
        <w:tc>
          <w:tcPr>
            <w:tcW w:w="2100" w:type="dxa"/>
            <w:vAlign w:val="bottom"/>
            <w:vMerge w:val="restart"/>
          </w:tcPr>
          <w:p>
            <w:pPr>
              <w:ind w:left="820"/>
              <w:spacing w:after="0"/>
              <w:rPr>
                <w:sz w:val="20"/>
                <w:szCs w:val="20"/>
                <w:color w:val="auto"/>
              </w:rPr>
            </w:pPr>
            <w:r>
              <w:rPr>
                <w:rFonts w:ascii="Times New Roman" w:cs="Times New Roman" w:eastAsia="Times New Roman" w:hAnsi="Times New Roman"/>
                <w:sz w:val="14"/>
                <w:szCs w:val="14"/>
                <w:color w:val="auto"/>
              </w:rPr>
              <w:t>Address</w:t>
            </w:r>
          </w:p>
        </w:tc>
        <w:tc>
          <w:tcPr>
            <w:tcW w:w="100" w:type="dxa"/>
            <w:vAlign w:val="bottom"/>
            <w:vMerge w:val="restart"/>
          </w:tcPr>
          <w:p>
            <w:pPr>
              <w:spacing w:after="0"/>
              <w:rPr>
                <w:sz w:val="12"/>
                <w:szCs w:val="12"/>
                <w:color w:val="auto"/>
              </w:rPr>
            </w:pPr>
          </w:p>
        </w:tc>
        <w:tc>
          <w:tcPr>
            <w:tcW w:w="22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Social Security</w:t>
            </w:r>
          </w:p>
        </w:tc>
        <w:tc>
          <w:tcPr>
            <w:tcW w:w="1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Identification</w:t>
            </w:r>
          </w:p>
        </w:tc>
        <w:tc>
          <w:tcPr>
            <w:tcW w:w="0" w:type="dxa"/>
            <w:vAlign w:val="bottom"/>
          </w:tcPr>
          <w:p>
            <w:pPr>
              <w:spacing w:after="0"/>
              <w:rPr>
                <w:sz w:val="1"/>
                <w:szCs w:val="1"/>
                <w:color w:val="auto"/>
              </w:rPr>
            </w:pPr>
          </w:p>
        </w:tc>
      </w:tr>
      <w:tr>
        <w:trPr>
          <w:trHeight w:val="178"/>
        </w:trPr>
        <w:tc>
          <w:tcPr>
            <w:tcW w:w="340" w:type="dxa"/>
            <w:vAlign w:val="bottom"/>
            <w:tcBorders>
              <w:bottom w:val="single" w:sz="8" w:color="auto"/>
            </w:tcBorders>
            <w:vMerge w:val="continue"/>
          </w:tcPr>
          <w:p>
            <w:pPr>
              <w:spacing w:after="0"/>
              <w:rPr>
                <w:sz w:val="15"/>
                <w:szCs w:val="15"/>
                <w:color w:val="auto"/>
              </w:rPr>
            </w:pPr>
          </w:p>
        </w:tc>
        <w:tc>
          <w:tcPr>
            <w:tcW w:w="2100" w:type="dxa"/>
            <w:vAlign w:val="bottom"/>
          </w:tcPr>
          <w:p>
            <w:pPr>
              <w:spacing w:after="0"/>
              <w:rPr>
                <w:sz w:val="15"/>
                <w:szCs w:val="15"/>
                <w:color w:val="auto"/>
              </w:rPr>
            </w:pPr>
          </w:p>
        </w:tc>
        <w:tc>
          <w:tcPr>
            <w:tcW w:w="21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1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Number</w:t>
            </w:r>
          </w:p>
        </w:tc>
        <w:tc>
          <w:tcPr>
            <w:tcW w:w="100" w:type="dxa"/>
            <w:vAlign w:val="bottom"/>
          </w:tcPr>
          <w:p>
            <w:pPr>
              <w:spacing w:after="0"/>
              <w:rPr>
                <w:sz w:val="15"/>
                <w:szCs w:val="15"/>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Number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jc w:val="both"/>
        <w:ind w:left="424" w:right="340" w:hanging="424"/>
        <w:spacing w:after="0" w:line="266" w:lineRule="auto"/>
        <w:tabs>
          <w:tab w:leader="none" w:pos="424"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each natural person identified in the table above, please furnish: (i) one copy of an unexpired government-issued identification evidencing nationality/residence and bearing a photograph (e.g., identification page of the individual’s passport or U.S. driver’s license if a U.S. resident); </w:t>
      </w:r>
      <w:r>
        <w:rPr>
          <w:rFonts w:ascii="Times New Roman" w:cs="Times New Roman" w:eastAsia="Times New Roman" w:hAnsi="Times New Roman"/>
          <w:sz w:val="18"/>
          <w:szCs w:val="18"/>
          <w:u w:val="single" w:color="auto"/>
          <w:color w:val="auto"/>
        </w:rPr>
        <w:t>AND</w:t>
      </w:r>
      <w:r>
        <w:rPr>
          <w:rFonts w:ascii="Times New Roman" w:cs="Times New Roman" w:eastAsia="Times New Roman" w:hAnsi="Times New Roman"/>
          <w:sz w:val="18"/>
          <w:szCs w:val="18"/>
          <w:color w:val="auto"/>
        </w:rPr>
        <w:t xml:space="preserve"> (ii) one copy of proof of residential address.</w:t>
      </w:r>
    </w:p>
    <w:p>
      <w:pPr>
        <w:spacing w:after="0" w:line="81" w:lineRule="exact"/>
        <w:rPr>
          <w:rFonts w:ascii="Times New Roman" w:cs="Times New Roman" w:eastAsia="Times New Roman" w:hAnsi="Times New Roman"/>
          <w:sz w:val="18"/>
          <w:szCs w:val="18"/>
          <w:color w:val="auto"/>
        </w:rPr>
      </w:pPr>
    </w:p>
    <w:p>
      <w:pPr>
        <w:ind w:left="424" w:right="80" w:hanging="424"/>
        <w:spacing w:after="0" w:line="266" w:lineRule="auto"/>
        <w:tabs>
          <w:tab w:leader="none" w:pos="424"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natural person who is a 10% Beneficial Owner identified in the table above, please provide a short narrative summary of the source(s) of funds such person used to make this investment and a supporting record. An acceptable record of source of funds may include: (i) an email certification</w:t>
      </w:r>
    </w:p>
    <w:p>
      <w:pPr>
        <w:sectPr>
          <w:pgSz w:w="11900" w:h="16838" w:orient="portrait"/>
          <w:cols w:equalWidth="0" w:num="1">
            <w:col w:w="11024"/>
          </w:cols>
          <w:pgMar w:left="436" w:top="268" w:right="439" w:bottom="1440" w:gutter="0" w:footer="0" w:header="0"/>
        </w:sectPr>
      </w:pPr>
    </w:p>
    <w:bookmarkStart w:id="204" w:name="page205"/>
    <w:bookmarkEnd w:id="204"/>
    <w:p>
      <w:pPr>
        <w:ind w:left="420" w:right="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from the subscriber indicating (x) the nature of the individual’s business; AND (y) the source of the individual’s funds; OR (ii) the first page of the individual’s bank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542925</wp:posOffset>
            </wp:positionV>
            <wp:extent cx="671195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711950"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268605</wp:posOffset>
            </wp:positionV>
            <wp:extent cx="671195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7119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360" w:type="dxa"/>
        <w:tblCellMar>
          <w:top w:w="0" w:type="dxa"/>
          <w:left w:w="0" w:type="dxa"/>
          <w:bottom w:w="0" w:type="dxa"/>
          <w:right w:w="0" w:type="dxa"/>
        </w:tblCellMar>
      </w:tblPr>
      <w:tr>
        <w:trPr>
          <w:trHeight w:val="218"/>
        </w:trPr>
        <w:tc>
          <w:tcPr>
            <w:tcW w:w="91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i w:val="1"/>
                <w:iCs w:val="1"/>
                <w:color w:val="auto"/>
              </w:rPr>
              <w:t>If the subscriber is not a trust</w:t>
            </w:r>
            <w:r>
              <w:rPr>
                <w:rFonts w:ascii="Times New Roman" w:cs="Times New Roman" w:eastAsia="Times New Roman" w:hAnsi="Times New Roman"/>
                <w:sz w:val="18"/>
                <w:szCs w:val="18"/>
                <w:color w:val="auto"/>
              </w:rPr>
              <w:t xml:space="preserve"> and there is no natural person who is a 10% Beneficial Owner identified in the table above,</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gridSpan w:val="7"/>
          </w:tcPr>
          <w:p>
            <w:pPr>
              <w:ind w:left="360"/>
              <w:spacing w:after="0"/>
              <w:rPr>
                <w:sz w:val="20"/>
                <w:szCs w:val="20"/>
                <w:color w:val="auto"/>
              </w:rPr>
            </w:pPr>
            <w:r>
              <w:rPr>
                <w:rFonts w:ascii="Times New Roman" w:cs="Times New Roman" w:eastAsia="Times New Roman" w:hAnsi="Times New Roman"/>
                <w:sz w:val="18"/>
                <w:szCs w:val="18"/>
                <w:color w:val="auto"/>
              </w:rPr>
              <w:t>do you confirm that you have conducted an appropriate investigation and, to the best of your knowledge, no natural</w:t>
            </w:r>
          </w:p>
        </w:tc>
        <w:tc>
          <w:tcPr>
            <w:tcW w:w="1300" w:type="dxa"/>
            <w:vAlign w:val="bottom"/>
            <w:vMerge w:val="restart"/>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tc>
        <w:tc>
          <w:tcPr>
            <w:tcW w:w="0" w:type="dxa"/>
            <w:vAlign w:val="bottom"/>
          </w:tcPr>
          <w:p>
            <w:pPr>
              <w:spacing w:after="0"/>
              <w:rPr>
                <w:sz w:val="1"/>
                <w:szCs w:val="1"/>
                <w:color w:val="auto"/>
              </w:rPr>
            </w:pPr>
          </w:p>
        </w:tc>
      </w:tr>
      <w:tr>
        <w:trPr>
          <w:trHeight w:val="216"/>
        </w:trPr>
        <w:tc>
          <w:tcPr>
            <w:tcW w:w="9140" w:type="dxa"/>
            <w:vAlign w:val="bottom"/>
            <w:gridSpan w:val="7"/>
          </w:tcPr>
          <w:p>
            <w:pPr>
              <w:ind w:left="360"/>
              <w:spacing w:after="0"/>
              <w:rPr>
                <w:sz w:val="20"/>
                <w:szCs w:val="20"/>
                <w:color w:val="auto"/>
              </w:rPr>
            </w:pPr>
            <w:r>
              <w:rPr>
                <w:rFonts w:ascii="Times New Roman" w:cs="Times New Roman" w:eastAsia="Times New Roman" w:hAnsi="Times New Roman"/>
                <w:sz w:val="18"/>
                <w:szCs w:val="18"/>
                <w:color w:val="auto"/>
              </w:rPr>
              <w:t>person directly or indirectly, through any contract, arrangement, understanding, relationship or otherwise, owns ten</w:t>
            </w: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gridSpan w:val="7"/>
          </w:tcPr>
          <w:p>
            <w:pPr>
              <w:ind w:left="360"/>
              <w:spacing w:after="0"/>
              <w:rPr>
                <w:sz w:val="20"/>
                <w:szCs w:val="20"/>
                <w:color w:val="auto"/>
              </w:rPr>
            </w:pPr>
            <w:r>
              <w:rPr>
                <w:rFonts w:ascii="Times New Roman" w:cs="Times New Roman" w:eastAsia="Times New Roman" w:hAnsi="Times New Roman"/>
                <w:sz w:val="18"/>
                <w:szCs w:val="18"/>
                <w:color w:val="auto"/>
              </w:rPr>
              <w:t>percent (10%) or more of the equity, partnership, membership or similar interests of the subscriber, or otherwise owns or</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140" w:type="dxa"/>
            <w:vAlign w:val="bottom"/>
            <w:gridSpan w:val="7"/>
          </w:tcPr>
          <w:p>
            <w:pPr>
              <w:ind w:left="360"/>
              <w:spacing w:after="0"/>
              <w:rPr>
                <w:sz w:val="20"/>
                <w:szCs w:val="20"/>
                <w:color w:val="auto"/>
              </w:rPr>
            </w:pPr>
            <w:r>
              <w:rPr>
                <w:rFonts w:ascii="Times New Roman" w:cs="Times New Roman" w:eastAsia="Times New Roman" w:hAnsi="Times New Roman"/>
                <w:sz w:val="18"/>
                <w:szCs w:val="18"/>
                <w:color w:val="auto"/>
              </w:rPr>
              <w:t>controls the partnership, membership or similar interests of the subscriber?</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91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(J)    If (i) there are one or more entities which (x) are 10% Beneficial O-wners of the subscriber, OR (y) otherwise own or</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140" w:type="dxa"/>
            <w:vAlign w:val="bottom"/>
            <w:gridSpan w:val="7"/>
          </w:tcPr>
          <w:p>
            <w:pPr>
              <w:ind w:left="360"/>
              <w:spacing w:after="0" w:line="196" w:lineRule="exact"/>
              <w:rPr>
                <w:sz w:val="20"/>
                <w:szCs w:val="20"/>
                <w:color w:val="auto"/>
              </w:rPr>
            </w:pPr>
            <w:r>
              <w:rPr>
                <w:rFonts w:ascii="Times New Roman" w:cs="Times New Roman" w:eastAsia="Times New Roman" w:hAnsi="Times New Roman"/>
                <w:sz w:val="18"/>
                <w:szCs w:val="18"/>
                <w:color w:val="auto"/>
              </w:rPr>
              <w:t>control the subscriber; OR (ii) there is no natural person who is a 10% Beneficial Owner identified in the table above,</w:t>
            </w: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80" w:type="dxa"/>
            <w:vAlign w:val="bottom"/>
            <w:gridSpan w:val="3"/>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140" w:type="dxa"/>
            <w:vAlign w:val="bottom"/>
            <w:gridSpan w:val="7"/>
          </w:tcPr>
          <w:p>
            <w:pPr>
              <w:ind w:left="360"/>
              <w:spacing w:after="0" w:line="196" w:lineRule="exact"/>
              <w:rPr>
                <w:sz w:val="20"/>
                <w:szCs w:val="20"/>
                <w:color w:val="auto"/>
              </w:rPr>
            </w:pPr>
            <w:r>
              <w:rPr>
                <w:rFonts w:ascii="Times New Roman" w:cs="Times New Roman" w:eastAsia="Times New Roman" w:hAnsi="Times New Roman"/>
                <w:sz w:val="18"/>
                <w:szCs w:val="18"/>
                <w:color w:val="auto"/>
              </w:rPr>
              <w:t>please provide either (x) a structure chart, OR (y) an ownership register for each entity in the chain.</w:t>
            </w: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NOTE</w:t>
      </w:r>
      <w:r>
        <w:rPr>
          <w:rFonts w:ascii="Times New Roman" w:cs="Times New Roman" w:eastAsia="Times New Roman" w:hAnsi="Times New Roman"/>
          <w:sz w:val="18"/>
          <w:szCs w:val="18"/>
          <w:b w:val="1"/>
          <w:bCs w:val="1"/>
          <w:color w:val="auto"/>
        </w:rPr>
        <w:t>: ADDITIONAL DOCUMENTATION MAY BE REQUIRED. SIXTH STREET RESERVES THE RIGHT TO REQUIRE ANY COPY DOCUMENTS REFERENCED IN THIS ANTI-MONEY LAUNDERING ANNEX BE PROVIDED AS ELECTRONIC COPIES CERTIFIED BY A SUITABLE CERTIFIER.</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 of Authorized Representative of Subscriber</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I,</w:t>
            </w:r>
          </w:p>
        </w:tc>
        <w:tc>
          <w:tcPr>
            <w:tcW w:w="2420" w:type="dxa"/>
            <w:vAlign w:val="bottom"/>
            <w:tcBorders>
              <w:bottom w:val="single" w:sz="8" w:color="auto"/>
            </w:tcBorders>
            <w:gridSpan w:val="2"/>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hereby certify, to the best of my knowledge, that the information provided in this Anti-Money Laundering</w:t>
            </w:r>
          </w:p>
        </w:tc>
      </w:tr>
      <w:tr>
        <w:trPr>
          <w:trHeight w:val="237"/>
        </w:trPr>
        <w:tc>
          <w:tcPr>
            <w:tcW w:w="2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Annex is complete and correct.</w:t>
            </w:r>
          </w:p>
        </w:tc>
        <w:tc>
          <w:tcPr>
            <w:tcW w:w="3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520" w:type="dxa"/>
            <w:vAlign w:val="bottom"/>
          </w:tcPr>
          <w:p>
            <w:pPr>
              <w:spacing w:after="0"/>
              <w:rPr>
                <w:sz w:val="20"/>
                <w:szCs w:val="20"/>
                <w:color w:val="auto"/>
              </w:rPr>
            </w:pPr>
          </w:p>
        </w:tc>
      </w:tr>
      <w:tr>
        <w:trPr>
          <w:trHeight w:val="675"/>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Signature:</w:t>
            </w:r>
          </w:p>
        </w:tc>
        <w:tc>
          <w:tcPr>
            <w:tcW w:w="16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1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Date:</w:t>
            </w:r>
          </w:p>
        </w:tc>
        <w:tc>
          <w:tcPr>
            <w:tcW w:w="4520" w:type="dxa"/>
            <w:vAlign w:val="bottom"/>
            <w:tcBorders>
              <w:bottom w:val="single" w:sz="8" w:color="auto"/>
            </w:tcBorders>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205" w:name="page206"/>
    <w:bookmarkEnd w:id="20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238"/>
        </w:trPr>
        <w:tc>
          <w:tcPr>
            <w:tcW w:w="70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IX.</w:t>
            </w:r>
          </w:p>
        </w:tc>
        <w:tc>
          <w:tcPr>
            <w:tcW w:w="830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Investment Profile Information</w:t>
            </w:r>
          </w:p>
        </w:tc>
        <w:tc>
          <w:tcPr>
            <w:tcW w:w="9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479"/>
        </w:trPr>
        <w:tc>
          <w:tcPr>
            <w:tcW w:w="9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   Is the subscriber capable of independently evaluating the investment risks of its investment in the Share(s)?</w:t>
            </w:r>
          </w:p>
        </w:tc>
        <w:tc>
          <w:tcPr>
            <w:tcW w:w="900" w:type="dxa"/>
            <w:vAlign w:val="bottom"/>
          </w:tcPr>
          <w:p>
            <w:pPr>
              <w:ind w:left="2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w:t>
            </w:r>
          </w:p>
        </w:tc>
        <w:tc>
          <w:tcPr>
            <w:tcW w:w="580" w:type="dxa"/>
            <w:vAlign w:val="bottom"/>
          </w:tcPr>
          <w:p>
            <w:pPr>
              <w:ind w:left="120"/>
              <w:spacing w:after="0" w:line="207" w:lineRule="exact"/>
              <w:rPr>
                <w:sz w:val="20"/>
                <w:szCs w:val="20"/>
                <w:color w:val="auto"/>
              </w:rPr>
            </w:pPr>
            <w:r>
              <w:rPr>
                <w:rFonts w:ascii="MS PGothic" w:cs="MS PGothic" w:eastAsia="MS PGothic" w:hAnsi="MS PGothic"/>
                <w:sz w:val="18"/>
                <w:szCs w:val="18"/>
                <w:color w:val="auto"/>
                <w:w w:val="90"/>
              </w:rPr>
              <w:t>☐</w:t>
            </w:r>
            <w:r>
              <w:rPr>
                <w:rFonts w:ascii="Times New Roman" w:cs="Times New Roman" w:eastAsia="Times New Roman" w:hAnsi="Times New Roman"/>
                <w:sz w:val="18"/>
                <w:szCs w:val="18"/>
                <w:color w:val="auto"/>
                <w:w w:val="90"/>
              </w:rPr>
              <w:t xml:space="preserve"> NO</w:t>
            </w:r>
          </w:p>
        </w:tc>
      </w:tr>
      <w:tr>
        <w:trPr>
          <w:trHeight w:val="324"/>
        </w:trPr>
        <w:tc>
          <w:tcPr>
            <w:tcW w:w="9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   Will the subscriber exercise independent judgment in evaluating whether to make its investment in the Share(s)?</w:t>
            </w:r>
          </w:p>
        </w:tc>
        <w:tc>
          <w:tcPr>
            <w:tcW w:w="900" w:type="dxa"/>
            <w:vAlign w:val="bottom"/>
          </w:tcPr>
          <w:p>
            <w:pPr>
              <w:ind w:left="2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w:t>
            </w:r>
          </w:p>
        </w:tc>
        <w:tc>
          <w:tcPr>
            <w:tcW w:w="580" w:type="dxa"/>
            <w:vAlign w:val="bottom"/>
          </w:tcPr>
          <w:p>
            <w:pPr>
              <w:ind w:left="120"/>
              <w:spacing w:after="0" w:line="207" w:lineRule="exact"/>
              <w:rPr>
                <w:sz w:val="20"/>
                <w:szCs w:val="20"/>
                <w:color w:val="auto"/>
              </w:rPr>
            </w:pPr>
            <w:r>
              <w:rPr>
                <w:rFonts w:ascii="MS PGothic" w:cs="MS PGothic" w:eastAsia="MS PGothic" w:hAnsi="MS PGothic"/>
                <w:sz w:val="18"/>
                <w:szCs w:val="18"/>
                <w:color w:val="auto"/>
                <w:w w:val="90"/>
              </w:rPr>
              <w:t>☐</w:t>
            </w:r>
            <w:r>
              <w:rPr>
                <w:rFonts w:ascii="Times New Roman" w:cs="Times New Roman" w:eastAsia="Times New Roman" w:hAnsi="Times New Roman"/>
                <w:sz w:val="18"/>
                <w:szCs w:val="18"/>
                <w:color w:val="auto"/>
                <w:w w:val="90"/>
              </w:rPr>
              <w:t xml:space="preserve"> NO</w:t>
            </w:r>
          </w:p>
        </w:tc>
      </w:tr>
      <w:tr>
        <w:trPr>
          <w:trHeight w:val="263"/>
        </w:trPr>
        <w:tc>
          <w:tcPr>
            <w:tcW w:w="9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   Is the subscriber an Institutional Account within the meaning of Financial Industry Regulatory Authority (“FINRA”)</w:t>
            </w:r>
          </w:p>
        </w:tc>
        <w:tc>
          <w:tcPr>
            <w:tcW w:w="900" w:type="dxa"/>
            <w:vAlign w:val="bottom"/>
          </w:tcPr>
          <w:p>
            <w:pPr>
              <w:ind w:left="2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w:t>
            </w:r>
          </w:p>
        </w:tc>
        <w:tc>
          <w:tcPr>
            <w:tcW w:w="580" w:type="dxa"/>
            <w:vAlign w:val="bottom"/>
          </w:tcPr>
          <w:p>
            <w:pPr>
              <w:ind w:left="120"/>
              <w:spacing w:after="0" w:line="207" w:lineRule="exact"/>
              <w:rPr>
                <w:sz w:val="20"/>
                <w:szCs w:val="20"/>
                <w:color w:val="auto"/>
              </w:rPr>
            </w:pPr>
            <w:r>
              <w:rPr>
                <w:rFonts w:ascii="MS PGothic" w:cs="MS PGothic" w:eastAsia="MS PGothic" w:hAnsi="MS PGothic"/>
                <w:sz w:val="18"/>
                <w:szCs w:val="18"/>
                <w:color w:val="auto"/>
                <w:w w:val="90"/>
              </w:rPr>
              <w:t>☐</w:t>
            </w:r>
            <w:r>
              <w:rPr>
                <w:rFonts w:ascii="Times New Roman" w:cs="Times New Roman" w:eastAsia="Times New Roman" w:hAnsi="Times New Roman"/>
                <w:sz w:val="18"/>
                <w:szCs w:val="18"/>
                <w:color w:val="auto"/>
                <w:w w:val="90"/>
              </w:rPr>
              <w:t xml:space="preserve"> NO</w:t>
            </w:r>
          </w:p>
        </w:tc>
      </w:tr>
      <w:tr>
        <w:trPr>
          <w:trHeight w:val="237"/>
        </w:trPr>
        <w:tc>
          <w:tcPr>
            <w:tcW w:w="80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Rule 4512(c)</w:t>
            </w:r>
            <w:r>
              <w:rPr>
                <w:rFonts w:ascii="Times New Roman" w:cs="Times New Roman" w:eastAsia="Times New Roman" w:hAnsi="Times New Roman"/>
                <w:sz w:val="15"/>
                <w:szCs w:val="15"/>
                <w:color w:val="auto"/>
              </w:rPr>
              <w:t>28</w:t>
            </w:r>
            <w:r>
              <w:rPr>
                <w:rFonts w:ascii="Times New Roman" w:cs="Times New Roman" w:eastAsia="Times New Roman" w:hAnsi="Times New Roman"/>
                <w:sz w:val="18"/>
                <w:szCs w:val="18"/>
                <w:color w:val="auto"/>
              </w:rPr>
              <w:t>?</w:t>
            </w:r>
          </w:p>
        </w:tc>
        <w:tc>
          <w:tcPr>
            <w:tcW w:w="540" w:type="dxa"/>
            <w:vAlign w:val="bottom"/>
            <w:tcBorders>
              <w:top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324"/>
        </w:trPr>
        <w:tc>
          <w:tcPr>
            <w:tcW w:w="700" w:type="dxa"/>
            <w:vAlign w:val="bottom"/>
          </w:tcPr>
          <w:p>
            <w:pPr>
              <w:spacing w:after="0"/>
              <w:rPr>
                <w:sz w:val="24"/>
                <w:szCs w:val="24"/>
                <w:color w:val="auto"/>
              </w:rPr>
            </w:pPr>
          </w:p>
        </w:tc>
        <w:tc>
          <w:tcPr>
            <w:tcW w:w="8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(If NO, please answer Section IX(C)(1))</w:t>
            </w: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44"/>
        </w:trPr>
        <w:tc>
          <w:tcPr>
            <w:tcW w:w="700" w:type="dxa"/>
            <w:vAlign w:val="bottom"/>
          </w:tcPr>
          <w:p>
            <w:pPr>
              <w:spacing w:after="0"/>
              <w:rPr>
                <w:sz w:val="24"/>
                <w:szCs w:val="24"/>
                <w:color w:val="auto"/>
              </w:rPr>
            </w:pPr>
          </w:p>
        </w:tc>
        <w:tc>
          <w:tcPr>
            <w:tcW w:w="8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    Is the subscriber an Institutional Investor within the meaning of FINRA Rule 2210(a)(4)</w:t>
            </w:r>
            <w:r>
              <w:rPr>
                <w:rFonts w:ascii="Times New Roman" w:cs="Times New Roman" w:eastAsia="Times New Roman" w:hAnsi="Times New Roman"/>
                <w:sz w:val="15"/>
                <w:szCs w:val="15"/>
                <w:color w:val="auto"/>
              </w:rPr>
              <w:t>29</w:t>
            </w:r>
            <w:r>
              <w:rPr>
                <w:rFonts w:ascii="Times New Roman" w:cs="Times New Roman" w:eastAsia="Times New Roman" w:hAnsi="Times New Roman"/>
                <w:sz w:val="18"/>
                <w:szCs w:val="18"/>
                <w:color w:val="auto"/>
              </w:rPr>
              <w:t>?</w:t>
            </w:r>
          </w:p>
        </w:tc>
        <w:tc>
          <w:tcPr>
            <w:tcW w:w="900" w:type="dxa"/>
            <w:vAlign w:val="bottom"/>
          </w:tcPr>
          <w:p>
            <w:pPr>
              <w:ind w:left="2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w:t>
            </w:r>
          </w:p>
        </w:tc>
        <w:tc>
          <w:tcPr>
            <w:tcW w:w="580" w:type="dxa"/>
            <w:vAlign w:val="bottom"/>
          </w:tcPr>
          <w:p>
            <w:pPr>
              <w:ind w:left="120"/>
              <w:spacing w:after="0" w:line="207" w:lineRule="exact"/>
              <w:rPr>
                <w:sz w:val="20"/>
                <w:szCs w:val="20"/>
                <w:color w:val="auto"/>
              </w:rPr>
            </w:pPr>
            <w:r>
              <w:rPr>
                <w:rFonts w:ascii="MS PGothic" w:cs="MS PGothic" w:eastAsia="MS PGothic" w:hAnsi="MS PGothic"/>
                <w:sz w:val="18"/>
                <w:szCs w:val="18"/>
                <w:color w:val="auto"/>
                <w:w w:val="90"/>
              </w:rPr>
              <w:t>☐</w:t>
            </w:r>
            <w:r>
              <w:rPr>
                <w:rFonts w:ascii="Times New Roman" w:cs="Times New Roman" w:eastAsia="Times New Roman" w:hAnsi="Times New Roman"/>
                <w:sz w:val="18"/>
                <w:szCs w:val="18"/>
                <w:color w:val="auto"/>
                <w:w w:val="90"/>
              </w:rPr>
              <w:t xml:space="preserve"> NO</w:t>
            </w:r>
          </w:p>
        </w:tc>
      </w:tr>
    </w:tbl>
    <w:p>
      <w:pPr>
        <w:spacing w:after="0" w:line="178" w:lineRule="exact"/>
        <w:rPr>
          <w:sz w:val="20"/>
          <w:szCs w:val="20"/>
          <w:color w:val="auto"/>
        </w:rPr>
      </w:pPr>
    </w:p>
    <w:p>
      <w:pPr>
        <w:ind w:left="4" w:right="60"/>
        <w:spacing w:after="0" w:line="282" w:lineRule="auto"/>
        <w:rPr>
          <w:sz w:val="20"/>
          <w:szCs w:val="20"/>
          <w:color w:val="auto"/>
        </w:rPr>
      </w:pPr>
      <w:r>
        <w:rPr>
          <w:rFonts w:ascii="Times New Roman" w:cs="Times New Roman" w:eastAsia="Times New Roman" w:hAnsi="Times New Roman"/>
          <w:sz w:val="18"/>
          <w:szCs w:val="18"/>
          <w:color w:val="auto"/>
        </w:rPr>
        <w:t>Please complete the questions below if you answered “NO” to any of the above questions in Sections IX(A), IX(B) or IX(C). If you answered “YES” to each of those questions, please proceed to Section X below.</w:t>
      </w:r>
    </w:p>
    <w:p>
      <w:pPr>
        <w:spacing w:after="0" w:line="189" w:lineRule="exact"/>
        <w:rPr>
          <w:sz w:val="20"/>
          <w:szCs w:val="20"/>
          <w:color w:val="auto"/>
        </w:rPr>
      </w:pPr>
    </w:p>
    <w:p>
      <w:pPr>
        <w:ind w:left="4"/>
        <w:spacing w:after="0"/>
        <w:tabs>
          <w:tab w:leader="none" w:pos="5724" w:val="left"/>
        </w:tabs>
        <w:rPr>
          <w:sz w:val="20"/>
          <w:szCs w:val="20"/>
          <w:color w:val="auto"/>
        </w:rPr>
      </w:pPr>
      <w:r>
        <w:rPr>
          <w:rFonts w:ascii="Times New Roman" w:cs="Times New Roman" w:eastAsia="Times New Roman" w:hAnsi="Times New Roman"/>
          <w:sz w:val="18"/>
          <w:szCs w:val="18"/>
          <w:color w:val="auto"/>
        </w:rPr>
        <w:t>(D) Date of Birth:</w:t>
      </w:r>
      <w:r>
        <w:rPr>
          <w:sz w:val="20"/>
          <w:szCs w:val="20"/>
          <w:color w:val="auto"/>
        </w:rPr>
        <w:tab/>
      </w:r>
      <w:r>
        <w:rPr>
          <w:rFonts w:ascii="Times New Roman" w:cs="Times New Roman" w:eastAsia="Times New Roman" w:hAnsi="Times New Roman"/>
          <w:sz w:val="17"/>
          <w:szCs w:val="17"/>
          <w:color w:val="auto"/>
        </w:rPr>
        <w:t>_____________ (only applicable for natural persons)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 Investment Objectives for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266065</wp:posOffset>
            </wp:positionV>
            <wp:extent cx="77152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424" w:right="540" w:hanging="424"/>
        <w:spacing w:after="0" w:line="257" w:lineRule="auto"/>
        <w:tabs>
          <w:tab w:leader="none" w:pos="424" w:val="left"/>
        </w:tabs>
        <w:numPr>
          <w:ilvl w:val="0"/>
          <w:numId w:val="197"/>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An “</w:t>
      </w:r>
      <w:r>
        <w:rPr>
          <w:rFonts w:ascii="Times New Roman" w:cs="Times New Roman" w:eastAsia="Times New Roman" w:hAnsi="Times New Roman"/>
          <w:sz w:val="18"/>
          <w:szCs w:val="18"/>
          <w:u w:val="single" w:color="auto"/>
          <w:color w:val="auto"/>
        </w:rPr>
        <w:t>Institutional Account</w:t>
      </w:r>
      <w:r>
        <w:rPr>
          <w:rFonts w:ascii="Times New Roman" w:cs="Times New Roman" w:eastAsia="Times New Roman" w:hAnsi="Times New Roman"/>
          <w:sz w:val="18"/>
          <w:szCs w:val="18"/>
          <w:color w:val="auto"/>
        </w:rPr>
        <w:t>” means (1) a bank, savings and loan association, insurance company or registered investment company; (2) an investment adviser registered with the SEC or a state securities commission; or (3) any other person (whether a natural person, corporation, partnership, trust or otherwise) with total assets of at least $50 million.</w:t>
      </w:r>
    </w:p>
    <w:p>
      <w:pPr>
        <w:spacing w:after="0" w:line="1" w:lineRule="exact"/>
        <w:rPr>
          <w:rFonts w:ascii="Times New Roman" w:cs="Times New Roman" w:eastAsia="Times New Roman" w:hAnsi="Times New Roman"/>
          <w:sz w:val="15"/>
          <w:szCs w:val="15"/>
          <w:color w:val="auto"/>
        </w:rPr>
      </w:pPr>
    </w:p>
    <w:p>
      <w:pPr>
        <w:ind w:left="424" w:hanging="424"/>
        <w:spacing w:after="0" w:line="265" w:lineRule="auto"/>
        <w:tabs>
          <w:tab w:leader="none" w:pos="424" w:val="left"/>
        </w:tabs>
        <w:numPr>
          <w:ilvl w:val="0"/>
          <w:numId w:val="197"/>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An “</w:t>
      </w:r>
      <w:r>
        <w:rPr>
          <w:rFonts w:ascii="Times New Roman" w:cs="Times New Roman" w:eastAsia="Times New Roman" w:hAnsi="Times New Roman"/>
          <w:sz w:val="17"/>
          <w:szCs w:val="17"/>
          <w:u w:val="single" w:color="auto"/>
          <w:color w:val="auto"/>
        </w:rPr>
        <w:t>Institutional Investor</w:t>
      </w:r>
      <w:r>
        <w:rPr>
          <w:rFonts w:ascii="Times New Roman" w:cs="Times New Roman" w:eastAsia="Times New Roman" w:hAnsi="Times New Roman"/>
          <w:sz w:val="17"/>
          <w:szCs w:val="17"/>
          <w:color w:val="auto"/>
        </w:rPr>
        <w:t>” means any (A) person described in FINRA Rule 4512(c), regardless of whether the person has an account with a member; (B) governmental entity or subdivision thereof; (C) employee benefit plan, or multiple employee benefit plans offered to employees of the same employer, that meet the requirements of Section 403(b) or Section 457 of the Code and in the aggregate have at least 100 participants, but does not include any participant of such plans; (D) qualified plan, as defined in Section 3(a)(12)(C) of the 1934 Act, or multiple qualified plans offered to employees of the same employer, that in the aggregate have at least 100 participants, but does not include any participant of such plans;</w:t>
      </w:r>
    </w:p>
    <w:p>
      <w:pPr>
        <w:ind w:left="424"/>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(E) FINRA member or registered person of such a member; and (F) person acting solely on behalf of any such institutional investor.</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04"/>
          </w:cols>
          <w:pgMar w:left="436" w:top="266" w:right="459" w:bottom="1440" w:gutter="0" w:footer="0" w:header="0"/>
        </w:sectPr>
      </w:pPr>
    </w:p>
    <w:bookmarkStart w:id="206" w:name="page207"/>
    <w:bookmarkEnd w:id="206"/>
    <w:p>
      <w:pPr>
        <w:ind w:left="4"/>
        <w:spacing w:after="0" w:line="207" w:lineRule="exact"/>
        <w:rPr>
          <w:sz w:val="20"/>
          <w:szCs w:val="20"/>
          <w:color w:val="auto"/>
        </w:rPr>
      </w:pPr>
      <w:r>
        <w:rPr>
          <w:rFonts w:ascii="MS PGothic" w:cs="MS PGothic" w:eastAsia="MS PGothic" w:hAnsi="MS PGothic"/>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color w:val="auto"/>
        </w:rPr>
        <w:t xml:space="preserve">    Capital preservation – minimize the potential for any loss of principal</w:t>
      </w:r>
    </w:p>
    <w:p>
      <w:pPr>
        <w:spacing w:after="0" w:line="131" w:lineRule="exact"/>
        <w:rPr>
          <w:sz w:val="20"/>
          <w:szCs w:val="20"/>
          <w:color w:val="auto"/>
        </w:rPr>
      </w:pPr>
    </w:p>
    <w:p>
      <w:pPr>
        <w:ind w:left="4"/>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Income – provide current income rather than growth of principal</w:t>
      </w:r>
    </w:p>
    <w:p>
      <w:pPr>
        <w:spacing w:after="0" w:line="131" w:lineRule="exact"/>
        <w:rPr>
          <w:sz w:val="20"/>
          <w:szCs w:val="20"/>
          <w:color w:val="auto"/>
        </w:rPr>
      </w:pPr>
    </w:p>
    <w:p>
      <w:pPr>
        <w:ind w:left="4"/>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Growth – increase investment value over time while accepting price fluctuations</w:t>
      </w:r>
    </w:p>
    <w:p>
      <w:pPr>
        <w:spacing w:after="0" w:line="131" w:lineRule="exact"/>
        <w:rPr>
          <w:sz w:val="20"/>
          <w:szCs w:val="20"/>
          <w:color w:val="auto"/>
        </w:rPr>
      </w:pPr>
    </w:p>
    <w:p>
      <w:pPr>
        <w:ind w:left="4"/>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Speculation – assume highest degree of risk for potentially higher returns</w:t>
      </w:r>
    </w:p>
    <w:p>
      <w:pPr>
        <w:spacing w:after="0" w:line="252" w:lineRule="exact"/>
        <w:rPr>
          <w:sz w:val="20"/>
          <w:szCs w:val="20"/>
          <w:color w:val="auto"/>
        </w:rPr>
      </w:pPr>
    </w:p>
    <w:tbl>
      <w:tblPr>
        <w:tblLayout w:type="fixed"/>
        <w:tblInd w:w="4" w:type="dxa"/>
        <w:tblCellMar>
          <w:top w:w="0" w:type="dxa"/>
          <w:left w:w="0" w:type="dxa"/>
          <w:bottom w:w="0" w:type="dxa"/>
          <w:right w:w="0" w:type="dxa"/>
        </w:tblCellMar>
      </w:tblPr>
      <w:tr>
        <w:trPr>
          <w:trHeight w:val="283"/>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(F) Prior Investment Experience:</w:t>
            </w:r>
          </w:p>
        </w:tc>
        <w:tc>
          <w:tcPr>
            <w:tcW w:w="4700" w:type="dxa"/>
            <w:vAlign w:val="bottom"/>
          </w:tcPr>
          <w:p>
            <w:pPr>
              <w:ind w:left="12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Extensive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Moderate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Limited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None</w:t>
            </w: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(G) Prior Investments (check all that apply):</w:t>
            </w:r>
          </w:p>
        </w:tc>
        <w:tc>
          <w:tcPr>
            <w:tcW w:w="4700" w:type="dxa"/>
            <w:vAlign w:val="bottom"/>
          </w:tcPr>
          <w:p>
            <w:pPr>
              <w:ind w:left="12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Publicly traded securities</w:t>
            </w: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460" w:type="dxa"/>
            <w:vAlign w:val="bottom"/>
          </w:tcPr>
          <w:p>
            <w:pPr>
              <w:spacing w:after="0"/>
              <w:rPr>
                <w:sz w:val="24"/>
                <w:szCs w:val="24"/>
                <w:color w:val="auto"/>
              </w:rPr>
            </w:pPr>
          </w:p>
        </w:tc>
        <w:tc>
          <w:tcPr>
            <w:tcW w:w="4700" w:type="dxa"/>
            <w:vAlign w:val="bottom"/>
          </w:tcPr>
          <w:p>
            <w:pPr>
              <w:ind w:left="12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Mutual funds</w:t>
            </w: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460" w:type="dxa"/>
            <w:vAlign w:val="bottom"/>
          </w:tcPr>
          <w:p>
            <w:pPr>
              <w:spacing w:after="0"/>
              <w:rPr>
                <w:sz w:val="24"/>
                <w:szCs w:val="24"/>
                <w:color w:val="auto"/>
              </w:rPr>
            </w:pPr>
          </w:p>
        </w:tc>
        <w:tc>
          <w:tcPr>
            <w:tcW w:w="5500" w:type="dxa"/>
            <w:vAlign w:val="bottom"/>
            <w:gridSpan w:val="2"/>
          </w:tcPr>
          <w:p>
            <w:pPr>
              <w:ind w:left="12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Private equity, hedge funds, venture capital funds</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460" w:type="dxa"/>
            <w:vAlign w:val="bottom"/>
          </w:tcPr>
          <w:p>
            <w:pPr>
              <w:spacing w:after="0"/>
              <w:rPr>
                <w:sz w:val="24"/>
                <w:szCs w:val="24"/>
                <w:color w:val="auto"/>
              </w:rPr>
            </w:pPr>
          </w:p>
        </w:tc>
        <w:tc>
          <w:tcPr>
            <w:tcW w:w="5500" w:type="dxa"/>
            <w:vAlign w:val="bottom"/>
            <w:gridSpan w:val="2"/>
          </w:tcPr>
          <w:p>
            <w:pPr>
              <w:ind w:left="12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Private placements (excluding pooled vehicles)</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(H) Risk Tolerance</w:t>
            </w:r>
            <w:r>
              <w:rPr>
                <w:rFonts w:ascii="Times New Roman" w:cs="Times New Roman" w:eastAsia="Times New Roman" w:hAnsi="Times New Roman"/>
                <w:sz w:val="15"/>
                <w:szCs w:val="15"/>
                <w:color w:val="auto"/>
              </w:rPr>
              <w:t>30</w:t>
            </w:r>
            <w:r>
              <w:rPr>
                <w:rFonts w:ascii="Times New Roman" w:cs="Times New Roman" w:eastAsia="Times New Roman" w:hAnsi="Times New Roman"/>
                <w:sz w:val="18"/>
                <w:szCs w:val="18"/>
                <w:color w:val="auto"/>
              </w:rPr>
              <w:t>:</w:t>
            </w:r>
          </w:p>
        </w:tc>
        <w:tc>
          <w:tcPr>
            <w:tcW w:w="4700" w:type="dxa"/>
            <w:vAlign w:val="bottom"/>
          </w:tcPr>
          <w:p>
            <w:pPr>
              <w:ind w:left="12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Conservative</w:t>
            </w: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460" w:type="dxa"/>
            <w:vAlign w:val="bottom"/>
          </w:tcPr>
          <w:p>
            <w:pPr>
              <w:spacing w:after="0"/>
              <w:rPr>
                <w:sz w:val="24"/>
                <w:szCs w:val="24"/>
                <w:color w:val="auto"/>
              </w:rPr>
            </w:pPr>
          </w:p>
        </w:tc>
        <w:tc>
          <w:tcPr>
            <w:tcW w:w="4700" w:type="dxa"/>
            <w:vAlign w:val="bottom"/>
          </w:tcPr>
          <w:p>
            <w:pPr>
              <w:ind w:left="12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Somewhat Conservative</w:t>
            </w: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460" w:type="dxa"/>
            <w:vAlign w:val="bottom"/>
          </w:tcPr>
          <w:p>
            <w:pPr>
              <w:spacing w:after="0"/>
              <w:rPr>
                <w:sz w:val="24"/>
                <w:szCs w:val="24"/>
                <w:color w:val="auto"/>
              </w:rPr>
            </w:pPr>
          </w:p>
        </w:tc>
        <w:tc>
          <w:tcPr>
            <w:tcW w:w="4700" w:type="dxa"/>
            <w:vAlign w:val="bottom"/>
          </w:tcPr>
          <w:p>
            <w:pPr>
              <w:ind w:left="12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Somewhat Aggressive</w:t>
            </w: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460" w:type="dxa"/>
            <w:vAlign w:val="bottom"/>
          </w:tcPr>
          <w:p>
            <w:pPr>
              <w:spacing w:after="0"/>
              <w:rPr>
                <w:sz w:val="24"/>
                <w:szCs w:val="24"/>
                <w:color w:val="auto"/>
              </w:rPr>
            </w:pPr>
          </w:p>
        </w:tc>
        <w:tc>
          <w:tcPr>
            <w:tcW w:w="4700" w:type="dxa"/>
            <w:vAlign w:val="bottom"/>
          </w:tcPr>
          <w:p>
            <w:pPr>
              <w:ind w:left="12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Aggressive</w:t>
            </w: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    Percentage of investment portfolio in alternative investments</w:t>
            </w:r>
            <w:r>
              <w:rPr>
                <w:rFonts w:ascii="Times New Roman" w:cs="Times New Roman" w:eastAsia="Times New Roman" w:hAnsi="Times New Roman"/>
                <w:sz w:val="15"/>
                <w:szCs w:val="15"/>
                <w:color w:val="auto"/>
              </w:rPr>
              <w:t>31</w:t>
            </w:r>
            <w:r>
              <w:rPr>
                <w:rFonts w:ascii="Times New Roman" w:cs="Times New Roman" w:eastAsia="Times New Roman" w:hAnsi="Times New Roman"/>
                <w:sz w:val="18"/>
                <w:szCs w:val="18"/>
                <w:color w:val="auto"/>
              </w:rPr>
              <w:t xml:space="preserve"> (excluding personal residence):</w:t>
            </w:r>
          </w:p>
        </w:tc>
        <w:tc>
          <w:tcPr>
            <w:tcW w:w="8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8"/>
              </w:rPr>
              <w:t>______%</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9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    Percentage of investment portfolio the subscriber’s investment the Company represents (excluding, in each case,</w:t>
            </w:r>
          </w:p>
        </w:tc>
        <w:tc>
          <w:tcPr>
            <w:tcW w:w="800" w:type="dxa"/>
            <w:vAlign w:val="bottom"/>
          </w:tcPr>
          <w:p>
            <w:pPr>
              <w:ind w:left="100"/>
              <w:spacing w:after="0" w:line="207" w:lineRule="exact"/>
              <w:rPr>
                <w:sz w:val="20"/>
                <w:szCs w:val="20"/>
                <w:color w:val="auto"/>
              </w:rPr>
            </w:pPr>
            <w:r>
              <w:rPr>
                <w:rFonts w:ascii="MS PGothic" w:cs="MS PGothic" w:eastAsia="MS PGothic" w:hAnsi="MS PGothic"/>
                <w:sz w:val="18"/>
                <w:szCs w:val="18"/>
                <w:color w:val="auto"/>
                <w:w w:val="96"/>
              </w:rPr>
              <w:t>☐</w:t>
            </w:r>
            <w:r>
              <w:rPr>
                <w:rFonts w:ascii="Times New Roman" w:cs="Times New Roman" w:eastAsia="Times New Roman" w:hAnsi="Times New Roman"/>
                <w:sz w:val="18"/>
                <w:szCs w:val="18"/>
                <w:color w:val="auto"/>
                <w:w w:val="96"/>
              </w:rPr>
              <w:t xml:space="preserve"> 0-10%</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personal residence):</w:t>
            </w:r>
          </w:p>
        </w:tc>
        <w:tc>
          <w:tcPr>
            <w:tcW w:w="4700" w:type="dxa"/>
            <w:vAlign w:val="bottom"/>
          </w:tcPr>
          <w:p>
            <w:pPr>
              <w:spacing w:after="0"/>
              <w:rPr>
                <w:sz w:val="20"/>
                <w:szCs w:val="20"/>
                <w:color w:val="auto"/>
              </w:rPr>
            </w:pPr>
          </w:p>
        </w:tc>
        <w:tc>
          <w:tcPr>
            <w:tcW w:w="1420" w:type="dxa"/>
            <w:vAlign w:val="bottom"/>
            <w:gridSpan w:val="2"/>
            <w:vMerge w:val="restart"/>
          </w:tcPr>
          <w:p>
            <w:pPr>
              <w:ind w:left="1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10-25%</w:t>
            </w:r>
          </w:p>
        </w:tc>
        <w:tc>
          <w:tcPr>
            <w:tcW w:w="0" w:type="dxa"/>
            <w:vAlign w:val="bottom"/>
          </w:tcPr>
          <w:p>
            <w:pPr>
              <w:spacing w:after="0"/>
              <w:rPr>
                <w:sz w:val="1"/>
                <w:szCs w:val="1"/>
                <w:color w:val="auto"/>
              </w:rPr>
            </w:pPr>
          </w:p>
        </w:tc>
      </w:tr>
      <w:tr>
        <w:trPr>
          <w:trHeight w:val="141"/>
        </w:trPr>
        <w:tc>
          <w:tcPr>
            <w:tcW w:w="446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38"/>
        </w:trPr>
        <w:tc>
          <w:tcPr>
            <w:tcW w:w="446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420" w:type="dxa"/>
            <w:vAlign w:val="bottom"/>
            <w:gridSpan w:val="2"/>
          </w:tcPr>
          <w:p>
            <w:pPr>
              <w:ind w:left="100"/>
              <w:spacing w:after="0" w:line="207" w:lineRule="exact"/>
              <w:rPr>
                <w:sz w:val="20"/>
                <w:szCs w:val="20"/>
                <w:color w:val="auto"/>
              </w:rPr>
            </w:pPr>
            <w:r>
              <w:rPr>
                <w:rFonts w:ascii="MS PGothic" w:cs="MS PGothic" w:eastAsia="MS PGothic" w:hAnsi="MS PGothic"/>
                <w:sz w:val="18"/>
                <w:szCs w:val="18"/>
                <w:color w:val="auto"/>
                <w:w w:val="96"/>
              </w:rPr>
              <w:t>☐</w:t>
            </w:r>
            <w:r>
              <w:rPr>
                <w:rFonts w:ascii="Times New Roman" w:cs="Times New Roman" w:eastAsia="Times New Roman" w:hAnsi="Times New Roman"/>
                <w:sz w:val="18"/>
                <w:szCs w:val="18"/>
                <w:color w:val="auto"/>
                <w:w w:val="96"/>
              </w:rPr>
              <w:t xml:space="preserve"> More than 25%</w:t>
            </w:r>
          </w:p>
        </w:tc>
        <w:tc>
          <w:tcPr>
            <w:tcW w:w="0" w:type="dxa"/>
            <w:vAlign w:val="bottom"/>
          </w:tcPr>
          <w:p>
            <w:pPr>
              <w:spacing w:after="0"/>
              <w:rPr>
                <w:sz w:val="1"/>
                <w:szCs w:val="1"/>
                <w:color w:val="auto"/>
              </w:rPr>
            </w:pPr>
          </w:p>
        </w:tc>
      </w:tr>
      <w:tr>
        <w:trPr>
          <w:trHeight w:val="338"/>
        </w:trPr>
        <w:tc>
          <w:tcPr>
            <w:tcW w:w="9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   Is the subscriber able to bear the economic risk of a loss of the entire investment(s)?</w:t>
            </w:r>
          </w:p>
        </w:tc>
        <w:tc>
          <w:tcPr>
            <w:tcW w:w="800" w:type="dxa"/>
            <w:vAlign w:val="bottom"/>
          </w:tcPr>
          <w:p>
            <w:pPr>
              <w:ind w:left="1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w:t>
            </w:r>
          </w:p>
        </w:tc>
        <w:tc>
          <w:tcPr>
            <w:tcW w:w="620" w:type="dxa"/>
            <w:vAlign w:val="bottom"/>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tc>
        <w:tc>
          <w:tcPr>
            <w:tcW w:w="0" w:type="dxa"/>
            <w:vAlign w:val="bottom"/>
          </w:tcPr>
          <w:p>
            <w:pPr>
              <w:spacing w:after="0"/>
              <w:rPr>
                <w:sz w:val="1"/>
                <w:szCs w:val="1"/>
                <w:color w:val="auto"/>
              </w:rPr>
            </w:pPr>
          </w:p>
        </w:tc>
      </w:tr>
      <w:tr>
        <w:trPr>
          <w:trHeight w:val="286"/>
        </w:trPr>
        <w:tc>
          <w:tcPr>
            <w:tcW w:w="9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   The subscriber has no need for liquidity in this investment and has the ability to retain its Shares for the full term of the</w:t>
            </w:r>
          </w:p>
        </w:tc>
        <w:tc>
          <w:tcPr>
            <w:tcW w:w="800" w:type="dxa"/>
            <w:vAlign w:val="bottom"/>
          </w:tcPr>
          <w:p>
            <w:pPr>
              <w:ind w:left="1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w:t>
            </w:r>
          </w:p>
        </w:tc>
        <w:tc>
          <w:tcPr>
            <w:tcW w:w="620" w:type="dxa"/>
            <w:vAlign w:val="bottom"/>
          </w:tcPr>
          <w:p>
            <w:pPr>
              <w:ind w:left="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tc>
        <w:tc>
          <w:tcPr>
            <w:tcW w:w="0" w:type="dxa"/>
            <w:vAlign w:val="bottom"/>
          </w:tcPr>
          <w:p>
            <w:pPr>
              <w:spacing w:after="0"/>
              <w:rPr>
                <w:sz w:val="1"/>
                <w:szCs w:val="1"/>
                <w:color w:val="auto"/>
              </w:rPr>
            </w:pPr>
          </w:p>
        </w:tc>
      </w:tr>
      <w:tr>
        <w:trPr>
          <w:trHeight w:val="234"/>
        </w:trPr>
        <w:tc>
          <w:tcPr>
            <w:tcW w:w="4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Company?</w:t>
            </w:r>
          </w:p>
        </w:tc>
        <w:tc>
          <w:tcPr>
            <w:tcW w:w="4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4"/>
        </w:trPr>
        <w:tc>
          <w:tcPr>
            <w:tcW w:w="9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  The subscriber’s investment time horizon is the full term of the Company (which may be 10 years or more)?</w:t>
            </w:r>
          </w:p>
        </w:tc>
        <w:tc>
          <w:tcPr>
            <w:tcW w:w="800" w:type="dxa"/>
            <w:vAlign w:val="bottom"/>
          </w:tcPr>
          <w:p>
            <w:pPr>
              <w:ind w:left="1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w:t>
            </w:r>
          </w:p>
        </w:tc>
        <w:tc>
          <w:tcPr>
            <w:tcW w:w="620" w:type="dxa"/>
            <w:vAlign w:val="bottom"/>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tc>
        <w:tc>
          <w:tcPr>
            <w:tcW w:w="0" w:type="dxa"/>
            <w:vAlign w:val="bottom"/>
          </w:tcPr>
          <w:p>
            <w:pPr>
              <w:spacing w:after="0"/>
              <w:rPr>
                <w:sz w:val="1"/>
                <w:szCs w:val="1"/>
                <w:color w:val="auto"/>
              </w:rPr>
            </w:pPr>
          </w:p>
        </w:tc>
      </w:tr>
      <w:tr>
        <w:trPr>
          <w:trHeight w:val="324"/>
        </w:trPr>
        <w:tc>
          <w:tcPr>
            <w:tcW w:w="9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   Is the subscriber an “Associated Person” of a member of FINRA or other broker/dealer?</w:t>
            </w:r>
            <w:r>
              <w:rPr>
                <w:rFonts w:ascii="Times New Roman" w:cs="Times New Roman" w:eastAsia="Times New Roman" w:hAnsi="Times New Roman"/>
                <w:sz w:val="15"/>
                <w:szCs w:val="15"/>
                <w:color w:val="auto"/>
              </w:rPr>
              <w:t>32</w:t>
            </w:r>
          </w:p>
        </w:tc>
        <w:tc>
          <w:tcPr>
            <w:tcW w:w="800" w:type="dxa"/>
            <w:vAlign w:val="bottom"/>
          </w:tcPr>
          <w:p>
            <w:pPr>
              <w:ind w:left="1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w:t>
            </w:r>
          </w:p>
        </w:tc>
        <w:tc>
          <w:tcPr>
            <w:tcW w:w="620" w:type="dxa"/>
            <w:vAlign w:val="bottom"/>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77152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1" w:lineRule="exact"/>
        <w:rPr>
          <w:sz w:val="20"/>
          <w:szCs w:val="20"/>
          <w:color w:val="auto"/>
        </w:rPr>
      </w:pPr>
    </w:p>
    <w:p>
      <w:pPr>
        <w:ind w:left="424" w:right="520" w:hanging="424"/>
        <w:spacing w:after="0" w:line="261" w:lineRule="auto"/>
        <w:tabs>
          <w:tab w:leader="none" w:pos="424" w:val="left"/>
        </w:tabs>
        <w:numPr>
          <w:ilvl w:val="0"/>
          <w:numId w:val="19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Your risk tolerance refers to the level of risk you are comfortable taking in relation to your entire investment portfolio (excluding personal residence).</w:t>
      </w:r>
    </w:p>
    <w:p>
      <w:pPr>
        <w:ind w:left="424" w:right="20" w:hanging="424"/>
        <w:spacing w:after="0" w:line="250" w:lineRule="auto"/>
        <w:tabs>
          <w:tab w:leader="none" w:pos="424" w:val="left"/>
        </w:tabs>
        <w:numPr>
          <w:ilvl w:val="0"/>
          <w:numId w:val="19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“Alternative Investments” are illiquid securities such as variable annuities, non-traded alternative investments and securities sold through private placements.</w:t>
      </w:r>
    </w:p>
    <w:p>
      <w:pPr>
        <w:ind w:left="424" w:hanging="424"/>
        <w:spacing w:after="0" w:line="255" w:lineRule="auto"/>
        <w:tabs>
          <w:tab w:leader="none" w:pos="424" w:val="left"/>
        </w:tabs>
        <w:numPr>
          <w:ilvl w:val="0"/>
          <w:numId w:val="19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An “</w:t>
      </w:r>
      <w:r>
        <w:rPr>
          <w:rFonts w:ascii="Times New Roman" w:cs="Times New Roman" w:eastAsia="Times New Roman" w:hAnsi="Times New Roman"/>
          <w:sz w:val="18"/>
          <w:szCs w:val="18"/>
          <w:u w:val="single" w:color="auto"/>
          <w:color w:val="auto"/>
        </w:rPr>
        <w:t>Associated Person</w:t>
      </w:r>
      <w:r>
        <w:rPr>
          <w:rFonts w:ascii="Times New Roman" w:cs="Times New Roman" w:eastAsia="Times New Roman" w:hAnsi="Times New Roman"/>
          <w:sz w:val="18"/>
          <w:szCs w:val="18"/>
          <w:color w:val="auto"/>
        </w:rPr>
        <w:t>” is a person engaged in the investment banking or securities business who is directly or indirectly controlled by a FINRA member, whether or not this person is registered or exempt from registration with FINRA. Every sole proprietor, partner, officer, director, or branch manager of any FINRA member is an Associated Person.</w:t>
      </w:r>
    </w:p>
    <w:p>
      <w:pPr>
        <w:spacing w:after="0" w:line="118" w:lineRule="exact"/>
        <w:rPr>
          <w:sz w:val="20"/>
          <w:szCs w:val="20"/>
          <w:color w:val="auto"/>
        </w:rPr>
      </w:pPr>
    </w:p>
    <w:p>
      <w:pPr>
        <w:jc w:val="center"/>
        <w:ind w:right="-14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84"/>
          </w:cols>
          <w:pgMar w:left="436" w:top="241" w:right="579" w:bottom="1440" w:gutter="0" w:footer="0" w:header="0"/>
        </w:sectPr>
      </w:pPr>
    </w:p>
    <w:bookmarkStart w:id="207" w:name="page208"/>
    <w:bookmarkEnd w:id="207"/>
    <w:p>
      <w:pPr>
        <w:ind w:left="964" w:hanging="532"/>
        <w:spacing w:after="0"/>
        <w:tabs>
          <w:tab w:leader="none" w:pos="964" w:val="left"/>
        </w:tabs>
        <w:numPr>
          <w:ilvl w:val="0"/>
          <w:numId w:val="1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Supplemental Data</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If the subscriber is a natural person, please furnish the following supplemental data:</w:t>
      </w:r>
    </w:p>
    <w:p>
      <w:pPr>
        <w:spacing w:after="0" w:line="131" w:lineRule="exact"/>
        <w:rPr>
          <w:sz w:val="20"/>
          <w:szCs w:val="20"/>
          <w:color w:val="auto"/>
        </w:rPr>
      </w:pPr>
    </w:p>
    <w:p>
      <w:pPr>
        <w:ind w:left="424" w:right="500" w:hanging="424"/>
        <w:spacing w:after="0" w:line="282" w:lineRule="auto"/>
        <w:tabs>
          <w:tab w:leader="none" w:pos="424"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(1) clear copy of an unexpired government-issued identification evidencing nationality, residence and bearing a photograph, signature, nationality, date and place of birth (e.g., identification page of your passport or U.S. driver’s license if a U.S. resident).</w:t>
      </w:r>
    </w:p>
    <w:p>
      <w:pPr>
        <w:spacing w:after="0" w:line="67" w:lineRule="exact"/>
        <w:rPr>
          <w:rFonts w:ascii="Times New Roman" w:cs="Times New Roman" w:eastAsia="Times New Roman" w:hAnsi="Times New Roman"/>
          <w:sz w:val="18"/>
          <w:szCs w:val="18"/>
          <w:color w:val="auto"/>
        </w:rPr>
      </w:pPr>
    </w:p>
    <w:p>
      <w:pPr>
        <w:ind w:left="424" w:right="100" w:hanging="424"/>
        <w:spacing w:after="0" w:line="282" w:lineRule="auto"/>
        <w:tabs>
          <w:tab w:leader="none" w:pos="424"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(1) current certified copy or original of a Bank or Legal Reference Letter or Utility Bill issued within the last three (3) months that confirms the subscriber’s residential address. Note that we cannot accept mobile telephone bills or bank/credit card statements.</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If the subscriber is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color w:val="auto"/>
        </w:rPr>
        <w:t xml:space="preserve"> a natural person, please furnish the following supplemental data:</w:t>
      </w:r>
    </w:p>
    <w:p>
      <w:pPr>
        <w:spacing w:after="0" w:line="131" w:lineRule="exact"/>
        <w:rPr>
          <w:sz w:val="20"/>
          <w:szCs w:val="20"/>
          <w:color w:val="auto"/>
        </w:rPr>
      </w:pPr>
    </w:p>
    <w:p>
      <w:pPr>
        <w:ind w:left="424" w:right="100" w:hanging="424"/>
        <w:spacing w:after="0" w:line="282" w:lineRule="auto"/>
        <w:tabs>
          <w:tab w:leader="none" w:pos="424"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(1) copy of the formation document or other documentation evidencing the existence of the subscribing entity (e.g., certificate of formation, certificate of limited partnership, certificate of incorporation, partnership agreement or trust agreement).</w:t>
      </w:r>
    </w:p>
    <w:p>
      <w:pPr>
        <w:spacing w:after="0" w:line="67" w:lineRule="exact"/>
        <w:rPr>
          <w:rFonts w:ascii="Times New Roman" w:cs="Times New Roman" w:eastAsia="Times New Roman" w:hAnsi="Times New Roman"/>
          <w:sz w:val="18"/>
          <w:szCs w:val="18"/>
          <w:color w:val="auto"/>
        </w:rPr>
      </w:pPr>
    </w:p>
    <w:p>
      <w:pPr>
        <w:ind w:left="424" w:right="560" w:hanging="424"/>
        <w:spacing w:after="0" w:line="282" w:lineRule="auto"/>
        <w:tabs>
          <w:tab w:leader="none" w:pos="424"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(1) copy of the memorandum and articles of association, articles of incorporation, operating agreement, trust deed or other equivalent governing document of the subscribing entity.</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 identifying authorized signatories.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(1) copy of the latest audited financial statements of the subscribing entity (where available).</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list or register of the directors (or equivalent) of the subscribing entity (if applicable).</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Jurisdiction of organization: ________________________________________________________________________________</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Location of principal place of business: _______________________________________________________________________</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Briefly describe the subscriber’s primary business: 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699516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both"/>
        <w:ind w:left="4"/>
        <w:spacing w:after="0" w:line="268" w:lineRule="auto"/>
        <w:rPr>
          <w:sz w:val="20"/>
          <w:szCs w:val="20"/>
          <w:color w:val="auto"/>
        </w:rPr>
      </w:pPr>
      <w:r>
        <w:rPr>
          <w:rFonts w:ascii="Times New Roman" w:cs="Times New Roman" w:eastAsia="Times New Roman" w:hAnsi="Times New Roman"/>
          <w:sz w:val="18"/>
          <w:szCs w:val="18"/>
          <w:b w:val="1"/>
          <w:bCs w:val="1"/>
          <w:color w:val="auto"/>
        </w:rPr>
        <w:t>NOTE: ADDITIONAL DOCUMENTATION MAY BE REQUIRED. SIXTH STREET RESERVES THE RIGHT TO REQUIRE ANY COPY DOCUMENTS REFERENCED IN THIS SUPPLEMENTAL DATA SECTION BE PROVIDED AS ELECTRONIC COPIES CERTIFIED BY A SUITABLE CERTIFIER.</w:t>
      </w:r>
    </w:p>
    <w:p>
      <w:pPr>
        <w:spacing w:after="0" w:line="107"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4"/>
          </w:cols>
          <w:pgMar w:left="436" w:top="266" w:right="519" w:bottom="1440" w:gutter="0" w:footer="0" w:header="0"/>
        </w:sectPr>
      </w:pPr>
    </w:p>
    <w:bookmarkStart w:id="208" w:name="page209"/>
    <w:bookmarkEnd w:id="208"/>
    <w:tbl>
      <w:tblPr>
        <w:tblLayout w:type="fixed"/>
        <w:tblInd w:w="0" w:type="dxa"/>
        <w:tblCellMar>
          <w:top w:w="0" w:type="dxa"/>
          <w:left w:w="0" w:type="dxa"/>
          <w:bottom w:w="0" w:type="dxa"/>
          <w:right w:w="0" w:type="dxa"/>
        </w:tblCellMar>
      </w:tblPr>
      <w:tr>
        <w:trPr>
          <w:trHeight w:val="238"/>
        </w:trPr>
        <w:tc>
          <w:tcPr>
            <w:tcW w:w="76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XI.  Jurisdiction Specific Information for ALL Investors</w:t>
            </w:r>
          </w:p>
        </w:tc>
        <w:tc>
          <w:tcPr>
            <w:tcW w:w="16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9"/>
        </w:trPr>
        <w:tc>
          <w:tcPr>
            <w:tcW w:w="7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 Is the subscriber a resident in Japan?</w:t>
            </w:r>
          </w:p>
        </w:tc>
        <w:tc>
          <w:tcPr>
            <w:tcW w:w="1600" w:type="dxa"/>
            <w:vAlign w:val="bottom"/>
          </w:tcPr>
          <w:p>
            <w:pPr>
              <w:ind w:left="3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w:t>
            </w:r>
          </w:p>
        </w:tc>
        <w:tc>
          <w:tcPr>
            <w:tcW w:w="1140" w:type="dxa"/>
            <w:vAlign w:val="bottom"/>
          </w:tcPr>
          <w:p>
            <w:pPr>
              <w:ind w:left="680"/>
              <w:spacing w:after="0" w:line="207" w:lineRule="exact"/>
              <w:rPr>
                <w:sz w:val="20"/>
                <w:szCs w:val="20"/>
                <w:color w:val="auto"/>
              </w:rPr>
            </w:pPr>
            <w:r>
              <w:rPr>
                <w:rFonts w:ascii="MS PGothic" w:cs="MS PGothic" w:eastAsia="MS PGothic" w:hAnsi="MS PGothic"/>
                <w:sz w:val="18"/>
                <w:szCs w:val="18"/>
                <w:color w:val="auto"/>
                <w:w w:val="90"/>
              </w:rPr>
              <w:t>☐</w:t>
            </w:r>
            <w:r>
              <w:rPr>
                <w:rFonts w:ascii="Times New Roman" w:cs="Times New Roman" w:eastAsia="Times New Roman" w:hAnsi="Times New Roman"/>
                <w:sz w:val="18"/>
                <w:szCs w:val="18"/>
                <w:color w:val="auto"/>
                <w:w w:val="90"/>
              </w:rPr>
              <w:t xml:space="preserve"> NO</w:t>
            </w:r>
          </w:p>
        </w:tc>
        <w:tc>
          <w:tcPr>
            <w:tcW w:w="0" w:type="dxa"/>
            <w:vAlign w:val="bottom"/>
          </w:tcPr>
          <w:p>
            <w:pPr>
              <w:spacing w:after="0"/>
              <w:rPr>
                <w:sz w:val="1"/>
                <w:szCs w:val="1"/>
                <w:color w:val="auto"/>
              </w:rPr>
            </w:pPr>
          </w:p>
        </w:tc>
      </w:tr>
      <w:tr>
        <w:trPr>
          <w:trHeight w:val="286"/>
        </w:trPr>
        <w:tc>
          <w:tcPr>
            <w:tcW w:w="7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 Were the Shares marketed to the subscriber in Hong Kong or is the subscriber a resident in Hong</w:t>
            </w:r>
          </w:p>
        </w:tc>
        <w:tc>
          <w:tcPr>
            <w:tcW w:w="1600" w:type="dxa"/>
            <w:vAlign w:val="bottom"/>
          </w:tcPr>
          <w:p>
            <w:pPr>
              <w:ind w:left="3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w:t>
            </w:r>
          </w:p>
        </w:tc>
        <w:tc>
          <w:tcPr>
            <w:tcW w:w="1140" w:type="dxa"/>
            <w:vAlign w:val="bottom"/>
          </w:tcPr>
          <w:p>
            <w:pPr>
              <w:ind w:left="680"/>
              <w:spacing w:after="0" w:line="207" w:lineRule="exact"/>
              <w:rPr>
                <w:sz w:val="20"/>
                <w:szCs w:val="20"/>
                <w:color w:val="auto"/>
              </w:rPr>
            </w:pPr>
            <w:r>
              <w:rPr>
                <w:rFonts w:ascii="MS PGothic" w:cs="MS PGothic" w:eastAsia="MS PGothic" w:hAnsi="MS PGothic"/>
                <w:sz w:val="18"/>
                <w:szCs w:val="18"/>
                <w:color w:val="auto"/>
                <w:w w:val="90"/>
              </w:rPr>
              <w:t>☐</w:t>
            </w:r>
            <w:r>
              <w:rPr>
                <w:rFonts w:ascii="Times New Roman" w:cs="Times New Roman" w:eastAsia="Times New Roman" w:hAnsi="Times New Roman"/>
                <w:sz w:val="18"/>
                <w:szCs w:val="18"/>
                <w:color w:val="auto"/>
                <w:w w:val="90"/>
              </w:rPr>
              <w:t xml:space="preserve"> NO</w:t>
            </w:r>
          </w:p>
        </w:tc>
        <w:tc>
          <w:tcPr>
            <w:tcW w:w="0" w:type="dxa"/>
            <w:vAlign w:val="bottom"/>
          </w:tcPr>
          <w:p>
            <w:pPr>
              <w:spacing w:after="0"/>
              <w:rPr>
                <w:sz w:val="1"/>
                <w:szCs w:val="1"/>
                <w:color w:val="auto"/>
              </w:rPr>
            </w:pPr>
          </w:p>
        </w:tc>
      </w:tr>
      <w:tr>
        <w:trPr>
          <w:trHeight w:val="234"/>
        </w:trPr>
        <w:tc>
          <w:tcPr>
            <w:tcW w:w="7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Kong?</w:t>
            </w:r>
          </w:p>
        </w:tc>
        <w:tc>
          <w:tcPr>
            <w:tcW w:w="16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7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 Is the subscriber resident or domiciled, or does the subscriber have a registered office, in a</w:t>
            </w:r>
          </w:p>
        </w:tc>
        <w:tc>
          <w:tcPr>
            <w:tcW w:w="1600" w:type="dxa"/>
            <w:vAlign w:val="bottom"/>
          </w:tcPr>
          <w:p>
            <w:pPr>
              <w:ind w:left="3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w:t>
            </w:r>
          </w:p>
        </w:tc>
        <w:tc>
          <w:tcPr>
            <w:tcW w:w="1140" w:type="dxa"/>
            <w:vAlign w:val="bottom"/>
          </w:tcPr>
          <w:p>
            <w:pPr>
              <w:ind w:left="680"/>
              <w:spacing w:after="0" w:line="207" w:lineRule="exact"/>
              <w:rPr>
                <w:sz w:val="20"/>
                <w:szCs w:val="20"/>
                <w:color w:val="auto"/>
              </w:rPr>
            </w:pPr>
            <w:r>
              <w:rPr>
                <w:rFonts w:ascii="MS PGothic" w:cs="MS PGothic" w:eastAsia="MS PGothic" w:hAnsi="MS PGothic"/>
                <w:sz w:val="18"/>
                <w:szCs w:val="18"/>
                <w:color w:val="auto"/>
                <w:w w:val="90"/>
              </w:rPr>
              <w:t>☐</w:t>
            </w:r>
            <w:r>
              <w:rPr>
                <w:rFonts w:ascii="Times New Roman" w:cs="Times New Roman" w:eastAsia="Times New Roman" w:hAnsi="Times New Roman"/>
                <w:sz w:val="18"/>
                <w:szCs w:val="18"/>
                <w:color w:val="auto"/>
                <w:w w:val="90"/>
              </w:rPr>
              <w:t xml:space="preserve"> NO</w:t>
            </w:r>
          </w:p>
        </w:tc>
        <w:tc>
          <w:tcPr>
            <w:tcW w:w="0" w:type="dxa"/>
            <w:vAlign w:val="bottom"/>
          </w:tcPr>
          <w:p>
            <w:pPr>
              <w:spacing w:after="0"/>
              <w:rPr>
                <w:sz w:val="1"/>
                <w:szCs w:val="1"/>
                <w:color w:val="auto"/>
              </w:rPr>
            </w:pPr>
          </w:p>
        </w:tc>
      </w:tr>
      <w:tr>
        <w:trPr>
          <w:trHeight w:val="194"/>
        </w:trPr>
        <w:tc>
          <w:tcPr>
            <w:tcW w:w="7620" w:type="dxa"/>
            <w:vAlign w:val="bottom"/>
            <w:gridSpan w:val="5"/>
          </w:tcPr>
          <w:p>
            <w:pPr>
              <w:spacing w:after="0" w:line="194" w:lineRule="exact"/>
              <w:rPr>
                <w:sz w:val="20"/>
                <w:szCs w:val="20"/>
                <w:color w:val="auto"/>
              </w:rPr>
            </w:pPr>
            <w:r>
              <w:rPr>
                <w:rFonts w:ascii="Times New Roman" w:cs="Times New Roman" w:eastAsia="Times New Roman" w:hAnsi="Times New Roman"/>
                <w:sz w:val="18"/>
                <w:szCs w:val="18"/>
                <w:color w:val="auto"/>
              </w:rPr>
              <w:t>member state of the European Economic Area (“EEA”) or in the United Kingdom (“U.K.”)?</w:t>
            </w:r>
          </w:p>
        </w:tc>
        <w:tc>
          <w:tcPr>
            <w:tcW w:w="16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0" w:type="dxa"/>
            <w:vAlign w:val="bottom"/>
            <w:vMerge w:val="restart"/>
          </w:tcPr>
          <w:p>
            <w:pPr>
              <w:ind w:left="3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w:t>
            </w:r>
          </w:p>
        </w:tc>
        <w:tc>
          <w:tcPr>
            <w:tcW w:w="1140" w:type="dxa"/>
            <w:vAlign w:val="bottom"/>
            <w:vMerge w:val="restart"/>
          </w:tcPr>
          <w:p>
            <w:pPr>
              <w:ind w:left="680"/>
              <w:spacing w:after="0" w:line="207" w:lineRule="exact"/>
              <w:rPr>
                <w:sz w:val="20"/>
                <w:szCs w:val="20"/>
                <w:color w:val="auto"/>
              </w:rPr>
            </w:pPr>
            <w:r>
              <w:rPr>
                <w:rFonts w:ascii="MS PGothic" w:cs="MS PGothic" w:eastAsia="MS PGothic" w:hAnsi="MS PGothic"/>
                <w:sz w:val="18"/>
                <w:szCs w:val="18"/>
                <w:color w:val="auto"/>
                <w:w w:val="90"/>
              </w:rPr>
              <w:t>☐</w:t>
            </w:r>
            <w:r>
              <w:rPr>
                <w:rFonts w:ascii="Times New Roman" w:cs="Times New Roman" w:eastAsia="Times New Roman" w:hAnsi="Times New Roman"/>
                <w:sz w:val="18"/>
                <w:szCs w:val="18"/>
                <w:color w:val="auto"/>
                <w:w w:val="90"/>
              </w:rPr>
              <w:t xml:space="preserve"> NO</w:t>
            </w:r>
          </w:p>
        </w:tc>
        <w:tc>
          <w:tcPr>
            <w:tcW w:w="0" w:type="dxa"/>
            <w:vAlign w:val="bottom"/>
          </w:tcPr>
          <w:p>
            <w:pPr>
              <w:spacing w:after="0" w:line="20" w:lineRule="exact"/>
              <w:rPr>
                <w:sz w:val="1"/>
                <w:szCs w:val="1"/>
                <w:color w:val="auto"/>
              </w:rPr>
            </w:pPr>
          </w:p>
        </w:tc>
      </w:tr>
      <w:tr>
        <w:trPr>
          <w:trHeight w:val="326"/>
        </w:trPr>
        <w:tc>
          <w:tcPr>
            <w:tcW w:w="7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 Is the Beneficial Owner of the subscriber (if any) resident or domiciled, or does the Beneficial</w:t>
            </w:r>
          </w:p>
        </w:tc>
        <w:tc>
          <w:tcPr>
            <w:tcW w:w="160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Owner of the subscriber (if any) have a registered office, in a member state of the EEA or in the</w:t>
            </w:r>
          </w:p>
        </w:tc>
        <w:tc>
          <w:tcPr>
            <w:tcW w:w="1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U.K.?</w:t>
            </w:r>
          </w:p>
        </w:tc>
        <w:tc>
          <w:tcPr>
            <w:tcW w:w="16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7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 Is the discretionary investment manager (if any) resident or domiciled, or does the discretionary</w:t>
            </w:r>
          </w:p>
        </w:tc>
        <w:tc>
          <w:tcPr>
            <w:tcW w:w="1600" w:type="dxa"/>
            <w:vAlign w:val="bottom"/>
          </w:tcPr>
          <w:p>
            <w:pPr>
              <w:ind w:left="3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w:t>
            </w:r>
          </w:p>
        </w:tc>
        <w:tc>
          <w:tcPr>
            <w:tcW w:w="1140" w:type="dxa"/>
            <w:vAlign w:val="bottom"/>
          </w:tcPr>
          <w:p>
            <w:pPr>
              <w:ind w:left="680"/>
              <w:spacing w:after="0" w:line="207" w:lineRule="exact"/>
              <w:rPr>
                <w:sz w:val="20"/>
                <w:szCs w:val="20"/>
                <w:color w:val="auto"/>
              </w:rPr>
            </w:pPr>
            <w:r>
              <w:rPr>
                <w:rFonts w:ascii="MS PGothic" w:cs="MS PGothic" w:eastAsia="MS PGothic" w:hAnsi="MS PGothic"/>
                <w:sz w:val="18"/>
                <w:szCs w:val="18"/>
                <w:color w:val="auto"/>
                <w:w w:val="90"/>
              </w:rPr>
              <w:t>☐</w:t>
            </w:r>
            <w:r>
              <w:rPr>
                <w:rFonts w:ascii="Times New Roman" w:cs="Times New Roman" w:eastAsia="Times New Roman" w:hAnsi="Times New Roman"/>
                <w:sz w:val="18"/>
                <w:szCs w:val="18"/>
                <w:color w:val="auto"/>
                <w:w w:val="90"/>
              </w:rPr>
              <w:t xml:space="preserve"> NO</w:t>
            </w:r>
          </w:p>
        </w:tc>
        <w:tc>
          <w:tcPr>
            <w:tcW w:w="0" w:type="dxa"/>
            <w:vAlign w:val="bottom"/>
          </w:tcPr>
          <w:p>
            <w:pPr>
              <w:spacing w:after="0"/>
              <w:rPr>
                <w:sz w:val="1"/>
                <w:szCs w:val="1"/>
                <w:color w:val="auto"/>
              </w:rPr>
            </w:pPr>
          </w:p>
        </w:tc>
      </w:tr>
      <w:tr>
        <w:trPr>
          <w:trHeight w:val="216"/>
        </w:trPr>
        <w:tc>
          <w:tcPr>
            <w:tcW w:w="7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investment manager (if any) of the subscriber have a registered office, in a member state of the EEA</w:t>
            </w:r>
          </w:p>
        </w:tc>
        <w:tc>
          <w:tcPr>
            <w:tcW w:w="1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or in the U.K.?</w:t>
            </w:r>
          </w:p>
        </w:tc>
        <w:tc>
          <w:tcPr>
            <w:tcW w:w="16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4"/>
        </w:trPr>
        <w:tc>
          <w:tcPr>
            <w:tcW w:w="7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 Is the subscriber a resident of or subject to the securities laws of Canada?</w:t>
            </w:r>
          </w:p>
        </w:tc>
        <w:tc>
          <w:tcPr>
            <w:tcW w:w="1600" w:type="dxa"/>
            <w:vAlign w:val="bottom"/>
          </w:tcPr>
          <w:p>
            <w:pPr>
              <w:ind w:left="3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w:t>
            </w:r>
          </w:p>
        </w:tc>
        <w:tc>
          <w:tcPr>
            <w:tcW w:w="1140" w:type="dxa"/>
            <w:vAlign w:val="bottom"/>
          </w:tcPr>
          <w:p>
            <w:pPr>
              <w:ind w:left="680"/>
              <w:spacing w:after="0" w:line="207" w:lineRule="exact"/>
              <w:rPr>
                <w:sz w:val="20"/>
                <w:szCs w:val="20"/>
                <w:color w:val="auto"/>
              </w:rPr>
            </w:pPr>
            <w:r>
              <w:rPr>
                <w:rFonts w:ascii="MS PGothic" w:cs="MS PGothic" w:eastAsia="MS PGothic" w:hAnsi="MS PGothic"/>
                <w:sz w:val="18"/>
                <w:szCs w:val="18"/>
                <w:color w:val="auto"/>
                <w:w w:val="90"/>
              </w:rPr>
              <w:t>☐</w:t>
            </w:r>
            <w:r>
              <w:rPr>
                <w:rFonts w:ascii="Times New Roman" w:cs="Times New Roman" w:eastAsia="Times New Roman" w:hAnsi="Times New Roman"/>
                <w:sz w:val="18"/>
                <w:szCs w:val="18"/>
                <w:color w:val="auto"/>
                <w:w w:val="90"/>
              </w:rPr>
              <w:t xml:space="preserve"> NO</w:t>
            </w:r>
          </w:p>
        </w:tc>
        <w:tc>
          <w:tcPr>
            <w:tcW w:w="0" w:type="dxa"/>
            <w:vAlign w:val="bottom"/>
          </w:tcPr>
          <w:p>
            <w:pPr>
              <w:spacing w:after="0"/>
              <w:rPr>
                <w:sz w:val="1"/>
                <w:szCs w:val="1"/>
                <w:color w:val="auto"/>
              </w:rPr>
            </w:pPr>
          </w:p>
        </w:tc>
      </w:tr>
      <w:tr>
        <w:trPr>
          <w:trHeight w:val="286"/>
        </w:trPr>
        <w:tc>
          <w:tcPr>
            <w:tcW w:w="7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(G) Is the subscriber resident or domiciled, or does the subscriber have a registered office, in</w:t>
            </w:r>
          </w:p>
        </w:tc>
        <w:tc>
          <w:tcPr>
            <w:tcW w:w="1600" w:type="dxa"/>
            <w:vAlign w:val="bottom"/>
          </w:tcPr>
          <w:p>
            <w:pPr>
              <w:ind w:left="3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w:t>
            </w:r>
          </w:p>
        </w:tc>
        <w:tc>
          <w:tcPr>
            <w:tcW w:w="1140" w:type="dxa"/>
            <w:vAlign w:val="bottom"/>
          </w:tcPr>
          <w:p>
            <w:pPr>
              <w:ind w:left="680"/>
              <w:spacing w:after="0" w:line="207" w:lineRule="exact"/>
              <w:rPr>
                <w:sz w:val="20"/>
                <w:szCs w:val="20"/>
                <w:color w:val="auto"/>
              </w:rPr>
            </w:pPr>
            <w:r>
              <w:rPr>
                <w:rFonts w:ascii="MS PGothic" w:cs="MS PGothic" w:eastAsia="MS PGothic" w:hAnsi="MS PGothic"/>
                <w:sz w:val="18"/>
                <w:szCs w:val="18"/>
                <w:color w:val="auto"/>
                <w:w w:val="90"/>
              </w:rPr>
              <w:t>☐</w:t>
            </w:r>
            <w:r>
              <w:rPr>
                <w:rFonts w:ascii="Times New Roman" w:cs="Times New Roman" w:eastAsia="Times New Roman" w:hAnsi="Times New Roman"/>
                <w:sz w:val="18"/>
                <w:szCs w:val="18"/>
                <w:color w:val="auto"/>
                <w:w w:val="90"/>
              </w:rPr>
              <w:t xml:space="preserve"> NO</w:t>
            </w:r>
          </w:p>
        </w:tc>
        <w:tc>
          <w:tcPr>
            <w:tcW w:w="0" w:type="dxa"/>
            <w:vAlign w:val="bottom"/>
          </w:tcPr>
          <w:p>
            <w:pPr>
              <w:spacing w:after="0"/>
              <w:rPr>
                <w:sz w:val="1"/>
                <w:szCs w:val="1"/>
                <w:color w:val="auto"/>
              </w:rPr>
            </w:pPr>
          </w:p>
        </w:tc>
      </w:tr>
      <w:tr>
        <w:trPr>
          <w:trHeight w:val="234"/>
        </w:trPr>
        <w:tc>
          <w:tcPr>
            <w:tcW w:w="7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Switzerland?</w:t>
            </w:r>
          </w:p>
        </w:tc>
        <w:tc>
          <w:tcPr>
            <w:tcW w:w="16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7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(H) Are the funds of the subscriber, which shall be invested, managed by a discretionary manager</w:t>
            </w:r>
          </w:p>
        </w:tc>
        <w:tc>
          <w:tcPr>
            <w:tcW w:w="1600" w:type="dxa"/>
            <w:vAlign w:val="bottom"/>
          </w:tcPr>
          <w:p>
            <w:pPr>
              <w:ind w:left="3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w:t>
            </w:r>
          </w:p>
        </w:tc>
        <w:tc>
          <w:tcPr>
            <w:tcW w:w="1140" w:type="dxa"/>
            <w:vAlign w:val="bottom"/>
          </w:tcPr>
          <w:p>
            <w:pPr>
              <w:ind w:left="680"/>
              <w:spacing w:after="0" w:line="207" w:lineRule="exact"/>
              <w:rPr>
                <w:sz w:val="20"/>
                <w:szCs w:val="20"/>
                <w:color w:val="auto"/>
              </w:rPr>
            </w:pPr>
            <w:r>
              <w:rPr>
                <w:rFonts w:ascii="MS PGothic" w:cs="MS PGothic" w:eastAsia="MS PGothic" w:hAnsi="MS PGothic"/>
                <w:sz w:val="18"/>
                <w:szCs w:val="18"/>
                <w:color w:val="auto"/>
                <w:w w:val="90"/>
              </w:rPr>
              <w:t>☐</w:t>
            </w:r>
            <w:r>
              <w:rPr>
                <w:rFonts w:ascii="Times New Roman" w:cs="Times New Roman" w:eastAsia="Times New Roman" w:hAnsi="Times New Roman"/>
                <w:sz w:val="18"/>
                <w:szCs w:val="18"/>
                <w:color w:val="auto"/>
                <w:w w:val="90"/>
              </w:rPr>
              <w:t xml:space="preserve"> NO</w:t>
            </w:r>
          </w:p>
        </w:tc>
        <w:tc>
          <w:tcPr>
            <w:tcW w:w="0" w:type="dxa"/>
            <w:vAlign w:val="bottom"/>
          </w:tcPr>
          <w:p>
            <w:pPr>
              <w:spacing w:after="0"/>
              <w:rPr>
                <w:sz w:val="1"/>
                <w:szCs w:val="1"/>
                <w:color w:val="auto"/>
              </w:rPr>
            </w:pPr>
          </w:p>
        </w:tc>
      </w:tr>
      <w:tr>
        <w:trPr>
          <w:trHeight w:val="234"/>
        </w:trPr>
        <w:tc>
          <w:tcPr>
            <w:tcW w:w="7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who is resident, domiciled or has a registered office in Switzerland?</w:t>
            </w:r>
          </w:p>
        </w:tc>
        <w:tc>
          <w:tcPr>
            <w:tcW w:w="16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If the subscriber answered YES to Section XI (A) above, please proceed to Section XII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the subscriber answered YES to Section XI (B) above, please proceed to Section XIII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the subscriber answered YES to any of Sections XI (C) – (E) above, please proceed to Section XIV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the subscriber answered YES to Section XI(F) above, please proceed to Section XV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the subscriber answered YES to either Sections XI(G) or XI(H) above, please proceed to Section XVI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If the subscriber answered NO to </w:t>
      </w:r>
      <w:r>
        <w:rPr>
          <w:rFonts w:ascii="Times New Roman" w:cs="Times New Roman" w:eastAsia="Times New Roman" w:hAnsi="Times New Roman"/>
          <w:sz w:val="18"/>
          <w:szCs w:val="18"/>
          <w:b w:val="1"/>
          <w:bCs w:val="1"/>
          <w:u w:val="single" w:color="auto"/>
          <w:color w:val="auto"/>
        </w:rPr>
        <w:t>all</w:t>
      </w:r>
      <w:r>
        <w:rPr>
          <w:rFonts w:ascii="Times New Roman" w:cs="Times New Roman" w:eastAsia="Times New Roman" w:hAnsi="Times New Roman"/>
          <w:sz w:val="18"/>
          <w:szCs w:val="18"/>
          <w:b w:val="1"/>
          <w:bCs w:val="1"/>
          <w:color w:val="auto"/>
        </w:rPr>
        <w:t xml:space="preserve"> of Sections XI(A) – (H) above, the subscriber should continue to Section XVII below.</w:t>
      </w:r>
    </w:p>
    <w:p>
      <w:pPr>
        <w:spacing w:after="0" w:line="24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360"/>
          </w:cols>
          <w:pgMar w:left="440" w:top="266" w:right="1099" w:bottom="1440" w:gutter="0" w:footer="0" w:header="0"/>
        </w:sectPr>
      </w:pPr>
    </w:p>
    <w:bookmarkStart w:id="209" w:name="page210"/>
    <w:bookmarkEnd w:id="209"/>
    <w:tbl>
      <w:tblPr>
        <w:tblLayout w:type="fixed"/>
        <w:tblInd w:w="4" w:type="dxa"/>
        <w:tblCellMar>
          <w:top w:w="0" w:type="dxa"/>
          <w:left w:w="0" w:type="dxa"/>
          <w:bottom w:w="0" w:type="dxa"/>
          <w:right w:w="0" w:type="dxa"/>
        </w:tblCellMar>
      </w:tblPr>
      <w:tr>
        <w:trPr>
          <w:trHeight w:val="238"/>
        </w:trPr>
        <w:tc>
          <w:tcPr>
            <w:tcW w:w="75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 xml:space="preserve">XII. Supplemental </w:t>
            </w:r>
            <w:r>
              <w:rPr>
                <w:rFonts w:ascii="Times New Roman" w:cs="Times New Roman" w:eastAsia="Times New Roman" w:hAnsi="Times New Roman"/>
                <w:sz w:val="18"/>
                <w:szCs w:val="18"/>
                <w:color w:val="auto"/>
              </w:rPr>
              <w:t>Data for Japanese Investors</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75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 Is the subscriber a qualified institutional investor as defined in Article 2, paragraph 3, item 1 of the</w:t>
            </w:r>
          </w:p>
        </w:tc>
        <w:tc>
          <w:tcPr>
            <w:tcW w:w="1140" w:type="dxa"/>
            <w:vAlign w:val="bottom"/>
          </w:tcPr>
          <w:p>
            <w:pPr>
              <w:ind w:left="100"/>
              <w:spacing w:after="0" w:line="207" w:lineRule="exact"/>
              <w:rPr>
                <w:sz w:val="20"/>
                <w:szCs w:val="20"/>
                <w:color w:val="auto"/>
              </w:rPr>
            </w:pPr>
            <w:r>
              <w:rPr>
                <w:rFonts w:ascii="MS PGothic" w:cs="MS PGothic" w:eastAsia="MS PGothic" w:hAnsi="MS PGothic"/>
                <w:sz w:val="18"/>
                <w:szCs w:val="18"/>
                <w:color w:val="auto"/>
                <w:w w:val="93"/>
              </w:rPr>
              <w:t>☐</w:t>
            </w:r>
            <w:r>
              <w:rPr>
                <w:rFonts w:ascii="Times New Roman" w:cs="Times New Roman" w:eastAsia="Times New Roman" w:hAnsi="Times New Roman"/>
                <w:sz w:val="18"/>
                <w:szCs w:val="18"/>
                <w:color w:val="auto"/>
                <w:w w:val="93"/>
              </w:rPr>
              <w:t xml:space="preserve"> YES </w:t>
            </w:r>
            <w:r>
              <w:rPr>
                <w:rFonts w:ascii="MS PGothic" w:cs="MS PGothic" w:eastAsia="MS PGothic" w:hAnsi="MS PGothic"/>
                <w:sz w:val="18"/>
                <w:szCs w:val="18"/>
                <w:color w:val="auto"/>
                <w:w w:val="93"/>
              </w:rPr>
              <w:t>☐</w:t>
            </w:r>
            <w:r>
              <w:rPr>
                <w:rFonts w:ascii="Times New Roman" w:cs="Times New Roman" w:eastAsia="Times New Roman" w:hAnsi="Times New Roman"/>
                <w:sz w:val="18"/>
                <w:szCs w:val="18"/>
                <w:color w:val="auto"/>
                <w:w w:val="93"/>
              </w:rPr>
              <w:t xml:space="preserve"> NO</w:t>
            </w:r>
          </w:p>
        </w:tc>
        <w:tc>
          <w:tcPr>
            <w:tcW w:w="0" w:type="dxa"/>
            <w:vAlign w:val="bottom"/>
          </w:tcPr>
          <w:p>
            <w:pPr>
              <w:spacing w:after="0"/>
              <w:rPr>
                <w:sz w:val="1"/>
                <w:szCs w:val="1"/>
                <w:color w:val="auto"/>
              </w:rPr>
            </w:pPr>
          </w:p>
        </w:tc>
      </w:tr>
      <w:tr>
        <w:trPr>
          <w:trHeight w:val="194"/>
        </w:trPr>
        <w:tc>
          <w:tcPr>
            <w:tcW w:w="7520" w:type="dxa"/>
            <w:vAlign w:val="bottom"/>
            <w:gridSpan w:val="5"/>
          </w:tcPr>
          <w:p>
            <w:pPr>
              <w:spacing w:after="0" w:line="194" w:lineRule="exact"/>
              <w:rPr>
                <w:sz w:val="20"/>
                <w:szCs w:val="20"/>
                <w:color w:val="auto"/>
              </w:rPr>
            </w:pPr>
            <w:r>
              <w:rPr>
                <w:rFonts w:ascii="Times New Roman" w:cs="Times New Roman" w:eastAsia="Times New Roman" w:hAnsi="Times New Roman"/>
                <w:sz w:val="18"/>
                <w:szCs w:val="18"/>
                <w:color w:val="auto"/>
              </w:rPr>
              <w:t>Financial Instruments and Exchange Act of Japan (Act No. 25 of 1948, as amended, the “FIEA”) (a</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4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“QII”)?</w:t>
            </w:r>
          </w:p>
        </w:tc>
        <w:tc>
          <w:tcPr>
            <w:tcW w:w="400" w:type="dxa"/>
            <w:vAlign w:val="bottom"/>
            <w:tcBorders>
              <w:top w:val="single" w:sz="8" w:color="auto"/>
            </w:tcBorders>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0" w:type="dxa"/>
            <w:vAlign w:val="bottom"/>
            <w:gridSpan w:val="3"/>
          </w:tcPr>
          <w:p>
            <w:pPr>
              <w:spacing w:after="0" w:line="20" w:lineRule="exact"/>
              <w:rPr>
                <w:sz w:val="1"/>
                <w:szCs w:val="1"/>
                <w:color w:val="auto"/>
              </w:rPr>
            </w:pPr>
          </w:p>
        </w:tc>
        <w:tc>
          <w:tcPr>
            <w:tcW w:w="1140" w:type="dxa"/>
            <w:vAlign w:val="bottom"/>
            <w:vMerge w:val="restart"/>
          </w:tcPr>
          <w:p>
            <w:pPr>
              <w:ind w:left="100"/>
              <w:spacing w:after="0" w:line="207" w:lineRule="exact"/>
              <w:rPr>
                <w:sz w:val="20"/>
                <w:szCs w:val="20"/>
                <w:color w:val="auto"/>
              </w:rPr>
            </w:pPr>
            <w:r>
              <w:rPr>
                <w:rFonts w:ascii="MS PGothic" w:cs="MS PGothic" w:eastAsia="MS PGothic" w:hAnsi="MS PGothic"/>
                <w:sz w:val="18"/>
                <w:szCs w:val="18"/>
                <w:color w:val="auto"/>
                <w:w w:val="93"/>
              </w:rPr>
              <w:t>☐</w:t>
            </w:r>
            <w:r>
              <w:rPr>
                <w:rFonts w:ascii="Times New Roman" w:cs="Times New Roman" w:eastAsia="Times New Roman" w:hAnsi="Times New Roman"/>
                <w:sz w:val="18"/>
                <w:szCs w:val="18"/>
                <w:color w:val="auto"/>
                <w:w w:val="93"/>
              </w:rPr>
              <w:t xml:space="preserve"> YES </w:t>
            </w:r>
            <w:r>
              <w:rPr>
                <w:rFonts w:ascii="MS PGothic" w:cs="MS PGothic" w:eastAsia="MS PGothic" w:hAnsi="MS PGothic"/>
                <w:sz w:val="18"/>
                <w:szCs w:val="18"/>
                <w:color w:val="auto"/>
                <w:w w:val="93"/>
              </w:rPr>
              <w:t>☐</w:t>
            </w:r>
            <w:r>
              <w:rPr>
                <w:rFonts w:ascii="Times New Roman" w:cs="Times New Roman" w:eastAsia="Times New Roman" w:hAnsi="Times New Roman"/>
                <w:sz w:val="18"/>
                <w:szCs w:val="18"/>
                <w:color w:val="auto"/>
                <w:w w:val="93"/>
              </w:rPr>
              <w:t xml:space="preserve"> NO</w:t>
            </w:r>
          </w:p>
        </w:tc>
        <w:tc>
          <w:tcPr>
            <w:tcW w:w="0" w:type="dxa"/>
            <w:vAlign w:val="bottom"/>
          </w:tcPr>
          <w:p>
            <w:pPr>
              <w:spacing w:after="0" w:line="20" w:lineRule="exact"/>
              <w:rPr>
                <w:sz w:val="1"/>
                <w:szCs w:val="1"/>
                <w:color w:val="auto"/>
              </w:rPr>
            </w:pPr>
          </w:p>
        </w:tc>
      </w:tr>
      <w:tr>
        <w:trPr>
          <w:trHeight w:val="326"/>
        </w:trPr>
        <w:tc>
          <w:tcPr>
            <w:tcW w:w="75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 If the answer to Section XII(A) is NO, is the subscriber an eligible non-QII as set forth under</w:t>
            </w:r>
          </w:p>
        </w:tc>
        <w:tc>
          <w:tcPr>
            <w:tcW w:w="11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5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Article 17-12, Paragraph 1 of the Cabinet Order for Enforcement of the Financial Instruments and</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5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Exchange Act (Cabinet Order No. 321 of 1965, as amended)?</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75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xml:space="preserve">(C) Is the subscriber either: (x) a collective investment scheme, such as a </w:t>
            </w:r>
            <w:r>
              <w:rPr>
                <w:rFonts w:ascii="Times New Roman" w:cs="Times New Roman" w:eastAsia="Times New Roman" w:hAnsi="Times New Roman"/>
                <w:sz w:val="18"/>
                <w:szCs w:val="18"/>
                <w:i w:val="1"/>
                <w:iCs w:val="1"/>
                <w:color w:val="auto"/>
              </w:rPr>
              <w:t>nin-i kumiai</w:t>
            </w:r>
            <w:r>
              <w:rPr>
                <w:rFonts w:ascii="Times New Roman" w:cs="Times New Roman" w:eastAsia="Times New Roman" w:hAnsi="Times New Roman"/>
                <w:sz w:val="18"/>
                <w:szCs w:val="18"/>
                <w:color w:val="auto"/>
              </w:rPr>
              <w:t xml:space="preserve"> under the Civil</w:t>
            </w:r>
          </w:p>
        </w:tc>
        <w:tc>
          <w:tcPr>
            <w:tcW w:w="1140" w:type="dxa"/>
            <w:vAlign w:val="bottom"/>
          </w:tcPr>
          <w:p>
            <w:pPr>
              <w:ind w:left="100"/>
              <w:spacing w:after="0" w:line="207" w:lineRule="exact"/>
              <w:rPr>
                <w:sz w:val="20"/>
                <w:szCs w:val="20"/>
                <w:color w:val="auto"/>
              </w:rPr>
            </w:pPr>
            <w:r>
              <w:rPr>
                <w:rFonts w:ascii="MS PGothic" w:cs="MS PGothic" w:eastAsia="MS PGothic" w:hAnsi="MS PGothic"/>
                <w:sz w:val="18"/>
                <w:szCs w:val="18"/>
                <w:color w:val="auto"/>
                <w:w w:val="93"/>
              </w:rPr>
              <w:t>☐</w:t>
            </w:r>
            <w:r>
              <w:rPr>
                <w:rFonts w:ascii="Times New Roman" w:cs="Times New Roman" w:eastAsia="Times New Roman" w:hAnsi="Times New Roman"/>
                <w:sz w:val="18"/>
                <w:szCs w:val="18"/>
                <w:color w:val="auto"/>
                <w:w w:val="93"/>
              </w:rPr>
              <w:t xml:space="preserve"> YES </w:t>
            </w:r>
            <w:r>
              <w:rPr>
                <w:rFonts w:ascii="MS PGothic" w:cs="MS PGothic" w:eastAsia="MS PGothic" w:hAnsi="MS PGothic"/>
                <w:sz w:val="18"/>
                <w:szCs w:val="18"/>
                <w:color w:val="auto"/>
                <w:w w:val="93"/>
              </w:rPr>
              <w:t>☐</w:t>
            </w:r>
            <w:r>
              <w:rPr>
                <w:rFonts w:ascii="Times New Roman" w:cs="Times New Roman" w:eastAsia="Times New Roman" w:hAnsi="Times New Roman"/>
                <w:sz w:val="18"/>
                <w:szCs w:val="18"/>
                <w:color w:val="auto"/>
                <w:w w:val="93"/>
              </w:rPr>
              <w:t xml:space="preserve"> NO</w:t>
            </w:r>
          </w:p>
        </w:tc>
        <w:tc>
          <w:tcPr>
            <w:tcW w:w="0" w:type="dxa"/>
            <w:vAlign w:val="bottom"/>
          </w:tcPr>
          <w:p>
            <w:pPr>
              <w:spacing w:after="0"/>
              <w:rPr>
                <w:sz w:val="1"/>
                <w:szCs w:val="1"/>
                <w:color w:val="auto"/>
              </w:rPr>
            </w:pPr>
          </w:p>
        </w:tc>
      </w:tr>
      <w:tr>
        <w:trPr>
          <w:trHeight w:val="216"/>
        </w:trPr>
        <w:tc>
          <w:tcPr>
            <w:tcW w:w="75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xml:space="preserve">Code (Act No. 89 of 1896, as amended), </w:t>
            </w:r>
            <w:r>
              <w:rPr>
                <w:rFonts w:ascii="Times New Roman" w:cs="Times New Roman" w:eastAsia="Times New Roman" w:hAnsi="Times New Roman"/>
                <w:sz w:val="18"/>
                <w:szCs w:val="18"/>
                <w:i w:val="1"/>
                <w:iCs w:val="1"/>
                <w:color w:val="auto"/>
              </w:rPr>
              <w:t>a toshi jigyo yugen sekinin kumiai under</w:t>
            </w:r>
            <w:r>
              <w:rPr>
                <w:rFonts w:ascii="Times New Roman" w:cs="Times New Roman" w:eastAsia="Times New Roman" w:hAnsi="Times New Roman"/>
                <w:sz w:val="18"/>
                <w:szCs w:val="18"/>
                <w:color w:val="auto"/>
              </w:rPr>
              <w:t xml:space="preserve"> the Limited</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xml:space="preserve">Partnership Act for Investment, a </w:t>
            </w:r>
            <w:r>
              <w:rPr>
                <w:rFonts w:ascii="Times New Roman" w:cs="Times New Roman" w:eastAsia="Times New Roman" w:hAnsi="Times New Roman"/>
                <w:sz w:val="18"/>
                <w:szCs w:val="18"/>
                <w:i w:val="1"/>
                <w:iCs w:val="1"/>
                <w:color w:val="auto"/>
              </w:rPr>
              <w:t>yugen sekinin jigyo kumiai</w:t>
            </w:r>
            <w:r>
              <w:rPr>
                <w:rFonts w:ascii="Times New Roman" w:cs="Times New Roman" w:eastAsia="Times New Roman" w:hAnsi="Times New Roman"/>
                <w:sz w:val="18"/>
                <w:szCs w:val="18"/>
                <w:color w:val="auto"/>
              </w:rPr>
              <w:t xml:space="preserve"> under the Limited Liability Partnership</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5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xml:space="preserve">Act (Act No. 40 of 2005, as amended) or </w:t>
            </w:r>
            <w:r>
              <w:rPr>
                <w:rFonts w:ascii="Times New Roman" w:cs="Times New Roman" w:eastAsia="Times New Roman" w:hAnsi="Times New Roman"/>
                <w:sz w:val="18"/>
                <w:szCs w:val="18"/>
                <w:i w:val="1"/>
                <w:iCs w:val="1"/>
                <w:color w:val="auto"/>
              </w:rPr>
              <w:t>an eigyo-sha of a tokumei</w:t>
            </w:r>
            <w:r>
              <w:rPr>
                <w:rFonts w:ascii="Times New Roman" w:cs="Times New Roman" w:eastAsia="Times New Roman" w:hAnsi="Times New Roman"/>
                <w:sz w:val="18"/>
                <w:szCs w:val="18"/>
                <w:color w:val="auto"/>
              </w:rPr>
              <w:t xml:space="preserve"> kumiai in respect of the business of</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5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investment in the Shares under the Commercial Code (Act No. 48 of 1899, as amended) or any</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equivalent to any of these under foreign law; or (y) a special purpose company (</w:t>
            </w:r>
            <w:r>
              <w:rPr>
                <w:rFonts w:ascii="Times New Roman" w:cs="Times New Roman" w:eastAsia="Times New Roman" w:hAnsi="Times New Roman"/>
                <w:sz w:val="18"/>
                <w:szCs w:val="18"/>
                <w:i w:val="1"/>
                <w:iCs w:val="1"/>
                <w:color w:val="auto"/>
              </w:rPr>
              <w:t>tokubetsu mokuteki</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520" w:type="dxa"/>
            <w:vAlign w:val="bottom"/>
            <w:gridSpan w:val="5"/>
          </w:tcPr>
          <w:p>
            <w:pPr>
              <w:spacing w:after="0"/>
              <w:rPr>
                <w:sz w:val="20"/>
                <w:szCs w:val="20"/>
                <w:color w:val="auto"/>
              </w:rPr>
            </w:pPr>
            <w:r>
              <w:rPr>
                <w:rFonts w:ascii="Times New Roman" w:cs="Times New Roman" w:eastAsia="Times New Roman" w:hAnsi="Times New Roman"/>
                <w:sz w:val="18"/>
                <w:szCs w:val="18"/>
                <w:i w:val="1"/>
                <w:iCs w:val="1"/>
                <w:color w:val="auto"/>
              </w:rPr>
              <w:t>kaisha</w:t>
            </w:r>
            <w:r>
              <w:rPr>
                <w:rFonts w:ascii="Times New Roman" w:cs="Times New Roman" w:eastAsia="Times New Roman" w:hAnsi="Times New Roman"/>
                <w:sz w:val="18"/>
                <w:szCs w:val="18"/>
                <w:color w:val="auto"/>
              </w:rPr>
              <w:t>) under the Cabinet Office Ordinance Concerning Financial Instruments Exchange Business</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(Cabinet Office Ordinance No. 52 of 2007, as amended) including a TMK under the Asset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5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Securitization Act (Act No. 105 of 1998, as amended)?</w:t>
            </w:r>
            <w:r>
              <w:rPr>
                <w:rFonts w:ascii="Times New Roman" w:cs="Times New Roman" w:eastAsia="Times New Roman" w:hAnsi="Times New Roman"/>
                <w:sz w:val="15"/>
                <w:szCs w:val="15"/>
                <w:color w:val="auto"/>
              </w:rPr>
              <w:t>33</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 w:right="2880" w:hanging="4"/>
        <w:spacing w:after="0" w:line="282" w:lineRule="auto"/>
        <w:tabs>
          <w:tab w:leader="none" w:pos="299"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answer to Section XII(C) is YES, please indicate the type of the collective investment scheme or special purpose company referenced in Section (C):</w:t>
      </w:r>
    </w:p>
    <w:p>
      <w:pPr>
        <w:spacing w:after="0" w:line="6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w:t>
      </w:r>
    </w:p>
    <w:p>
      <w:pPr>
        <w:spacing w:after="0" w:line="27" w:lineRule="exact"/>
        <w:rPr>
          <w:sz w:val="20"/>
          <w:szCs w:val="20"/>
          <w:color w:val="auto"/>
        </w:rPr>
      </w:pPr>
    </w:p>
    <w:p>
      <w:pPr>
        <w:ind w:left="4" w:right="2900"/>
        <w:spacing w:after="0" w:line="253" w:lineRule="auto"/>
        <w:rPr>
          <w:sz w:val="20"/>
          <w:szCs w:val="20"/>
          <w:color w:val="auto"/>
        </w:rPr>
      </w:pPr>
      <w:r>
        <w:rPr>
          <w:rFonts w:ascii="Times New Roman" w:cs="Times New Roman" w:eastAsia="Times New Roman" w:hAnsi="Times New Roman"/>
          <w:sz w:val="18"/>
          <w:szCs w:val="18"/>
          <w:color w:val="auto"/>
        </w:rPr>
        <w:t>(E) If the answer to Section XII(C) is YES, please provide the number of: (x) partners (</w:t>
      </w:r>
      <w:r>
        <w:rPr>
          <w:rFonts w:ascii="Times New Roman" w:cs="Times New Roman" w:eastAsia="Times New Roman" w:hAnsi="Times New Roman"/>
          <w:sz w:val="18"/>
          <w:szCs w:val="18"/>
          <w:i w:val="1"/>
          <w:iCs w:val="1"/>
          <w:color w:val="auto"/>
        </w:rPr>
        <w:t xml:space="preserve">tokumei kumiai-in </w:t>
      </w:r>
      <w:r>
        <w:rPr>
          <w:rFonts w:ascii="Times New Roman" w:cs="Times New Roman" w:eastAsia="Times New Roman" w:hAnsi="Times New Roman"/>
          <w:sz w:val="18"/>
          <w:szCs w:val="18"/>
          <w:color w:val="auto"/>
        </w:rPr>
        <w:t>in the case of a</w:t>
      </w:r>
      <w:r>
        <w:rPr>
          <w:rFonts w:ascii="Times New Roman" w:cs="Times New Roman" w:eastAsia="Times New Roman" w:hAnsi="Times New Roman"/>
          <w:sz w:val="18"/>
          <w:szCs w:val="18"/>
          <w:i w:val="1"/>
          <w:iCs w:val="1"/>
          <w:color w:val="auto"/>
        </w:rPr>
        <w:t xml:space="preserve"> tokumei kumiai</w:t>
      </w:r>
      <w:r>
        <w:rPr>
          <w:rFonts w:ascii="Times New Roman" w:cs="Times New Roman" w:eastAsia="Times New Roman" w:hAnsi="Times New Roman"/>
          <w:sz w:val="18"/>
          <w:szCs w:val="18"/>
          <w:color w:val="auto"/>
        </w:rPr>
        <w:t>) in the collective investment scheme; or (y) bondholders,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holders of stock options, holders of commercial papers or members (</w:t>
      </w:r>
      <w:r>
        <w:rPr>
          <w:rFonts w:ascii="Times New Roman" w:cs="Times New Roman" w:eastAsia="Times New Roman" w:hAnsi="Times New Roman"/>
          <w:sz w:val="18"/>
          <w:szCs w:val="18"/>
          <w:i w:val="1"/>
          <w:iCs w:val="1"/>
          <w:color w:val="auto"/>
        </w:rPr>
        <w:t>sha-in</w:t>
      </w:r>
      <w:r>
        <w:rPr>
          <w:rFonts w:ascii="Times New Roman" w:cs="Times New Roman" w:eastAsia="Times New Roman" w:hAnsi="Times New Roman"/>
          <w:sz w:val="18"/>
          <w:szCs w:val="18"/>
          <w:color w:val="auto"/>
        </w:rPr>
        <w:t>) in the special purpose company, who are QIIs and who are not QIIs.</w:t>
      </w:r>
    </w:p>
    <w:p>
      <w:pPr>
        <w:spacing w:after="0" w:line="81"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The number of QIIs:</w:t>
            </w:r>
          </w:p>
        </w:tc>
        <w:tc>
          <w:tcPr>
            <w:tcW w:w="1080" w:type="dxa"/>
            <w:vAlign w:val="bottom"/>
            <w:tcBorders>
              <w:bottom w:val="single" w:sz="8" w:color="auto"/>
            </w:tcBorders>
            <w:gridSpan w:val="3"/>
          </w:tcPr>
          <w:p>
            <w:pPr>
              <w:spacing w:after="0"/>
              <w:rPr>
                <w:sz w:val="17"/>
                <w:szCs w:val="17"/>
                <w:color w:val="auto"/>
              </w:rPr>
            </w:pPr>
          </w:p>
        </w:tc>
        <w:tc>
          <w:tcPr>
            <w:tcW w:w="48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318"/>
        </w:trPr>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number of non-QIIs:</w:t>
            </w:r>
          </w:p>
        </w:tc>
        <w:tc>
          <w:tcPr>
            <w:tcW w:w="720" w:type="dxa"/>
            <w:vAlign w:val="bottom"/>
            <w:tcBorders>
              <w:bottom w:val="single" w:sz="8" w:color="auto"/>
            </w:tcBorders>
          </w:tcPr>
          <w:p>
            <w:pPr>
              <w:spacing w:after="0"/>
              <w:rPr>
                <w:sz w:val="24"/>
                <w:szCs w:val="24"/>
                <w:color w:val="auto"/>
              </w:rPr>
            </w:pPr>
          </w:p>
        </w:tc>
        <w:tc>
          <w:tcPr>
            <w:tcW w:w="4880" w:type="dxa"/>
            <w:vAlign w:val="bottom"/>
            <w:gridSpan w:val="2"/>
          </w:tcPr>
          <w:p>
            <w:pPr>
              <w:spacing w:after="0"/>
              <w:rPr>
                <w:sz w:val="24"/>
                <w:szCs w:val="24"/>
                <w:color w:val="auto"/>
              </w:rPr>
            </w:pPr>
          </w:p>
        </w:tc>
        <w:tc>
          <w:tcPr>
            <w:tcW w:w="1200" w:type="dxa"/>
            <w:vAlign w:val="bottom"/>
          </w:tcPr>
          <w:p>
            <w:pPr>
              <w:spacing w:after="0"/>
              <w:rPr>
                <w:sz w:val="24"/>
                <w:szCs w:val="24"/>
                <w:color w:val="auto"/>
              </w:rPr>
            </w:pPr>
          </w:p>
        </w:tc>
      </w:tr>
      <w:tr>
        <w:trPr>
          <w:trHeight w:val="340"/>
        </w:trPr>
        <w:tc>
          <w:tcPr>
            <w:tcW w:w="7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 If the answer to Section XII(A) is NO, is the subscriber a “Professional Investor” (</w:t>
            </w:r>
            <w:r>
              <w:rPr>
                <w:rFonts w:ascii="Times New Roman" w:cs="Times New Roman" w:eastAsia="Times New Roman" w:hAnsi="Times New Roman"/>
                <w:sz w:val="18"/>
                <w:szCs w:val="18"/>
                <w:i w:val="1"/>
                <w:iCs w:val="1"/>
                <w:color w:val="auto"/>
              </w:rPr>
              <w:t>tokutei toshika</w:t>
            </w:r>
            <w:r>
              <w:rPr>
                <w:rFonts w:ascii="Times New Roman" w:cs="Times New Roman" w:eastAsia="Times New Roman" w:hAnsi="Times New Roman"/>
                <w:sz w:val="18"/>
                <w:szCs w:val="18"/>
                <w:color w:val="auto"/>
              </w:rPr>
              <w:t>)</w:t>
            </w:r>
          </w:p>
        </w:tc>
        <w:tc>
          <w:tcPr>
            <w:tcW w:w="1200" w:type="dxa"/>
            <w:vAlign w:val="bottom"/>
          </w:tcPr>
          <w:p>
            <w:pPr>
              <w:ind w:left="160"/>
              <w:spacing w:after="0" w:line="207" w:lineRule="exact"/>
              <w:rPr>
                <w:sz w:val="20"/>
                <w:szCs w:val="20"/>
                <w:color w:val="auto"/>
              </w:rPr>
            </w:pPr>
            <w:r>
              <w:rPr>
                <w:rFonts w:ascii="MS PGothic" w:cs="MS PGothic" w:eastAsia="MS PGothic" w:hAnsi="MS PGothic"/>
                <w:sz w:val="18"/>
                <w:szCs w:val="18"/>
                <w:color w:val="auto"/>
                <w:w w:val="93"/>
              </w:rPr>
              <w:t>☐</w:t>
            </w:r>
            <w:r>
              <w:rPr>
                <w:rFonts w:ascii="Times New Roman" w:cs="Times New Roman" w:eastAsia="Times New Roman" w:hAnsi="Times New Roman"/>
                <w:sz w:val="18"/>
                <w:szCs w:val="18"/>
                <w:color w:val="auto"/>
                <w:w w:val="93"/>
              </w:rPr>
              <w:t xml:space="preserve"> YES </w:t>
            </w:r>
            <w:r>
              <w:rPr>
                <w:rFonts w:ascii="MS PGothic" w:cs="MS PGothic" w:eastAsia="MS PGothic" w:hAnsi="MS PGothic"/>
                <w:sz w:val="18"/>
                <w:szCs w:val="18"/>
                <w:color w:val="auto"/>
                <w:w w:val="93"/>
              </w:rPr>
              <w:t>☐</w:t>
            </w:r>
            <w:r>
              <w:rPr>
                <w:rFonts w:ascii="Times New Roman" w:cs="Times New Roman" w:eastAsia="Times New Roman" w:hAnsi="Times New Roman"/>
                <w:sz w:val="18"/>
                <w:szCs w:val="18"/>
                <w:color w:val="auto"/>
                <w:w w:val="93"/>
              </w:rPr>
              <w:t xml:space="preserve"> NO</w:t>
            </w:r>
          </w:p>
        </w:tc>
      </w:tr>
      <w:tr>
        <w:trPr>
          <w:trHeight w:val="234"/>
        </w:trPr>
        <w:tc>
          <w:tcPr>
            <w:tcW w:w="7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as defined under the FIEA?</w:t>
            </w:r>
          </w:p>
        </w:tc>
        <w:tc>
          <w:tcPr>
            <w:tcW w:w="1200" w:type="dxa"/>
            <w:vAlign w:val="bottom"/>
          </w:tcPr>
          <w:p>
            <w:pPr>
              <w:spacing w:after="0"/>
              <w:rPr>
                <w:sz w:val="20"/>
                <w:szCs w:val="20"/>
                <w:color w:val="auto"/>
              </w:rPr>
            </w:pPr>
          </w:p>
        </w:tc>
      </w:tr>
    </w:tbl>
    <w:p>
      <w:pPr>
        <w:spacing w:after="0" w:line="30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(G) The purpose of the transaction is:</w:t>
      </w:r>
    </w:p>
    <w:p>
      <w:pPr>
        <w:spacing w:after="0" w:line="117" w:lineRule="exact"/>
        <w:rPr>
          <w:sz w:val="20"/>
          <w:szCs w:val="20"/>
          <w:color w:val="auto"/>
        </w:rPr>
      </w:pPr>
    </w:p>
    <w:p>
      <w:pPr>
        <w:ind w:left="204" w:hanging="204"/>
        <w:spacing w:after="0"/>
        <w:tabs>
          <w:tab w:leader="none" w:pos="204" w:val="left"/>
        </w:tabs>
        <w:numPr>
          <w:ilvl w:val="0"/>
          <w:numId w:val="20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Long-term investment, or</w:t>
      </w:r>
    </w:p>
    <w:p>
      <w:pPr>
        <w:spacing w:after="0" w:line="117" w:lineRule="exact"/>
        <w:rPr>
          <w:rFonts w:ascii="MS PGothic" w:cs="MS PGothic" w:eastAsia="MS PGothic" w:hAnsi="MS PGothic"/>
          <w:sz w:val="18"/>
          <w:szCs w:val="18"/>
          <w:color w:val="auto"/>
        </w:rPr>
      </w:pPr>
    </w:p>
    <w:p>
      <w:pPr>
        <w:ind w:left="204" w:hanging="204"/>
        <w:spacing w:after="0"/>
        <w:tabs>
          <w:tab w:leader="none" w:pos="204" w:val="left"/>
        </w:tabs>
        <w:numPr>
          <w:ilvl w:val="0"/>
          <w:numId w:val="20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Other (please indicate):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188595</wp:posOffset>
            </wp:positionV>
            <wp:extent cx="77152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71525" cy="8255"/>
                    </a:xfrm>
                    <a:prstGeom prst="rect">
                      <a:avLst/>
                    </a:prstGeom>
                    <a:noFill/>
                  </pic:spPr>
                </pic:pic>
              </a:graphicData>
            </a:graphic>
          </wp:anchor>
        </w:drawing>
        <w:drawing>
          <wp:anchor simplePos="0" relativeHeight="251657728" behindDoc="1" locked="0" layoutInCell="0" allowOverlap="1">
            <wp:simplePos x="0" y="0"/>
            <wp:positionH relativeFrom="column">
              <wp:posOffset>1231900</wp:posOffset>
            </wp:positionH>
            <wp:positionV relativeFrom="paragraph">
              <wp:posOffset>-7620</wp:posOffset>
            </wp:positionV>
            <wp:extent cx="185674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856740" cy="8255"/>
                    </a:xfrm>
                    <a:prstGeom prst="rect">
                      <a:avLst/>
                    </a:prstGeom>
                    <a:noFill/>
                  </pic:spPr>
                </pic:pic>
              </a:graphicData>
            </a:graphic>
          </wp:anchor>
        </w:drawing>
      </w:r>
    </w:p>
    <w:p>
      <w:pPr>
        <w:spacing w:after="0" w:line="300" w:lineRule="exact"/>
        <w:rPr>
          <w:sz w:val="20"/>
          <w:szCs w:val="20"/>
          <w:color w:val="auto"/>
        </w:rPr>
      </w:pPr>
    </w:p>
    <w:p>
      <w:pPr>
        <w:ind w:left="424" w:hanging="424"/>
        <w:spacing w:after="0" w:line="266" w:lineRule="auto"/>
        <w:tabs>
          <w:tab w:leader="none" w:pos="424" w:val="left"/>
        </w:tabs>
        <w:numPr>
          <w:ilvl w:val="0"/>
          <w:numId w:val="20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These types of entities can be so-called “Disqualified Investors” depending on the investors behind them. The Company cannot accept a subscription from a Disqualified Investor. If the subscriber falls under any of these types of entities, the Company and the Adviser need to specifically consider whether the subscription can be accepted under the FIEA.</w:t>
      </w:r>
    </w:p>
    <w:p>
      <w:pPr>
        <w:spacing w:after="0" w:line="108" w:lineRule="exact"/>
        <w:rPr>
          <w:sz w:val="20"/>
          <w:szCs w:val="20"/>
          <w:color w:val="auto"/>
        </w:rPr>
      </w:pPr>
    </w:p>
    <w:p>
      <w:pPr>
        <w:ind w:left="5464"/>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364"/>
          </w:cols>
          <w:pgMar w:left="436" w:top="266" w:right="1099" w:bottom="1440" w:gutter="0" w:footer="0" w:header="0"/>
        </w:sectPr>
      </w:pPr>
    </w:p>
    <w:bookmarkStart w:id="210" w:name="page211"/>
    <w:bookmarkEnd w:id="210"/>
    <w:tbl>
      <w:tblPr>
        <w:tblLayout w:type="fixed"/>
        <w:tblInd w:w="0" w:type="dxa"/>
        <w:tblCellMar>
          <w:top w:w="0" w:type="dxa"/>
          <w:left w:w="0" w:type="dxa"/>
          <w:bottom w:w="0" w:type="dxa"/>
          <w:right w:w="0" w:type="dxa"/>
        </w:tblCellMar>
      </w:tblPr>
      <w:tr>
        <w:trPr>
          <w:trHeight w:val="234"/>
        </w:trPr>
        <w:tc>
          <w:tcPr>
            <w:tcW w:w="8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  Person who effectively controls the subscriber:</w:t>
            </w:r>
          </w:p>
        </w:tc>
        <w:tc>
          <w:tcPr>
            <w:tcW w:w="12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479"/>
        </w:trPr>
        <w:tc>
          <w:tcPr>
            <w:tcW w:w="80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 Is the subscriber a juristic person?</w:t>
            </w:r>
          </w:p>
        </w:tc>
        <w:tc>
          <w:tcPr>
            <w:tcW w:w="1280" w:type="dxa"/>
            <w:vAlign w:val="bottom"/>
          </w:tcPr>
          <w:p>
            <w:pPr>
              <w:ind w:left="6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w:t>
            </w:r>
          </w:p>
        </w:tc>
        <w:tc>
          <w:tcPr>
            <w:tcW w:w="580" w:type="dxa"/>
            <w:vAlign w:val="bottom"/>
          </w:tcPr>
          <w:p>
            <w:pPr>
              <w:ind w:left="100"/>
              <w:spacing w:after="0" w:line="207" w:lineRule="exact"/>
              <w:rPr>
                <w:sz w:val="20"/>
                <w:szCs w:val="20"/>
                <w:color w:val="auto"/>
              </w:rPr>
            </w:pPr>
            <w:r>
              <w:rPr>
                <w:rFonts w:ascii="MS PGothic" w:cs="MS PGothic" w:eastAsia="MS PGothic" w:hAnsi="MS PGothic"/>
                <w:sz w:val="18"/>
                <w:szCs w:val="18"/>
                <w:color w:val="auto"/>
                <w:w w:val="94"/>
              </w:rPr>
              <w:t>☐</w:t>
            </w:r>
            <w:r>
              <w:rPr>
                <w:rFonts w:ascii="Times New Roman" w:cs="Times New Roman" w:eastAsia="Times New Roman" w:hAnsi="Times New Roman"/>
                <w:sz w:val="18"/>
                <w:szCs w:val="18"/>
                <w:color w:val="auto"/>
                <w:w w:val="94"/>
              </w:rPr>
              <w:t xml:space="preserve"> NO</w:t>
            </w:r>
          </w:p>
        </w:tc>
      </w:tr>
      <w:tr>
        <w:trPr>
          <w:trHeight w:val="286"/>
        </w:trPr>
        <w:tc>
          <w:tcPr>
            <w:tcW w:w="80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(b) If Section XII(H)(a) is YES, are the shareholders or other interest holders (except for those that</w:t>
            </w:r>
          </w:p>
        </w:tc>
        <w:tc>
          <w:tcPr>
            <w:tcW w:w="1280" w:type="dxa"/>
            <w:vAlign w:val="bottom"/>
          </w:tcPr>
          <w:p>
            <w:pPr>
              <w:ind w:left="6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w:t>
            </w:r>
          </w:p>
        </w:tc>
        <w:tc>
          <w:tcPr>
            <w:tcW w:w="580" w:type="dxa"/>
            <w:vAlign w:val="bottom"/>
          </w:tcPr>
          <w:p>
            <w:pPr>
              <w:ind w:left="100"/>
              <w:spacing w:after="0" w:line="207" w:lineRule="exact"/>
              <w:rPr>
                <w:sz w:val="20"/>
                <w:szCs w:val="20"/>
                <w:color w:val="auto"/>
              </w:rPr>
            </w:pPr>
            <w:r>
              <w:rPr>
                <w:rFonts w:ascii="MS PGothic" w:cs="MS PGothic" w:eastAsia="MS PGothic" w:hAnsi="MS PGothic"/>
                <w:sz w:val="18"/>
                <w:szCs w:val="18"/>
                <w:color w:val="auto"/>
                <w:w w:val="94"/>
              </w:rPr>
              <w:t>☐</w:t>
            </w:r>
            <w:r>
              <w:rPr>
                <w:rFonts w:ascii="Times New Roman" w:cs="Times New Roman" w:eastAsia="Times New Roman" w:hAnsi="Times New Roman"/>
                <w:sz w:val="18"/>
                <w:szCs w:val="18"/>
                <w:color w:val="auto"/>
                <w:w w:val="94"/>
              </w:rPr>
              <w:t xml:space="preserve"> NO</w:t>
            </w:r>
          </w:p>
        </w:tc>
      </w:tr>
      <w:tr>
        <w:trPr>
          <w:trHeight w:val="216"/>
        </w:trPr>
        <w:tc>
          <w:tcPr>
            <w:tcW w:w="80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are not entitled to vote) in the subscriber entitled to voting rights according to the number of the</w:t>
            </w:r>
          </w:p>
        </w:tc>
        <w:tc>
          <w:tcPr>
            <w:tcW w:w="12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4"/>
        </w:trPr>
        <w:tc>
          <w:tcPr>
            <w:tcW w:w="80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shares or other interests held by each shareholder or interest holder?</w:t>
            </w:r>
          </w:p>
        </w:tc>
        <w:tc>
          <w:tcPr>
            <w:tcW w:w="12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306"/>
        </w:trPr>
        <w:tc>
          <w:tcPr>
            <w:tcW w:w="80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(c) If Section XII(H)(b) is YES and the subscriber is not a listed company, please indicate each</w:t>
            </w:r>
          </w:p>
        </w:tc>
        <w:tc>
          <w:tcPr>
            <w:tcW w:w="12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16"/>
        </w:trPr>
        <w:tc>
          <w:tcPr>
            <w:tcW w:w="80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shareholder or interest holder, if any, who holds more than one-fourth (1/4) of the total voting</w:t>
            </w:r>
          </w:p>
        </w:tc>
        <w:tc>
          <w:tcPr>
            <w:tcW w:w="12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80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rights. However, if there is any shareholder or interest holder who holds a majority of the total</w:t>
            </w:r>
          </w:p>
        </w:tc>
        <w:tc>
          <w:tcPr>
            <w:tcW w:w="12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4"/>
        </w:trPr>
        <w:tc>
          <w:tcPr>
            <w:tcW w:w="80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voting rights, please indicate ONLY such shareholder or interest holder:</w:t>
            </w:r>
          </w:p>
        </w:tc>
        <w:tc>
          <w:tcPr>
            <w:tcW w:w="12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414"/>
        </w:trPr>
        <w:tc>
          <w:tcPr>
            <w:tcW w:w="440" w:type="dxa"/>
            <w:vAlign w:val="bottom"/>
          </w:tcPr>
          <w:p>
            <w:pPr>
              <w:spacing w:after="0"/>
              <w:rPr>
                <w:sz w:val="24"/>
                <w:szCs w:val="24"/>
                <w:color w:val="auto"/>
              </w:rPr>
            </w:pPr>
          </w:p>
        </w:tc>
        <w:tc>
          <w:tcPr>
            <w:tcW w:w="7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___________________________________________________________________</w:t>
            </w:r>
          </w:p>
        </w:tc>
        <w:tc>
          <w:tcPr>
            <w:tcW w:w="12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34"/>
        </w:trPr>
        <w:tc>
          <w:tcPr>
            <w:tcW w:w="440" w:type="dxa"/>
            <w:vAlign w:val="bottom"/>
          </w:tcPr>
          <w:p>
            <w:pPr>
              <w:spacing w:after="0"/>
              <w:rPr>
                <w:sz w:val="20"/>
                <w:szCs w:val="20"/>
                <w:color w:val="auto"/>
              </w:rPr>
            </w:pPr>
          </w:p>
        </w:tc>
        <w:tc>
          <w:tcPr>
            <w:tcW w:w="7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Address (for an entity, address of its principal office):</w:t>
            </w:r>
          </w:p>
        </w:tc>
        <w:tc>
          <w:tcPr>
            <w:tcW w:w="12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338"/>
        </w:trPr>
        <w:tc>
          <w:tcPr>
            <w:tcW w:w="440" w:type="dxa"/>
            <w:vAlign w:val="bottom"/>
          </w:tcPr>
          <w:p>
            <w:pPr>
              <w:spacing w:after="0"/>
              <w:rPr>
                <w:sz w:val="24"/>
                <w:szCs w:val="24"/>
                <w:color w:val="auto"/>
              </w:rPr>
            </w:pPr>
          </w:p>
        </w:tc>
        <w:tc>
          <w:tcPr>
            <w:tcW w:w="5300" w:type="dxa"/>
            <w:vAlign w:val="bottom"/>
            <w:tcBorders>
              <w:bottom w:val="single" w:sz="8" w:color="auto"/>
            </w:tcBorders>
          </w:tcPr>
          <w:p>
            <w:pPr>
              <w:spacing w:after="0"/>
              <w:rPr>
                <w:sz w:val="24"/>
                <w:szCs w:val="24"/>
                <w:color w:val="auto"/>
              </w:rPr>
            </w:pPr>
          </w:p>
        </w:tc>
        <w:tc>
          <w:tcPr>
            <w:tcW w:w="2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09"/>
        </w:trPr>
        <w:tc>
          <w:tcPr>
            <w:tcW w:w="440" w:type="dxa"/>
            <w:vAlign w:val="bottom"/>
          </w:tcPr>
          <w:p>
            <w:pPr>
              <w:spacing w:after="0"/>
              <w:rPr>
                <w:sz w:val="18"/>
                <w:szCs w:val="18"/>
                <w:color w:val="auto"/>
              </w:rPr>
            </w:pPr>
          </w:p>
        </w:tc>
        <w:tc>
          <w:tcPr>
            <w:tcW w:w="5300" w:type="dxa"/>
            <w:vAlign w:val="bottom"/>
            <w:tcBorders>
              <w:bottom w:val="single" w:sz="8" w:color="auto"/>
            </w:tcBorders>
          </w:tcPr>
          <w:p>
            <w:pPr>
              <w:spacing w:after="0"/>
              <w:rPr>
                <w:sz w:val="18"/>
                <w:szCs w:val="18"/>
                <w:color w:val="auto"/>
              </w:rPr>
            </w:pPr>
          </w:p>
        </w:tc>
        <w:tc>
          <w:tcPr>
            <w:tcW w:w="2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80" w:type="dxa"/>
            <w:vAlign w:val="bottom"/>
          </w:tcPr>
          <w:p>
            <w:pPr>
              <w:spacing w:after="0"/>
              <w:rPr>
                <w:sz w:val="18"/>
                <w:szCs w:val="18"/>
                <w:color w:val="auto"/>
              </w:rPr>
            </w:pP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40"/>
        <w:spacing w:after="0"/>
        <w:rPr>
          <w:sz w:val="20"/>
          <w:szCs w:val="20"/>
          <w:color w:val="auto"/>
        </w:rPr>
      </w:pPr>
      <w:r>
        <w:rPr>
          <w:rFonts w:ascii="Times New Roman" w:cs="Times New Roman" w:eastAsia="Times New Roman" w:hAnsi="Times New Roman"/>
          <w:sz w:val="18"/>
          <w:szCs w:val="18"/>
          <w:color w:val="auto"/>
        </w:rPr>
        <w:t>Date of Birth (MM/DD/YYYY) (if such shareholder or interest holder is an individual):</w:t>
      </w:r>
    </w:p>
    <w:p>
      <w:pPr>
        <w:spacing w:after="0" w:line="360" w:lineRule="exact"/>
        <w:rPr>
          <w:sz w:val="20"/>
          <w:szCs w:val="20"/>
          <w:color w:val="auto"/>
        </w:rPr>
      </w:pPr>
    </w:p>
    <w:p>
      <w:pPr>
        <w:ind w:left="440" w:hanging="4"/>
        <w:spacing w:after="0" w:line="375" w:lineRule="auto"/>
        <w:tabs>
          <w:tab w:leader="none" w:pos="695"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answer to Section XII(H)(b) is NO, please indicate all the representatives who are authorized to act on behalf of the subscriber: Name: ___________________________________________________________________</w:t>
      </w:r>
    </w:p>
    <w:p>
      <w:pPr>
        <w:spacing w:after="0" w:line="1"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(for an entity, address of its principal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-539115</wp:posOffset>
            </wp:positionV>
            <wp:extent cx="336042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36042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377190</wp:posOffset>
            </wp:positionV>
            <wp:extent cx="336042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36042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231775</wp:posOffset>
            </wp:positionV>
            <wp:extent cx="336042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Date of Birth (MM/DD/YYYY) (if such representative is an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231775</wp:posOffset>
            </wp:positionV>
            <wp:extent cx="336042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260"/>
          </w:cols>
          <w:pgMar w:left="440" w:top="270" w:right="1199" w:bottom="1440" w:gutter="0" w:footer="0" w:header="0"/>
        </w:sectPr>
      </w:pPr>
    </w:p>
    <w:bookmarkStart w:id="211" w:name="page212"/>
    <w:bookmarkEnd w:id="211"/>
    <w:p>
      <w:pPr>
        <w:ind w:left="42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XIII.</w:t>
        <w:tab/>
        <w:t>Supplemental Data for Hong Kong Investors</w:t>
      </w:r>
    </w:p>
    <w:p>
      <w:pPr>
        <w:sectPr>
          <w:pgSz w:w="11900" w:h="16838" w:orient="portrait"/>
          <w:cols w:equalWidth="0" w:num="1">
            <w:col w:w="10960"/>
          </w:cols>
          <w:pgMar w:left="440" w:top="266" w:right="499" w:bottom="1440" w:gutter="0" w:footer="0" w:header="0"/>
        </w:sect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 Were the Shares marketed to the subscriber in Hong Kong?</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w:t>
      </w:r>
    </w:p>
    <w:p>
      <w:pPr>
        <w:spacing w:after="0" w:line="157" w:lineRule="exact"/>
        <w:rPr>
          <w:sz w:val="20"/>
          <w:szCs w:val="20"/>
          <w:color w:val="auto"/>
        </w:rPr>
      </w:pPr>
    </w:p>
    <w:p>
      <w:pPr>
        <w:sectPr>
          <w:pgSz w:w="11900" w:h="16838" w:orient="portrait"/>
          <w:cols w:equalWidth="0" w:num="2">
            <w:col w:w="9100" w:space="720"/>
            <w:col w:w="1140"/>
          </w:cols>
          <w:pgMar w:left="440" w:top="266"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(If YES, proceed to Section XIII(C) below)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(If NO, proceed to Section XIII(B) below)</w:t>
      </w:r>
    </w:p>
    <w:p>
      <w:pPr>
        <w:spacing w:after="0" w:line="88" w:lineRule="exact"/>
        <w:rPr>
          <w:sz w:val="20"/>
          <w:szCs w:val="20"/>
          <w:color w:val="auto"/>
        </w:rPr>
      </w:pPr>
    </w:p>
    <w:p>
      <w:pPr>
        <w:sectPr>
          <w:pgSz w:w="11900" w:h="16838" w:orient="portrait"/>
          <w:cols w:equalWidth="0" w:num="2">
            <w:col w:w="4360" w:space="720"/>
            <w:col w:w="5880"/>
          </w:cols>
          <w:pgMar w:left="440" w:top="266" w:right="49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Is the subscriber a resident in Hong Kong?</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w:t>
      </w:r>
    </w:p>
    <w:p>
      <w:pPr>
        <w:spacing w:after="0" w:line="76" w:lineRule="exact"/>
        <w:rPr>
          <w:sz w:val="20"/>
          <w:szCs w:val="20"/>
          <w:color w:val="auto"/>
        </w:rPr>
      </w:pPr>
    </w:p>
    <w:p>
      <w:pPr>
        <w:sectPr>
          <w:pgSz w:w="11900" w:h="16838" w:orient="portrait"/>
          <w:cols w:equalWidth="0" w:num="2">
            <w:col w:w="9100" w:space="720"/>
            <w:col w:w="1140"/>
          </w:cols>
          <w:pgMar w:left="440" w:top="266" w:right="49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YES, proceed to Section XIII(C) below)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(If NO, proceed to Section XIV)</w:t>
      </w:r>
    </w:p>
    <w:p>
      <w:pPr>
        <w:spacing w:after="0" w:line="90" w:lineRule="exact"/>
        <w:rPr>
          <w:sz w:val="20"/>
          <w:szCs w:val="20"/>
          <w:color w:val="auto"/>
        </w:rPr>
      </w:pPr>
    </w:p>
    <w:p>
      <w:pPr>
        <w:sectPr>
          <w:pgSz w:w="11900" w:h="16838" w:orient="portrait"/>
          <w:cols w:equalWidth="0" w:num="2">
            <w:col w:w="4360" w:space="720"/>
            <w:col w:w="5880"/>
          </w:cols>
          <w:pgMar w:left="440" w:top="266"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(C)   Is the subscriber a corporation, partnership, trust or other entity, which certifies that it is one of the following (please check all that apply):</w:t>
      </w:r>
    </w:p>
    <w:p>
      <w:pPr>
        <w:spacing w:after="0" w:line="131" w:lineRule="exact"/>
        <w:rPr>
          <w:sz w:val="20"/>
          <w:szCs w:val="20"/>
          <w:color w:val="auto"/>
        </w:rPr>
      </w:pPr>
    </w:p>
    <w:p>
      <w:pPr>
        <w:ind w:left="720" w:right="620" w:hanging="359"/>
        <w:spacing w:after="0" w:line="282" w:lineRule="auto"/>
        <w:rPr>
          <w:sz w:val="20"/>
          <w:szCs w:val="20"/>
          <w:color w:val="auto"/>
        </w:rPr>
      </w:pPr>
      <w:r>
        <w:rPr>
          <w:rFonts w:ascii="Times New Roman" w:cs="Times New Roman" w:eastAsia="Times New Roman" w:hAnsi="Times New Roman"/>
          <w:sz w:val="18"/>
          <w:szCs w:val="18"/>
          <w:color w:val="auto"/>
        </w:rPr>
        <w:t>(1)    A trust corporation, having been entrusted under the trust or trusts of which it acts as a trustee with total assets of not less than HK$40 million or its equivalent in any foreign currency.</w:t>
      </w:r>
    </w:p>
    <w:p>
      <w:pPr>
        <w:sectPr>
          <w:pgSz w:w="11900" w:h="16838" w:orient="portrait"/>
          <w:cols w:equalWidth="0" w:num="1">
            <w:col w:w="10960"/>
          </w:cols>
          <w:pgMar w:left="440" w:top="266" w:right="499" w:bottom="1440" w:gutter="0" w:footer="0" w:header="0"/>
          <w:type w:val="continuous"/>
        </w:sectPr>
      </w:pPr>
    </w:p>
    <w:p>
      <w:pPr>
        <w:spacing w:after="0" w:line="67" w:lineRule="exact"/>
        <w:rPr>
          <w:sz w:val="20"/>
          <w:szCs w:val="20"/>
          <w:color w:val="auto"/>
        </w:rPr>
      </w:pPr>
    </w:p>
    <w:p>
      <w:pPr>
        <w:ind w:left="1080"/>
        <w:spacing w:after="0" w:line="258" w:lineRule="auto"/>
        <w:rPr>
          <w:sz w:val="20"/>
          <w:szCs w:val="20"/>
          <w:color w:val="auto"/>
        </w:rPr>
      </w:pPr>
      <w:r>
        <w:rPr>
          <w:rFonts w:ascii="Times New Roman" w:cs="Times New Roman" w:eastAsia="Times New Roman" w:hAnsi="Times New Roman"/>
          <w:sz w:val="18"/>
          <w:szCs w:val="18"/>
          <w:color w:val="auto"/>
        </w:rPr>
        <w:t>The subscriber shall provide to the Company or the Adviser (i) the most recent audited financial statement prepared in respect of the trust corporation within the preceding 16 months before the date of the offering; (ii) one or more audited financial statements, each being the most recent audited financial statement, prepared in respect of the trust or any of the trusts within the preceding 16 months before the date of the offering; or (iii) one or more custodian statements issued to the trust corporation in respect of the trust or any of the trusts within the preceding 12 months before the date of the offering.</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054" w:lineRule="exact"/>
        <w:rPr>
          <w:sz w:val="20"/>
          <w:szCs w:val="20"/>
          <w:color w:val="auto"/>
        </w:rPr>
      </w:pPr>
    </w:p>
    <w:p>
      <w:pPr>
        <w:sectPr>
          <w:pgSz w:w="11900" w:h="16838" w:orient="portrait"/>
          <w:cols w:equalWidth="0" w:num="2">
            <w:col w:w="10680" w:space="120"/>
            <w:col w:w="160"/>
          </w:cols>
          <w:pgMar w:left="440" w:top="266" w:right="499" w:bottom="1440" w:gutter="0" w:footer="0" w:header="0"/>
          <w:type w:val="continuous"/>
        </w:sectPr>
      </w:pPr>
    </w:p>
    <w:p>
      <w:pPr>
        <w:spacing w:after="0" w:line="29" w:lineRule="exact"/>
        <w:rPr>
          <w:sz w:val="20"/>
          <w:szCs w:val="20"/>
          <w:color w:val="auto"/>
        </w:rPr>
      </w:pPr>
    </w:p>
    <w:p>
      <w:pPr>
        <w:ind w:left="720" w:hanging="359"/>
        <w:spacing w:after="0" w:line="282" w:lineRule="auto"/>
        <w:rPr>
          <w:sz w:val="20"/>
          <w:szCs w:val="20"/>
          <w:color w:val="auto"/>
        </w:rPr>
      </w:pPr>
      <w:r>
        <w:rPr>
          <w:rFonts w:ascii="Times New Roman" w:cs="Times New Roman" w:eastAsia="Times New Roman" w:hAnsi="Times New Roman"/>
          <w:sz w:val="18"/>
          <w:szCs w:val="18"/>
          <w:color w:val="auto"/>
        </w:rPr>
        <w:t>(2)    A corporation or partnership, having (i) a portfolio of not less than HK$8 million or its equivalent in any foreign currency; or (ii) total assets of not less than HK$40 million or its equivalent in any foreign currency.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422" w:lineRule="exact"/>
        <w:rPr>
          <w:sz w:val="20"/>
          <w:szCs w:val="20"/>
          <w:color w:val="auto"/>
        </w:rPr>
      </w:pPr>
    </w:p>
    <w:p>
      <w:pPr>
        <w:sectPr>
          <w:pgSz w:w="11900" w:h="16838" w:orient="portrait"/>
          <w:cols w:equalWidth="0" w:num="2">
            <w:col w:w="10340" w:space="460"/>
            <w:col w:w="160"/>
          </w:cols>
          <w:pgMar w:left="440" w:top="266" w:right="499" w:bottom="1440" w:gutter="0" w:footer="0" w:header="0"/>
          <w:type w:val="continuous"/>
        </w:sectPr>
      </w:pPr>
    </w:p>
    <w:p>
      <w:pPr>
        <w:ind w:left="1080" w:right="280"/>
        <w:spacing w:after="0" w:line="261" w:lineRule="auto"/>
        <w:rPr>
          <w:sz w:val="20"/>
          <w:szCs w:val="20"/>
          <w:color w:val="auto"/>
        </w:rPr>
      </w:pPr>
      <w:r>
        <w:rPr>
          <w:rFonts w:ascii="Times New Roman" w:cs="Times New Roman" w:eastAsia="Times New Roman" w:hAnsi="Times New Roman"/>
          <w:sz w:val="18"/>
          <w:szCs w:val="18"/>
          <w:color w:val="auto"/>
        </w:rPr>
        <w:t>The subscriber shall provide to the Company or the Adviser (A) the most recent audited financial statement prepared in respect of the corporation or partnership (as the case may be) within the preceding 16 months before the date of the offering; or (B) one or more custodian statements issued to the corporation or partnership (as the case may be) within the preceding 12 months before the date of the offering.</w:t>
      </w:r>
    </w:p>
    <w:p>
      <w:pPr>
        <w:spacing w:after="0" w:line="1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60"/>
          </w:cols>
          <w:pgMar w:left="440" w:top="266" w:right="499" w:bottom="1440" w:gutter="0" w:footer="0" w:header="0"/>
          <w:type w:val="continuous"/>
        </w:sectPr>
      </w:pPr>
    </w:p>
    <w:bookmarkStart w:id="212" w:name="page213"/>
    <w:bookmarkEnd w:id="212"/>
    <w:tbl>
      <w:tblPr>
        <w:tblLayout w:type="fixed"/>
        <w:tblInd w:w="364" w:type="dxa"/>
        <w:tblCellMar>
          <w:top w:w="0" w:type="dxa"/>
          <w:left w:w="0" w:type="dxa"/>
          <w:bottom w:w="0" w:type="dxa"/>
          <w:right w:w="0" w:type="dxa"/>
        </w:tblCellMar>
      </w:tblPr>
      <w:tr>
        <w:trPr>
          <w:trHeight w:val="245"/>
        </w:trPr>
        <w:tc>
          <w:tcPr>
            <w:tcW w:w="9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    Any corporation the sole business of which at the date of the offering is to hold investments and which at the date</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9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of the offering is wholly owned by any one or more of the following persons: (i) a trust corporation that falls within</w:t>
            </w:r>
          </w:p>
        </w:tc>
        <w:tc>
          <w:tcPr>
            <w:tcW w:w="640" w:type="dxa"/>
            <w:vAlign w:val="bottom"/>
          </w:tcPr>
          <w:p>
            <w:pPr>
              <w:spacing w:after="0"/>
              <w:rPr>
                <w:sz w:val="18"/>
                <w:szCs w:val="18"/>
                <w:color w:val="auto"/>
              </w:rPr>
            </w:pPr>
          </w:p>
        </w:tc>
      </w:tr>
      <w:tr>
        <w:trPr>
          <w:trHeight w:val="216"/>
        </w:trPr>
        <w:tc>
          <w:tcPr>
            <w:tcW w:w="9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the description in Section XIII(C)(1); (ii) an individual who either alone or with any of his or her associates</w:t>
            </w:r>
            <w:r>
              <w:rPr>
                <w:rFonts w:ascii="Times New Roman" w:cs="Times New Roman" w:eastAsia="Times New Roman" w:hAnsi="Times New Roman"/>
                <w:sz w:val="15"/>
                <w:szCs w:val="15"/>
                <w:color w:val="auto"/>
              </w:rPr>
              <w:t>34</w:t>
            </w:r>
            <w:r>
              <w:rPr>
                <w:rFonts w:ascii="Times New Roman" w:cs="Times New Roman" w:eastAsia="Times New Roman" w:hAnsi="Times New Roman"/>
                <w:sz w:val="18"/>
                <w:szCs w:val="18"/>
                <w:color w:val="auto"/>
              </w:rPr>
              <w:t xml:space="preserve"> on a</w:t>
            </w:r>
          </w:p>
        </w:tc>
        <w:tc>
          <w:tcPr>
            <w:tcW w:w="640" w:type="dxa"/>
            <w:vAlign w:val="bottom"/>
          </w:tcPr>
          <w:p>
            <w:pPr>
              <w:spacing w:after="0"/>
              <w:rPr>
                <w:sz w:val="18"/>
                <w:szCs w:val="18"/>
                <w:color w:val="auto"/>
              </w:rPr>
            </w:pPr>
          </w:p>
        </w:tc>
      </w:tr>
      <w:tr>
        <w:trPr>
          <w:trHeight w:val="216"/>
        </w:trPr>
        <w:tc>
          <w:tcPr>
            <w:tcW w:w="9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joint account, has a portfolio</w:t>
            </w:r>
            <w:r>
              <w:rPr>
                <w:rFonts w:ascii="Times New Roman" w:cs="Times New Roman" w:eastAsia="Times New Roman" w:hAnsi="Times New Roman"/>
                <w:sz w:val="15"/>
                <w:szCs w:val="15"/>
                <w:color w:val="auto"/>
              </w:rPr>
              <w:t>35</w:t>
            </w:r>
            <w:r>
              <w:rPr>
                <w:rFonts w:ascii="Times New Roman" w:cs="Times New Roman" w:eastAsia="Times New Roman" w:hAnsi="Times New Roman"/>
                <w:sz w:val="18"/>
                <w:szCs w:val="18"/>
                <w:color w:val="auto"/>
              </w:rPr>
              <w:t xml:space="preserve"> of not less than HK$8 million or its equivalent in any foreign currency; (iii) a</w:t>
            </w:r>
          </w:p>
        </w:tc>
        <w:tc>
          <w:tcPr>
            <w:tcW w:w="640" w:type="dxa"/>
            <w:vAlign w:val="bottom"/>
          </w:tcPr>
          <w:p>
            <w:pPr>
              <w:spacing w:after="0"/>
              <w:rPr>
                <w:sz w:val="18"/>
                <w:szCs w:val="18"/>
                <w:color w:val="auto"/>
              </w:rPr>
            </w:pPr>
          </w:p>
        </w:tc>
      </w:tr>
      <w:tr>
        <w:trPr>
          <w:trHeight w:val="216"/>
        </w:trPr>
        <w:tc>
          <w:tcPr>
            <w:tcW w:w="9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corporation that falls within the description in Section XIII(C)(2); or (iv) a partnership that falls within the</w:t>
            </w:r>
          </w:p>
        </w:tc>
        <w:tc>
          <w:tcPr>
            <w:tcW w:w="640" w:type="dxa"/>
            <w:vAlign w:val="bottom"/>
          </w:tcPr>
          <w:p>
            <w:pPr>
              <w:spacing w:after="0"/>
              <w:rPr>
                <w:sz w:val="18"/>
                <w:szCs w:val="18"/>
                <w:color w:val="auto"/>
              </w:rPr>
            </w:pPr>
          </w:p>
        </w:tc>
      </w:tr>
      <w:tr>
        <w:trPr>
          <w:trHeight w:val="234"/>
        </w:trPr>
        <w:tc>
          <w:tcPr>
            <w:tcW w:w="9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description in Section XIII(C)(2).</w:t>
            </w:r>
          </w:p>
        </w:tc>
        <w:tc>
          <w:tcPr>
            <w:tcW w:w="640" w:type="dxa"/>
            <w:vAlign w:val="bottom"/>
          </w:tcPr>
          <w:p>
            <w:pPr>
              <w:spacing w:after="0"/>
              <w:rPr>
                <w:sz w:val="20"/>
                <w:szCs w:val="20"/>
                <w:color w:val="auto"/>
              </w:rPr>
            </w:pPr>
          </w:p>
        </w:tc>
      </w:tr>
      <w:tr>
        <w:trPr>
          <w:trHeight w:val="319"/>
        </w:trPr>
        <w:tc>
          <w:tcPr>
            <w:tcW w:w="9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The subscriber shall provide to the Company or the Adviser (A) a statement with respect to the name of each</w:t>
            </w:r>
          </w:p>
        </w:tc>
        <w:tc>
          <w:tcPr>
            <w:tcW w:w="640" w:type="dxa"/>
            <w:vAlign w:val="bottom"/>
          </w:tcPr>
          <w:p>
            <w:pPr>
              <w:spacing w:after="0"/>
              <w:rPr>
                <w:sz w:val="24"/>
                <w:szCs w:val="24"/>
                <w:color w:val="auto"/>
              </w:rPr>
            </w:pPr>
          </w:p>
        </w:tc>
      </w:tr>
      <w:tr>
        <w:trPr>
          <w:trHeight w:val="216"/>
        </w:trPr>
        <w:tc>
          <w:tcPr>
            <w:tcW w:w="9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owner, with supporting documentation, and (B) with respect to each owner, such documents as required by the</w:t>
            </w:r>
          </w:p>
        </w:tc>
        <w:tc>
          <w:tcPr>
            <w:tcW w:w="640" w:type="dxa"/>
            <w:vAlign w:val="bottom"/>
          </w:tcPr>
          <w:p>
            <w:pPr>
              <w:spacing w:after="0"/>
              <w:rPr>
                <w:sz w:val="18"/>
                <w:szCs w:val="18"/>
                <w:color w:val="auto"/>
              </w:rPr>
            </w:pPr>
          </w:p>
        </w:tc>
      </w:tr>
      <w:tr>
        <w:trPr>
          <w:trHeight w:val="234"/>
        </w:trPr>
        <w:tc>
          <w:tcPr>
            <w:tcW w:w="9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relevant section.</w:t>
            </w:r>
          </w:p>
        </w:tc>
        <w:tc>
          <w:tcPr>
            <w:tcW w:w="640" w:type="dxa"/>
            <w:vAlign w:val="bottom"/>
          </w:tcPr>
          <w:p>
            <w:pPr>
              <w:spacing w:after="0"/>
              <w:rPr>
                <w:sz w:val="20"/>
                <w:szCs w:val="20"/>
                <w:color w:val="auto"/>
              </w:rPr>
            </w:pPr>
          </w:p>
        </w:tc>
      </w:tr>
      <w:tr>
        <w:trPr>
          <w:trHeight w:val="358"/>
        </w:trPr>
        <w:tc>
          <w:tcPr>
            <w:tcW w:w="9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    Other (Please describe below):</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155"/>
        </w:trPr>
        <w:tc>
          <w:tcPr>
            <w:tcW w:w="7740" w:type="dxa"/>
            <w:vAlign w:val="bottom"/>
            <w:tcBorders>
              <w:bottom w:val="single" w:sz="8" w:color="auto"/>
            </w:tcBorders>
          </w:tcPr>
          <w:p>
            <w:pPr>
              <w:spacing w:after="0"/>
              <w:rPr>
                <w:sz w:val="13"/>
                <w:szCs w:val="13"/>
                <w:color w:val="auto"/>
              </w:rPr>
            </w:pPr>
          </w:p>
        </w:tc>
        <w:tc>
          <w:tcPr>
            <w:tcW w:w="142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96"/>
        </w:trPr>
        <w:tc>
          <w:tcPr>
            <w:tcW w:w="7740" w:type="dxa"/>
            <w:vAlign w:val="bottom"/>
            <w:tcBorders>
              <w:bottom w:val="single" w:sz="8" w:color="auto"/>
            </w:tcBorders>
          </w:tcPr>
          <w:p>
            <w:pPr>
              <w:spacing w:after="0"/>
              <w:rPr>
                <w:sz w:val="17"/>
                <w:szCs w:val="17"/>
                <w:color w:val="auto"/>
              </w:rPr>
            </w:pPr>
          </w:p>
        </w:tc>
        <w:tc>
          <w:tcPr>
            <w:tcW w:w="14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196"/>
        </w:trPr>
        <w:tc>
          <w:tcPr>
            <w:tcW w:w="7740" w:type="dxa"/>
            <w:vAlign w:val="bottom"/>
            <w:tcBorders>
              <w:bottom w:val="single" w:sz="8" w:color="auto"/>
            </w:tcBorders>
          </w:tcPr>
          <w:p>
            <w:pPr>
              <w:spacing w:after="0"/>
              <w:rPr>
                <w:sz w:val="17"/>
                <w:szCs w:val="17"/>
                <w:color w:val="auto"/>
              </w:rPr>
            </w:pPr>
          </w:p>
        </w:tc>
        <w:tc>
          <w:tcPr>
            <w:tcW w:w="1420" w:type="dxa"/>
            <w:vAlign w:val="bottom"/>
          </w:tcPr>
          <w:p>
            <w:pPr>
              <w:spacing w:after="0"/>
              <w:rPr>
                <w:sz w:val="17"/>
                <w:szCs w:val="17"/>
                <w:color w:val="auto"/>
              </w:rPr>
            </w:pPr>
          </w:p>
        </w:tc>
        <w:tc>
          <w:tcPr>
            <w:tcW w:w="640" w:type="dxa"/>
            <w:vAlign w:val="bottom"/>
          </w:tcPr>
          <w:p>
            <w:pPr>
              <w:spacing w:after="0"/>
              <w:rPr>
                <w:sz w:val="17"/>
                <w:szCs w:val="17"/>
                <w:color w:val="auto"/>
              </w:rPr>
            </w:pPr>
          </w:p>
        </w:tc>
      </w:tr>
    </w:tbl>
    <w:p>
      <w:pPr>
        <w:spacing w:after="0"/>
        <w:rPr>
          <w:sz w:val="20"/>
          <w:szCs w:val="20"/>
          <w:color w:val="auto"/>
        </w:rPr>
        <w:sectPr>
          <w:pgSz w:w="11900" w:h="16838" w:orient="portrait"/>
          <w:cols w:equalWidth="0" w:num="1">
            <w:col w:w="10864"/>
          </w:cols>
          <w:pgMar w:left="436" w:top="241" w:right="5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(D)   If the subscriber is a corporation, partnership, trust or other entity, was it formed or recapitalized for the specific purpose</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YES</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t>
      </w:r>
    </w:p>
    <w:p>
      <w:pPr>
        <w:spacing w:after="0" w:line="47" w:lineRule="exact"/>
        <w:rPr>
          <w:sz w:val="20"/>
          <w:szCs w:val="20"/>
          <w:color w:val="auto"/>
        </w:rPr>
      </w:pPr>
    </w:p>
    <w:p>
      <w:pPr>
        <w:sectPr>
          <w:pgSz w:w="11900" w:h="16838" w:orient="portrait"/>
          <w:cols w:equalWidth="0" w:num="4">
            <w:col w:w="9024" w:space="440"/>
            <w:col w:w="540" w:space="240"/>
            <w:col w:w="160" w:space="40"/>
            <w:col w:w="420"/>
          </w:cols>
          <w:pgMar w:left="436" w:top="241" w:right="599" w:bottom="1440" w:gutter="0" w:footer="0" w:header="0"/>
          <w:type w:val="continuous"/>
        </w:sectPr>
      </w:pPr>
    </w:p>
    <w:p>
      <w:pPr>
        <w:ind w:left="364"/>
        <w:spacing w:after="0"/>
        <w:rPr>
          <w:sz w:val="20"/>
          <w:szCs w:val="20"/>
          <w:color w:val="auto"/>
        </w:rPr>
      </w:pPr>
      <w:r>
        <w:rPr>
          <w:rFonts w:ascii="Times New Roman" w:cs="Times New Roman" w:eastAsia="Times New Roman" w:hAnsi="Times New Roman"/>
          <w:sz w:val="17"/>
          <w:szCs w:val="17"/>
          <w:color w:val="auto"/>
        </w:rPr>
        <w:t>of acquiring Shares in the Company?</w:t>
      </w:r>
    </w:p>
    <w:p>
      <w:pPr>
        <w:sectPr>
          <w:pgSz w:w="11900" w:h="16838" w:orient="portrait"/>
          <w:cols w:equalWidth="0" w:num="1">
            <w:col w:w="10864"/>
          </w:cols>
          <w:pgMar w:left="436" w:top="241" w:right="599" w:bottom="1440" w:gutter="0" w:footer="0" w:header="0"/>
          <w:type w:val="continuous"/>
        </w:sectPr>
      </w:pPr>
    </w:p>
    <w:p>
      <w:pPr>
        <w:spacing w:after="0" w:line="90"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17"/>
          <w:szCs w:val="17"/>
          <w:color w:val="auto"/>
        </w:rPr>
        <w:t>(1)    Are the subscriber’s shareholders, partners, beneficiaries or members, as the case may be, permitted to opt in or out</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YES</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t>
      </w:r>
    </w:p>
    <w:p>
      <w:pPr>
        <w:spacing w:after="0" w:line="47" w:lineRule="exact"/>
        <w:rPr>
          <w:sz w:val="20"/>
          <w:szCs w:val="20"/>
          <w:color w:val="auto"/>
        </w:rPr>
      </w:pPr>
    </w:p>
    <w:p>
      <w:pPr>
        <w:sectPr>
          <w:pgSz w:w="11900" w:h="16838" w:orient="portrait"/>
          <w:cols w:equalWidth="0" w:num="4">
            <w:col w:w="9004" w:space="460"/>
            <w:col w:w="540" w:space="240"/>
            <w:col w:w="160" w:space="40"/>
            <w:col w:w="420"/>
          </w:cols>
          <w:pgMar w:left="436" w:top="241" w:right="599" w:bottom="1440" w:gutter="0" w:footer="0" w:header="0"/>
          <w:type w:val="continuous"/>
        </w:sectPr>
      </w:pPr>
    </w:p>
    <w:p>
      <w:pPr>
        <w:ind w:left="724" w:right="2000"/>
        <w:spacing w:after="0" w:line="238" w:lineRule="auto"/>
        <w:rPr>
          <w:sz w:val="20"/>
          <w:szCs w:val="20"/>
          <w:color w:val="auto"/>
        </w:rPr>
      </w:pPr>
      <w:r>
        <w:rPr>
          <w:rFonts w:ascii="Times New Roman" w:cs="Times New Roman" w:eastAsia="Times New Roman" w:hAnsi="Times New Roman"/>
          <w:sz w:val="18"/>
          <w:szCs w:val="18"/>
          <w:color w:val="auto"/>
        </w:rPr>
        <w:t xml:space="preserve">of particular investments made by the subscriber, or does any such person not participate in investments made by the subscriber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in accordance with its interest in the subscriber?</w:t>
      </w:r>
    </w:p>
    <w:p>
      <w:pPr>
        <w:sectPr>
          <w:pgSz w:w="11900" w:h="16838" w:orient="portrait"/>
          <w:cols w:equalWidth="0" w:num="1">
            <w:col w:w="10864"/>
          </w:cols>
          <w:pgMar w:left="436" w:top="241" w:right="599" w:bottom="1440" w:gutter="0" w:footer="0" w:header="0"/>
          <w:type w:val="continuous"/>
        </w:sectPr>
      </w:pPr>
    </w:p>
    <w:p>
      <w:pPr>
        <w:spacing w:after="0" w:line="195" w:lineRule="exact"/>
        <w:rPr>
          <w:sz w:val="20"/>
          <w:szCs w:val="20"/>
          <w:color w:val="auto"/>
        </w:rPr>
      </w:pPr>
    </w:p>
    <w:p>
      <w:pPr>
        <w:ind w:left="4" w:right="1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NOTE: </w:t>
      </w:r>
      <w:r>
        <w:rPr>
          <w:rFonts w:ascii="Times New Roman" w:cs="Times New Roman" w:eastAsia="Times New Roman" w:hAnsi="Times New Roman"/>
          <w:sz w:val="18"/>
          <w:szCs w:val="18"/>
          <w:color w:val="auto"/>
        </w:rPr>
        <w:t>If the answer to Section XIII(D) is YES, the subscriber must submit with these Subscription Materials a complete list of its participants.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or the Adviser may require that each participant properly complete and submit to the Company or the Adviser an Investor Suitability Questionnaire.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7152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8" w:lineRule="exact"/>
        <w:rPr>
          <w:sz w:val="20"/>
          <w:szCs w:val="20"/>
          <w:color w:val="auto"/>
        </w:rPr>
      </w:pPr>
    </w:p>
    <w:p>
      <w:pPr>
        <w:ind w:left="424" w:hanging="424"/>
        <w:spacing w:after="0"/>
        <w:tabs>
          <w:tab w:leader="none" w:pos="424" w:val="left"/>
        </w:tabs>
        <w:numPr>
          <w:ilvl w:val="0"/>
          <w:numId w:val="20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associate</w:t>
      </w:r>
      <w:r>
        <w:rPr>
          <w:rFonts w:ascii="Times New Roman" w:cs="Times New Roman" w:eastAsia="Times New Roman" w:hAnsi="Times New Roman"/>
          <w:sz w:val="18"/>
          <w:szCs w:val="18"/>
          <w:color w:val="auto"/>
        </w:rPr>
        <w:t>,” in relation to an individual, means the spouse or any child of the individual.</w:t>
      </w:r>
    </w:p>
    <w:p>
      <w:pPr>
        <w:spacing w:after="0" w:line="27" w:lineRule="exact"/>
        <w:rPr>
          <w:rFonts w:ascii="Times New Roman" w:cs="Times New Roman" w:eastAsia="Times New Roman" w:hAnsi="Times New Roman"/>
          <w:sz w:val="15"/>
          <w:szCs w:val="15"/>
          <w:color w:val="auto"/>
        </w:rPr>
      </w:pPr>
    </w:p>
    <w:p>
      <w:pPr>
        <w:ind w:left="424" w:hanging="424"/>
        <w:spacing w:after="0"/>
        <w:tabs>
          <w:tab w:leader="none" w:pos="424" w:val="left"/>
        </w:tabs>
        <w:numPr>
          <w:ilvl w:val="0"/>
          <w:numId w:val="20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portfolio</w:t>
      </w:r>
      <w:r>
        <w:rPr>
          <w:rFonts w:ascii="Times New Roman" w:cs="Times New Roman" w:eastAsia="Times New Roman" w:hAnsi="Times New Roman"/>
          <w:sz w:val="18"/>
          <w:szCs w:val="18"/>
          <w:color w:val="auto"/>
        </w:rPr>
        <w:t>” means a portfolio comprising any of the following:</w:t>
      </w:r>
    </w:p>
    <w:p>
      <w:pPr>
        <w:spacing w:after="0" w:line="112" w:lineRule="exact"/>
        <w:rPr>
          <w:rFonts w:ascii="Times New Roman" w:cs="Times New Roman" w:eastAsia="Times New Roman" w:hAnsi="Times New Roman"/>
          <w:sz w:val="15"/>
          <w:szCs w:val="15"/>
          <w:color w:val="auto"/>
        </w:rPr>
      </w:pPr>
    </w:p>
    <w:p>
      <w:pPr>
        <w:ind w:left="964" w:hanging="532"/>
        <w:spacing w:after="0"/>
        <w:tabs>
          <w:tab w:leader="none" w:pos="964"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deposit issued by:</w:t>
      </w:r>
    </w:p>
    <w:p>
      <w:pPr>
        <w:spacing w:after="0" w:line="130" w:lineRule="exact"/>
        <w:rPr>
          <w:rFonts w:ascii="Times New Roman" w:cs="Times New Roman" w:eastAsia="Times New Roman" w:hAnsi="Times New Roman"/>
          <w:sz w:val="18"/>
          <w:szCs w:val="18"/>
          <w:color w:val="auto"/>
        </w:rPr>
      </w:pPr>
    </w:p>
    <w:p>
      <w:pPr>
        <w:ind w:left="1424" w:hanging="439"/>
        <w:spacing w:after="0" w:line="282" w:lineRule="auto"/>
        <w:tabs>
          <w:tab w:leader="none" w:pos="1424" w:val="left"/>
        </w:tabs>
        <w:numPr>
          <w:ilvl w:val="2"/>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authorized financial institution (as defined in section 2(1) of the Banking Ordinance, Chapter 155 of the Laws of Hong Kong) in Hong Kong; or</w:t>
      </w:r>
    </w:p>
    <w:p>
      <w:pPr>
        <w:spacing w:after="0" w:line="67"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2"/>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 which is not an authorized financial institution but is regulated under the law of any place outside Hong Kong; or</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 individual, corporation or partnership, money held by a custodian for the individual, corporation or partnership.</w:t>
      </w:r>
    </w:p>
    <w:p>
      <w:pPr>
        <w:spacing w:after="0" w:line="158" w:lineRule="exact"/>
        <w:rPr>
          <w:sz w:val="20"/>
          <w:szCs w:val="20"/>
          <w:color w:val="auto"/>
        </w:rPr>
      </w:pPr>
    </w:p>
    <w:p>
      <w:pPr>
        <w:jc w:val="center"/>
        <w:ind w:right="-14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864"/>
          </w:cols>
          <w:pgMar w:left="436" w:top="241" w:right="599" w:bottom="1440" w:gutter="0" w:footer="0" w:header="0"/>
          <w:type w:val="continuous"/>
        </w:sectPr>
      </w:pPr>
    </w:p>
    <w:bookmarkStart w:id="213" w:name="page214"/>
    <w:bookmarkEnd w:id="213"/>
    <w:tbl>
      <w:tblPr>
        <w:tblLayout w:type="fixed"/>
        <w:tblInd w:w="0" w:type="dxa"/>
        <w:tblCellMar>
          <w:top w:w="0" w:type="dxa"/>
          <w:left w:w="0" w:type="dxa"/>
          <w:bottom w:w="0" w:type="dxa"/>
          <w:right w:w="0" w:type="dxa"/>
        </w:tblCellMar>
      </w:tblPr>
      <w:tr>
        <w:trPr>
          <w:trHeight w:val="238"/>
        </w:trPr>
        <w:tc>
          <w:tcPr>
            <w:tcW w:w="360" w:type="dxa"/>
            <w:vAlign w:val="bottom"/>
          </w:tcPr>
          <w:p>
            <w:pPr>
              <w:spacing w:after="0"/>
              <w:rPr>
                <w:sz w:val="20"/>
                <w:szCs w:val="20"/>
                <w:color w:val="auto"/>
              </w:rPr>
            </w:pPr>
          </w:p>
        </w:tc>
        <w:tc>
          <w:tcPr>
            <w:tcW w:w="8780" w:type="dxa"/>
            <w:vAlign w:val="bottom"/>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XIV.  Supplemental </w:t>
            </w:r>
            <w:r>
              <w:rPr>
                <w:rFonts w:ascii="Times New Roman" w:cs="Times New Roman" w:eastAsia="Times New Roman" w:hAnsi="Times New Roman"/>
                <w:sz w:val="18"/>
                <w:szCs w:val="18"/>
                <w:color w:val="auto"/>
              </w:rPr>
              <w:t>Data for EEA or U.K. Investors</w:t>
            </w:r>
          </w:p>
        </w:tc>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418"/>
        </w:trPr>
        <w:tc>
          <w:tcPr>
            <w:tcW w:w="91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   Is the subscriber resident or domiciled, or does the subscriber have a registered office, in a member state (a “Member</w:t>
            </w:r>
          </w:p>
        </w:tc>
        <w:tc>
          <w:tcPr>
            <w:tcW w:w="780" w:type="dxa"/>
            <w:vAlign w:val="bottom"/>
          </w:tcPr>
          <w:p>
            <w:pPr>
              <w:ind w:left="1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w:t>
            </w:r>
          </w:p>
        </w:tc>
        <w:tc>
          <w:tcPr>
            <w:tcW w:w="580" w:type="dxa"/>
            <w:vAlign w:val="bottom"/>
          </w:tcPr>
          <w:p>
            <w:pPr>
              <w:ind w:left="100"/>
              <w:spacing w:after="0" w:line="207" w:lineRule="exact"/>
              <w:rPr>
                <w:sz w:val="20"/>
                <w:szCs w:val="20"/>
                <w:color w:val="auto"/>
              </w:rPr>
            </w:pPr>
            <w:r>
              <w:rPr>
                <w:rFonts w:ascii="MS PGothic" w:cs="MS PGothic" w:eastAsia="MS PGothic" w:hAnsi="MS PGothic"/>
                <w:sz w:val="18"/>
                <w:szCs w:val="18"/>
                <w:color w:val="auto"/>
                <w:w w:val="94"/>
              </w:rPr>
              <w:t>☐</w:t>
            </w:r>
            <w:r>
              <w:rPr>
                <w:rFonts w:ascii="Times New Roman" w:cs="Times New Roman" w:eastAsia="Times New Roman" w:hAnsi="Times New Roman"/>
                <w:sz w:val="18"/>
                <w:szCs w:val="18"/>
                <w:color w:val="auto"/>
                <w:w w:val="94"/>
              </w:rPr>
              <w:t xml:space="preserve"> NO</w:t>
            </w:r>
          </w:p>
        </w:tc>
      </w:tr>
      <w:tr>
        <w:trPr>
          <w:trHeight w:val="196"/>
        </w:trPr>
        <w:tc>
          <w:tcPr>
            <w:tcW w:w="360" w:type="dxa"/>
            <w:vAlign w:val="bottom"/>
          </w:tcPr>
          <w:p>
            <w:pPr>
              <w:spacing w:after="0"/>
              <w:rPr>
                <w:sz w:val="17"/>
                <w:szCs w:val="17"/>
                <w:color w:val="auto"/>
              </w:rPr>
            </w:pPr>
          </w:p>
        </w:tc>
        <w:tc>
          <w:tcPr>
            <w:tcW w:w="780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State”) of the EEA or the U.K.?</w:t>
            </w:r>
          </w:p>
        </w:tc>
        <w:tc>
          <w:tcPr>
            <w:tcW w:w="62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
        </w:trPr>
        <w:tc>
          <w:tcPr>
            <w:tcW w:w="3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47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58"/>
        </w:trPr>
        <w:tc>
          <w:tcPr>
            <w:tcW w:w="360" w:type="dxa"/>
            <w:vAlign w:val="bottom"/>
          </w:tcPr>
          <w:p>
            <w:pPr>
              <w:spacing w:after="0"/>
              <w:rPr>
                <w:sz w:val="24"/>
                <w:szCs w:val="24"/>
                <w:color w:val="auto"/>
              </w:rPr>
            </w:pPr>
          </w:p>
        </w:tc>
        <w:tc>
          <w:tcPr>
            <w:tcW w:w="87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(1) If YES, please specify the EEA Member State or if in the U.K.:</w:t>
            </w: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38"/>
        </w:trPr>
        <w:tc>
          <w:tcPr>
            <w:tcW w:w="8160" w:type="dxa"/>
            <w:vAlign w:val="bottom"/>
            <w:gridSpan w:val="5"/>
          </w:tcPr>
          <w:p>
            <w:pPr>
              <w:ind w:left="720"/>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19"/>
        </w:trPr>
        <w:tc>
          <w:tcPr>
            <w:tcW w:w="91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(B)   Does the Beneficial Owner (if applicable) of the subscriber have discretionary authority to make the investment decision</w:t>
            </w:r>
          </w:p>
        </w:tc>
        <w:tc>
          <w:tcPr>
            <w:tcW w:w="780" w:type="dxa"/>
            <w:vAlign w:val="bottom"/>
          </w:tcPr>
          <w:p>
            <w:pPr>
              <w:ind w:left="1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w:t>
            </w:r>
          </w:p>
        </w:tc>
        <w:tc>
          <w:tcPr>
            <w:tcW w:w="580" w:type="dxa"/>
            <w:vAlign w:val="bottom"/>
          </w:tcPr>
          <w:p>
            <w:pPr>
              <w:ind w:left="100"/>
              <w:spacing w:after="0" w:line="207" w:lineRule="exact"/>
              <w:rPr>
                <w:sz w:val="20"/>
                <w:szCs w:val="20"/>
                <w:color w:val="auto"/>
              </w:rPr>
            </w:pPr>
            <w:r>
              <w:rPr>
                <w:rFonts w:ascii="MS PGothic" w:cs="MS PGothic" w:eastAsia="MS PGothic" w:hAnsi="MS PGothic"/>
                <w:sz w:val="18"/>
                <w:szCs w:val="18"/>
                <w:color w:val="auto"/>
                <w:w w:val="94"/>
              </w:rPr>
              <w:t>☐</w:t>
            </w:r>
            <w:r>
              <w:rPr>
                <w:rFonts w:ascii="Times New Roman" w:cs="Times New Roman" w:eastAsia="Times New Roman" w:hAnsi="Times New Roman"/>
                <w:sz w:val="18"/>
                <w:szCs w:val="18"/>
                <w:color w:val="auto"/>
                <w:w w:val="94"/>
              </w:rPr>
              <w:t xml:space="preserve"> NO</w:t>
            </w:r>
          </w:p>
        </w:tc>
      </w:tr>
      <w:tr>
        <w:trPr>
          <w:trHeight w:val="234"/>
        </w:trPr>
        <w:tc>
          <w:tcPr>
            <w:tcW w:w="360" w:type="dxa"/>
            <w:vAlign w:val="bottom"/>
          </w:tcPr>
          <w:p>
            <w:pPr>
              <w:spacing w:after="0"/>
              <w:rPr>
                <w:sz w:val="20"/>
                <w:szCs w:val="20"/>
                <w:color w:val="auto"/>
              </w:rPr>
            </w:pPr>
          </w:p>
        </w:tc>
        <w:tc>
          <w:tcPr>
            <w:tcW w:w="87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to subscribe for the Shares on behalf of, or for the account of, the subscriber?</w:t>
            </w:r>
          </w:p>
        </w:tc>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306"/>
        </w:trPr>
        <w:tc>
          <w:tcPr>
            <w:tcW w:w="360" w:type="dxa"/>
            <w:vAlign w:val="bottom"/>
          </w:tcPr>
          <w:p>
            <w:pPr>
              <w:spacing w:after="0"/>
              <w:rPr>
                <w:sz w:val="24"/>
                <w:szCs w:val="24"/>
                <w:color w:val="auto"/>
              </w:rPr>
            </w:pPr>
          </w:p>
        </w:tc>
        <w:tc>
          <w:tcPr>
            <w:tcW w:w="87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(1)    If YES, is the Beneficial Owner resident or domiciled, or does the Beneficial Owner of the subscriber have a</w:t>
            </w:r>
          </w:p>
        </w:tc>
        <w:tc>
          <w:tcPr>
            <w:tcW w:w="780" w:type="dxa"/>
            <w:vAlign w:val="bottom"/>
          </w:tcPr>
          <w:p>
            <w:pPr>
              <w:ind w:left="1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w:t>
            </w:r>
          </w:p>
        </w:tc>
        <w:tc>
          <w:tcPr>
            <w:tcW w:w="580" w:type="dxa"/>
            <w:vAlign w:val="bottom"/>
          </w:tcPr>
          <w:p>
            <w:pPr>
              <w:ind w:left="100"/>
              <w:spacing w:after="0" w:line="207" w:lineRule="exact"/>
              <w:rPr>
                <w:sz w:val="20"/>
                <w:szCs w:val="20"/>
                <w:color w:val="auto"/>
              </w:rPr>
            </w:pPr>
            <w:r>
              <w:rPr>
                <w:rFonts w:ascii="MS PGothic" w:cs="MS PGothic" w:eastAsia="MS PGothic" w:hAnsi="MS PGothic"/>
                <w:sz w:val="18"/>
                <w:szCs w:val="18"/>
                <w:color w:val="auto"/>
                <w:w w:val="94"/>
              </w:rPr>
              <w:t>☐</w:t>
            </w:r>
            <w:r>
              <w:rPr>
                <w:rFonts w:ascii="Times New Roman" w:cs="Times New Roman" w:eastAsia="Times New Roman" w:hAnsi="Times New Roman"/>
                <w:sz w:val="18"/>
                <w:szCs w:val="18"/>
                <w:color w:val="auto"/>
                <w:w w:val="94"/>
              </w:rPr>
              <w:t xml:space="preserve"> NO</w:t>
            </w:r>
          </w:p>
        </w:tc>
      </w:tr>
      <w:tr>
        <w:trPr>
          <w:trHeight w:val="234"/>
        </w:trPr>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registered office, in an EEA Member State or the U.K.?</w:t>
            </w:r>
          </w:p>
        </w:tc>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338"/>
        </w:trPr>
        <w:tc>
          <w:tcPr>
            <w:tcW w:w="360" w:type="dxa"/>
            <w:vAlign w:val="bottom"/>
          </w:tcPr>
          <w:p>
            <w:pPr>
              <w:spacing w:after="0"/>
              <w:rPr>
                <w:sz w:val="24"/>
                <w:szCs w:val="24"/>
                <w:color w:val="auto"/>
              </w:rPr>
            </w:pPr>
          </w:p>
        </w:tc>
        <w:tc>
          <w:tcPr>
            <w:tcW w:w="87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(2)    If YES, please specify the EEA Member State or if in the U.K.:</w:t>
            </w: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38"/>
        </w:trPr>
        <w:tc>
          <w:tcPr>
            <w:tcW w:w="8160" w:type="dxa"/>
            <w:vAlign w:val="bottom"/>
            <w:gridSpan w:val="5"/>
          </w:tcPr>
          <w:p>
            <w:pPr>
              <w:ind w:left="720"/>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19"/>
        </w:trPr>
        <w:tc>
          <w:tcPr>
            <w:tcW w:w="91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   Does the subscriber have an investment manager with discretionary authority to make the investment decision to</w:t>
            </w:r>
          </w:p>
        </w:tc>
        <w:tc>
          <w:tcPr>
            <w:tcW w:w="780" w:type="dxa"/>
            <w:vAlign w:val="bottom"/>
          </w:tcPr>
          <w:p>
            <w:pPr>
              <w:ind w:left="1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w:t>
            </w:r>
          </w:p>
        </w:tc>
        <w:tc>
          <w:tcPr>
            <w:tcW w:w="580" w:type="dxa"/>
            <w:vAlign w:val="bottom"/>
          </w:tcPr>
          <w:p>
            <w:pPr>
              <w:ind w:left="100"/>
              <w:spacing w:after="0" w:line="207" w:lineRule="exact"/>
              <w:rPr>
                <w:sz w:val="20"/>
                <w:szCs w:val="20"/>
                <w:color w:val="auto"/>
              </w:rPr>
            </w:pPr>
            <w:r>
              <w:rPr>
                <w:rFonts w:ascii="MS PGothic" w:cs="MS PGothic" w:eastAsia="MS PGothic" w:hAnsi="MS PGothic"/>
                <w:sz w:val="18"/>
                <w:szCs w:val="18"/>
                <w:color w:val="auto"/>
                <w:w w:val="94"/>
              </w:rPr>
              <w:t>☐</w:t>
            </w:r>
            <w:r>
              <w:rPr>
                <w:rFonts w:ascii="Times New Roman" w:cs="Times New Roman" w:eastAsia="Times New Roman" w:hAnsi="Times New Roman"/>
                <w:sz w:val="18"/>
                <w:szCs w:val="18"/>
                <w:color w:val="auto"/>
                <w:w w:val="94"/>
              </w:rPr>
              <w:t xml:space="preserve"> NO</w:t>
            </w:r>
          </w:p>
        </w:tc>
      </w:tr>
      <w:tr>
        <w:trPr>
          <w:trHeight w:val="234"/>
        </w:trPr>
        <w:tc>
          <w:tcPr>
            <w:tcW w:w="360" w:type="dxa"/>
            <w:vAlign w:val="bottom"/>
          </w:tcPr>
          <w:p>
            <w:pPr>
              <w:spacing w:after="0"/>
              <w:rPr>
                <w:sz w:val="20"/>
                <w:szCs w:val="20"/>
                <w:color w:val="auto"/>
              </w:rPr>
            </w:pPr>
          </w:p>
        </w:tc>
        <w:tc>
          <w:tcPr>
            <w:tcW w:w="87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subscribe for the Shares on behalf of, or for the account of, the subscriber?</w:t>
            </w:r>
          </w:p>
        </w:tc>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306"/>
        </w:trPr>
        <w:tc>
          <w:tcPr>
            <w:tcW w:w="360" w:type="dxa"/>
            <w:vAlign w:val="bottom"/>
          </w:tcPr>
          <w:p>
            <w:pPr>
              <w:spacing w:after="0"/>
              <w:rPr>
                <w:sz w:val="24"/>
                <w:szCs w:val="24"/>
                <w:color w:val="auto"/>
              </w:rPr>
            </w:pPr>
          </w:p>
        </w:tc>
        <w:tc>
          <w:tcPr>
            <w:tcW w:w="87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(1)    If YES, is the discretionary investment manager resident or domiciled, or does the discretionary investment</w:t>
            </w:r>
          </w:p>
        </w:tc>
        <w:tc>
          <w:tcPr>
            <w:tcW w:w="780" w:type="dxa"/>
            <w:vAlign w:val="bottom"/>
          </w:tcPr>
          <w:p>
            <w:pPr>
              <w:ind w:left="1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w:t>
            </w:r>
          </w:p>
        </w:tc>
        <w:tc>
          <w:tcPr>
            <w:tcW w:w="580" w:type="dxa"/>
            <w:vAlign w:val="bottom"/>
          </w:tcPr>
          <w:p>
            <w:pPr>
              <w:ind w:left="100"/>
              <w:spacing w:after="0" w:line="207" w:lineRule="exact"/>
              <w:rPr>
                <w:sz w:val="20"/>
                <w:szCs w:val="20"/>
                <w:color w:val="auto"/>
              </w:rPr>
            </w:pPr>
            <w:r>
              <w:rPr>
                <w:rFonts w:ascii="MS PGothic" w:cs="MS PGothic" w:eastAsia="MS PGothic" w:hAnsi="MS PGothic"/>
                <w:sz w:val="18"/>
                <w:szCs w:val="18"/>
                <w:color w:val="auto"/>
                <w:w w:val="94"/>
              </w:rPr>
              <w:t>☐</w:t>
            </w:r>
            <w:r>
              <w:rPr>
                <w:rFonts w:ascii="Times New Roman" w:cs="Times New Roman" w:eastAsia="Times New Roman" w:hAnsi="Times New Roman"/>
                <w:sz w:val="18"/>
                <w:szCs w:val="18"/>
                <w:color w:val="auto"/>
                <w:w w:val="94"/>
              </w:rPr>
              <w:t xml:space="preserve"> NO</w:t>
            </w:r>
          </w:p>
        </w:tc>
      </w:tr>
      <w:tr>
        <w:trPr>
          <w:trHeight w:val="234"/>
        </w:trPr>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manager of the subscriber have a registered office, in an EEA Member State or the U.K.?</w:t>
            </w:r>
          </w:p>
        </w:tc>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338"/>
        </w:trPr>
        <w:tc>
          <w:tcPr>
            <w:tcW w:w="360" w:type="dxa"/>
            <w:vAlign w:val="bottom"/>
          </w:tcPr>
          <w:p>
            <w:pPr>
              <w:spacing w:after="0"/>
              <w:rPr>
                <w:sz w:val="24"/>
                <w:szCs w:val="24"/>
                <w:color w:val="auto"/>
              </w:rPr>
            </w:pPr>
          </w:p>
        </w:tc>
        <w:tc>
          <w:tcPr>
            <w:tcW w:w="87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(2)    If YES, please specify the EEA Member State or if in the U.K.:</w:t>
            </w: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38"/>
        </w:trPr>
        <w:tc>
          <w:tcPr>
            <w:tcW w:w="8160" w:type="dxa"/>
            <w:vAlign w:val="bottom"/>
            <w:gridSpan w:val="5"/>
          </w:tcPr>
          <w:p>
            <w:pPr>
              <w:ind w:left="720"/>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19"/>
        </w:trPr>
        <w:tc>
          <w:tcPr>
            <w:tcW w:w="91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(D)   Is the subscriber or, to the extent a person other than the subscriber qualifies as the AIFMD/AIFMR Investor (as defined</w:t>
            </w:r>
          </w:p>
        </w:tc>
        <w:tc>
          <w:tcPr>
            <w:tcW w:w="780" w:type="dxa"/>
            <w:vAlign w:val="bottom"/>
          </w:tcPr>
          <w:p>
            <w:pPr>
              <w:ind w:left="1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w:t>
            </w:r>
          </w:p>
        </w:tc>
        <w:tc>
          <w:tcPr>
            <w:tcW w:w="580" w:type="dxa"/>
            <w:vAlign w:val="bottom"/>
          </w:tcPr>
          <w:p>
            <w:pPr>
              <w:ind w:left="100"/>
              <w:spacing w:after="0" w:line="207" w:lineRule="exact"/>
              <w:rPr>
                <w:sz w:val="20"/>
                <w:szCs w:val="20"/>
                <w:color w:val="auto"/>
              </w:rPr>
            </w:pPr>
            <w:r>
              <w:rPr>
                <w:rFonts w:ascii="MS PGothic" w:cs="MS PGothic" w:eastAsia="MS PGothic" w:hAnsi="MS PGothic"/>
                <w:sz w:val="18"/>
                <w:szCs w:val="18"/>
                <w:color w:val="auto"/>
                <w:w w:val="94"/>
              </w:rPr>
              <w:t>☐</w:t>
            </w:r>
            <w:r>
              <w:rPr>
                <w:rFonts w:ascii="Times New Roman" w:cs="Times New Roman" w:eastAsia="Times New Roman" w:hAnsi="Times New Roman"/>
                <w:sz w:val="18"/>
                <w:szCs w:val="18"/>
                <w:color w:val="auto"/>
                <w:w w:val="94"/>
              </w:rPr>
              <w:t xml:space="preserve"> NO</w:t>
            </w:r>
          </w:p>
        </w:tc>
      </w:tr>
      <w:tr>
        <w:trPr>
          <w:trHeight w:val="194"/>
        </w:trPr>
        <w:tc>
          <w:tcPr>
            <w:tcW w:w="360" w:type="dxa"/>
            <w:vAlign w:val="bottom"/>
          </w:tcPr>
          <w:p>
            <w:pPr>
              <w:spacing w:after="0"/>
              <w:rPr>
                <w:sz w:val="16"/>
                <w:szCs w:val="16"/>
                <w:color w:val="auto"/>
              </w:rPr>
            </w:pPr>
          </w:p>
        </w:tc>
        <w:tc>
          <w:tcPr>
            <w:tcW w:w="8780" w:type="dxa"/>
            <w:vAlign w:val="bottom"/>
            <w:gridSpan w:val="6"/>
          </w:tcPr>
          <w:p>
            <w:pPr>
              <w:spacing w:after="0" w:line="194" w:lineRule="exact"/>
              <w:rPr>
                <w:sz w:val="20"/>
                <w:szCs w:val="20"/>
                <w:color w:val="auto"/>
              </w:rPr>
            </w:pPr>
            <w:r>
              <w:rPr>
                <w:rFonts w:ascii="Times New Roman" w:cs="Times New Roman" w:eastAsia="Times New Roman" w:hAnsi="Times New Roman"/>
                <w:sz w:val="18"/>
                <w:szCs w:val="18"/>
                <w:color w:val="auto"/>
              </w:rPr>
              <w:t>below) (the “Non-subscribing AIFMD/AIFMR Investor”), a local public authority or municipality in an EEA Member</w:t>
            </w: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0"/>
        </w:trPr>
        <w:tc>
          <w:tcPr>
            <w:tcW w:w="3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080" w:type="dxa"/>
            <w:vAlign w:val="bottom"/>
            <w:shd w:val="clear" w:color="auto" w:fill="000000"/>
          </w:tcPr>
          <w:p>
            <w:pPr>
              <w:spacing w:after="0" w:line="20" w:lineRule="exact"/>
              <w:rPr>
                <w:sz w:val="1"/>
                <w:szCs w:val="1"/>
                <w:color w:val="auto"/>
              </w:rPr>
            </w:pPr>
          </w:p>
        </w:tc>
        <w:tc>
          <w:tcPr>
            <w:tcW w:w="47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37"/>
        </w:trPr>
        <w:tc>
          <w:tcPr>
            <w:tcW w:w="360" w:type="dxa"/>
            <w:vAlign w:val="bottom"/>
          </w:tcPr>
          <w:p>
            <w:pPr>
              <w:spacing w:after="0"/>
              <w:rPr>
                <w:sz w:val="20"/>
                <w:szCs w:val="20"/>
                <w:color w:val="auto"/>
              </w:rPr>
            </w:pPr>
          </w:p>
        </w:tc>
        <w:tc>
          <w:tcPr>
            <w:tcW w:w="87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State or in the U.K.?</w:t>
            </w:r>
          </w:p>
        </w:tc>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319"/>
        </w:trPr>
        <w:tc>
          <w:tcPr>
            <w:tcW w:w="360" w:type="dxa"/>
            <w:vAlign w:val="bottom"/>
          </w:tcPr>
          <w:p>
            <w:pPr>
              <w:spacing w:after="0"/>
              <w:rPr>
                <w:sz w:val="24"/>
                <w:szCs w:val="24"/>
                <w:color w:val="auto"/>
              </w:rPr>
            </w:pPr>
          </w:p>
        </w:tc>
        <w:tc>
          <w:tcPr>
            <w:tcW w:w="87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If YES, please email List-SixthStreetBDC@stblaw.com or call Jeremy Entwistle (202-636-5993) at Simpson Thacher &amp;</w:t>
            </w: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34"/>
        </w:trPr>
        <w:tc>
          <w:tcPr>
            <w:tcW w:w="360" w:type="dxa"/>
            <w:vAlign w:val="bottom"/>
          </w:tcPr>
          <w:p>
            <w:pPr>
              <w:spacing w:after="0"/>
              <w:rPr>
                <w:sz w:val="20"/>
                <w:szCs w:val="20"/>
                <w:color w:val="auto"/>
              </w:rPr>
            </w:pPr>
          </w:p>
        </w:tc>
        <w:tc>
          <w:tcPr>
            <w:tcW w:w="87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Bartlett LLP.</w:t>
            </w:r>
          </w:p>
        </w:tc>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r>
    </w:tbl>
    <w:p>
      <w:pPr>
        <w:spacing w:after="0" w:line="2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right="60"/>
        <w:spacing w:after="0" w:line="282" w:lineRule="auto"/>
        <w:rPr>
          <w:sz w:val="20"/>
          <w:szCs w:val="20"/>
          <w:color w:val="auto"/>
        </w:rPr>
      </w:pPr>
      <w:r>
        <w:rPr>
          <w:rFonts w:ascii="Times New Roman" w:cs="Times New Roman" w:eastAsia="Times New Roman" w:hAnsi="Times New Roman"/>
          <w:sz w:val="18"/>
          <w:szCs w:val="18"/>
          <w:color w:val="auto"/>
        </w:rPr>
        <w:t>If the subscriber answered “YES” to Sections XIV(A), (B)(1) or (C)(1) above, please complete the remainder of this section. If the subscriber answered “NO”, proceed to Section XVII.</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If the subscriber answered “YES” to Sections XIV(B)(1) or (C)(1) above, please note that the Beneficial Owner or the discretionary investment manager may be considered as the investor for the purposes of the European Union’s Directive 2011/61/EU on Alternative Investment Fund Managers, as implemented in the relevant Member State or the U.K. Alternative Investment Fund Managers Regulations 2013 (the “</w:t>
      </w:r>
      <w:r>
        <w:rPr>
          <w:rFonts w:ascii="Times New Roman" w:cs="Times New Roman" w:eastAsia="Times New Roman" w:hAnsi="Times New Roman"/>
          <w:sz w:val="18"/>
          <w:szCs w:val="18"/>
          <w:u w:val="single" w:color="auto"/>
          <w:color w:val="auto"/>
        </w:rPr>
        <w:t>AIFMD/AIFMR Investor</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0"/>
          </w:cols>
          <w:pgMar w:left="440" w:top="266" w:right="479" w:bottom="1440" w:gutter="0" w:footer="0" w:header="0"/>
        </w:sectPr>
      </w:pPr>
    </w:p>
    <w:bookmarkStart w:id="214" w:name="page215"/>
    <w:bookmarkEnd w:id="214"/>
    <w:p>
      <w:pPr>
        <w:ind w:left="424" w:right="20" w:hanging="424"/>
        <w:spacing w:after="0" w:line="268" w:lineRule="auto"/>
        <w:tabs>
          <w:tab w:leader="none" w:pos="424"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Professional Investor Status: </w:t>
      </w:r>
      <w:r>
        <w:rPr>
          <w:rFonts w:ascii="Times New Roman" w:cs="Times New Roman" w:eastAsia="Times New Roman" w:hAnsi="Times New Roman"/>
          <w:sz w:val="18"/>
          <w:szCs w:val="18"/>
          <w:color w:val="auto"/>
        </w:rPr>
        <w:t>By executing this Subscription Booklet, the subscriber confirms that it or the Non-subscribing AIFMD/AIFMR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Investor possesses the experience, knowledge and expertise to make its own investment decisions and to properly assess the risks of an investment in the Company. In addition, the subscriber represents to the Company and the Adviser the following (</w:t>
      </w:r>
      <w:r>
        <w:rPr>
          <w:rFonts w:ascii="Times New Roman" w:cs="Times New Roman" w:eastAsia="Times New Roman" w:hAnsi="Times New Roman"/>
          <w:sz w:val="18"/>
          <w:szCs w:val="18"/>
          <w:i w:val="1"/>
          <w:iCs w:val="1"/>
          <w:color w:val="auto"/>
        </w:rPr>
        <w:t>please check any applicable boxes below</w:t>
      </w:r>
      <w:r>
        <w:rPr>
          <w:rFonts w:ascii="Times New Roman" w:cs="Times New Roman" w:eastAsia="Times New Roman" w:hAnsi="Times New Roman"/>
          <w:sz w:val="18"/>
          <w:szCs w:val="18"/>
          <w:color w:val="auto"/>
        </w:rPr>
        <w:t>):</w:t>
      </w:r>
    </w:p>
    <w:p>
      <w:pPr>
        <w:spacing w:after="0" w:line="66" w:lineRule="exact"/>
        <w:rPr>
          <w:rFonts w:ascii="Times New Roman" w:cs="Times New Roman" w:eastAsia="Times New Roman" w:hAnsi="Times New Roman"/>
          <w:sz w:val="18"/>
          <w:szCs w:val="18"/>
          <w:color w:val="auto"/>
        </w:rPr>
      </w:pPr>
    </w:p>
    <w:p>
      <w:pPr>
        <w:ind w:left="764" w:hanging="213"/>
        <w:spacing w:after="0"/>
        <w:tabs>
          <w:tab w:leader="none" w:pos="764" w:val="left"/>
        </w:tabs>
        <w:numPr>
          <w:ilvl w:val="1"/>
          <w:numId w:val="20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subscriber or the Non-subscribing AIFMD/AIFMR Investor (as applicable) is:</w:t>
      </w:r>
    </w:p>
    <w:p>
      <w:pPr>
        <w:spacing w:after="0" w:line="117" w:lineRule="exact"/>
        <w:rPr>
          <w:rFonts w:ascii="MS PGothic" w:cs="MS PGothic" w:eastAsia="MS PGothic" w:hAnsi="MS PGothic"/>
          <w:sz w:val="18"/>
          <w:szCs w:val="18"/>
          <w:color w:val="auto"/>
        </w:rPr>
      </w:pPr>
    </w:p>
    <w:p>
      <w:pPr>
        <w:ind w:left="1204" w:hanging="213"/>
        <w:spacing w:after="0"/>
        <w:tabs>
          <w:tab w:leader="none" w:pos="1204" w:val="left"/>
        </w:tabs>
        <w:numPr>
          <w:ilvl w:val="2"/>
          <w:numId w:val="20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 credit institution</w:t>
      </w:r>
    </w:p>
    <w:p>
      <w:pPr>
        <w:spacing w:after="0" w:line="117" w:lineRule="exact"/>
        <w:rPr>
          <w:rFonts w:ascii="MS PGothic" w:cs="MS PGothic" w:eastAsia="MS PGothic" w:hAnsi="MS PGothic"/>
          <w:sz w:val="18"/>
          <w:szCs w:val="18"/>
          <w:color w:val="auto"/>
        </w:rPr>
      </w:pPr>
    </w:p>
    <w:p>
      <w:pPr>
        <w:ind w:left="1204" w:hanging="213"/>
        <w:spacing w:after="0"/>
        <w:tabs>
          <w:tab w:leader="none" w:pos="1204" w:val="left"/>
        </w:tabs>
        <w:numPr>
          <w:ilvl w:val="2"/>
          <w:numId w:val="20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 investment firm</w:t>
      </w:r>
    </w:p>
    <w:p>
      <w:pPr>
        <w:spacing w:after="0" w:line="117" w:lineRule="exact"/>
        <w:rPr>
          <w:rFonts w:ascii="MS PGothic" w:cs="MS PGothic" w:eastAsia="MS PGothic" w:hAnsi="MS PGothic"/>
          <w:sz w:val="18"/>
          <w:szCs w:val="18"/>
          <w:color w:val="auto"/>
        </w:rPr>
      </w:pPr>
    </w:p>
    <w:p>
      <w:pPr>
        <w:ind w:left="1204" w:hanging="213"/>
        <w:spacing w:after="0"/>
        <w:tabs>
          <w:tab w:leader="none" w:pos="1204" w:val="left"/>
        </w:tabs>
        <w:numPr>
          <w:ilvl w:val="2"/>
          <w:numId w:val="20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Another authorized or regulated financial institution</w:t>
      </w:r>
    </w:p>
    <w:p>
      <w:pPr>
        <w:spacing w:after="0" w:line="117" w:lineRule="exact"/>
        <w:rPr>
          <w:rFonts w:ascii="MS PGothic" w:cs="MS PGothic" w:eastAsia="MS PGothic" w:hAnsi="MS PGothic"/>
          <w:sz w:val="18"/>
          <w:szCs w:val="18"/>
          <w:color w:val="auto"/>
        </w:rPr>
      </w:pPr>
    </w:p>
    <w:p>
      <w:pPr>
        <w:ind w:left="1204" w:hanging="213"/>
        <w:spacing w:after="0"/>
        <w:tabs>
          <w:tab w:leader="none" w:pos="1204" w:val="left"/>
        </w:tabs>
        <w:numPr>
          <w:ilvl w:val="2"/>
          <w:numId w:val="20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 insurance company</w:t>
      </w:r>
    </w:p>
    <w:p>
      <w:pPr>
        <w:spacing w:after="0" w:line="117" w:lineRule="exact"/>
        <w:rPr>
          <w:rFonts w:ascii="MS PGothic" w:cs="MS PGothic" w:eastAsia="MS PGothic" w:hAnsi="MS PGothic"/>
          <w:sz w:val="18"/>
          <w:szCs w:val="18"/>
          <w:color w:val="auto"/>
        </w:rPr>
      </w:pPr>
    </w:p>
    <w:p>
      <w:pPr>
        <w:ind w:left="1204" w:hanging="213"/>
        <w:spacing w:after="0"/>
        <w:tabs>
          <w:tab w:leader="none" w:pos="1204" w:val="left"/>
        </w:tabs>
        <w:numPr>
          <w:ilvl w:val="2"/>
          <w:numId w:val="20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 collective investment scheme or a management company of such a scheme</w:t>
      </w:r>
    </w:p>
    <w:p>
      <w:pPr>
        <w:spacing w:after="0" w:line="117" w:lineRule="exact"/>
        <w:rPr>
          <w:rFonts w:ascii="MS PGothic" w:cs="MS PGothic" w:eastAsia="MS PGothic" w:hAnsi="MS PGothic"/>
          <w:sz w:val="18"/>
          <w:szCs w:val="18"/>
          <w:color w:val="auto"/>
        </w:rPr>
      </w:pPr>
    </w:p>
    <w:p>
      <w:pPr>
        <w:ind w:left="984" w:right="400" w:firstLine="7"/>
        <w:spacing w:after="0" w:line="282" w:lineRule="auto"/>
        <w:tabs>
          <w:tab w:leader="none" w:pos="1191" w:val="left"/>
        </w:tabs>
        <w:numPr>
          <w:ilvl w:val="2"/>
          <w:numId w:val="20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 pension fund or a management company of such a fund (other than a local public authority or municipality administering a local government pension)</w:t>
      </w:r>
    </w:p>
    <w:p>
      <w:pPr>
        <w:spacing w:after="0" w:line="53" w:lineRule="exact"/>
        <w:rPr>
          <w:rFonts w:ascii="MS PGothic" w:cs="MS PGothic" w:eastAsia="MS PGothic" w:hAnsi="MS PGothic"/>
          <w:sz w:val="18"/>
          <w:szCs w:val="18"/>
          <w:color w:val="auto"/>
        </w:rPr>
      </w:pPr>
    </w:p>
    <w:p>
      <w:pPr>
        <w:ind w:left="1204" w:hanging="213"/>
        <w:spacing w:after="0"/>
        <w:tabs>
          <w:tab w:leader="none" w:pos="1204" w:val="left"/>
        </w:tabs>
        <w:numPr>
          <w:ilvl w:val="2"/>
          <w:numId w:val="20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 commodity or commodity derivatives dealer</w:t>
      </w:r>
    </w:p>
    <w:p>
      <w:pPr>
        <w:spacing w:after="0" w:line="117" w:lineRule="exact"/>
        <w:rPr>
          <w:rFonts w:ascii="MS PGothic" w:cs="MS PGothic" w:eastAsia="MS PGothic" w:hAnsi="MS PGothic"/>
          <w:sz w:val="18"/>
          <w:szCs w:val="18"/>
          <w:color w:val="auto"/>
        </w:rPr>
      </w:pPr>
    </w:p>
    <w:p>
      <w:pPr>
        <w:ind w:left="1204" w:hanging="213"/>
        <w:spacing w:after="0"/>
        <w:tabs>
          <w:tab w:leader="none" w:pos="1204" w:val="left"/>
        </w:tabs>
        <w:numPr>
          <w:ilvl w:val="2"/>
          <w:numId w:val="20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 Local</w:t>
      </w:r>
      <w:r>
        <w:rPr>
          <w:rFonts w:ascii="Times New Roman" w:cs="Times New Roman" w:eastAsia="Times New Roman" w:hAnsi="Times New Roman"/>
          <w:sz w:val="15"/>
          <w:szCs w:val="15"/>
          <w:color w:val="auto"/>
        </w:rPr>
        <w:t>36</w:t>
      </w:r>
      <w:r>
        <w:rPr>
          <w:rFonts w:ascii="Times New Roman" w:cs="Times New Roman" w:eastAsia="Times New Roman" w:hAnsi="Times New Roman"/>
          <w:sz w:val="18"/>
          <w:szCs w:val="18"/>
          <w:color w:val="auto"/>
        </w:rPr>
        <w:t xml:space="preserve"> within the meaning of Directive 2004/39/EU</w:t>
      </w:r>
    </w:p>
    <w:p>
      <w:pPr>
        <w:spacing w:after="0" w:line="117" w:lineRule="exact"/>
        <w:rPr>
          <w:rFonts w:ascii="MS PGothic" w:cs="MS PGothic" w:eastAsia="MS PGothic" w:hAnsi="MS PGothic"/>
          <w:sz w:val="18"/>
          <w:szCs w:val="18"/>
          <w:color w:val="auto"/>
        </w:rPr>
      </w:pPr>
    </w:p>
    <w:p>
      <w:pPr>
        <w:ind w:left="1204" w:hanging="213"/>
        <w:spacing w:after="0"/>
        <w:tabs>
          <w:tab w:leader="none" w:pos="1204" w:val="left"/>
        </w:tabs>
        <w:numPr>
          <w:ilvl w:val="2"/>
          <w:numId w:val="20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Another institutional investor</w:t>
      </w:r>
      <w:r>
        <w:rPr>
          <w:rFonts w:ascii="Times New Roman" w:cs="Times New Roman" w:eastAsia="Times New Roman" w:hAnsi="Times New Roman"/>
          <w:sz w:val="15"/>
          <w:szCs w:val="15"/>
          <w:color w:val="auto"/>
        </w:rPr>
        <w:t>37</w:t>
      </w:r>
    </w:p>
    <w:p>
      <w:pPr>
        <w:spacing w:after="0" w:line="117" w:lineRule="exact"/>
        <w:rPr>
          <w:sz w:val="20"/>
          <w:szCs w:val="20"/>
          <w:color w:val="auto"/>
        </w:rPr>
      </w:pPr>
    </w:p>
    <w:p>
      <w:pPr>
        <w:ind w:left="444"/>
        <w:spacing w:after="0" w:line="261" w:lineRule="auto"/>
        <w:rPr>
          <w:sz w:val="20"/>
          <w:szCs w:val="20"/>
          <w:color w:val="auto"/>
        </w:rPr>
      </w:pPr>
      <w:r>
        <w:rPr>
          <w:rFonts w:ascii="Times New Roman" w:cs="Times New Roman" w:eastAsia="Times New Roman" w:hAnsi="Times New Roman"/>
          <w:sz w:val="18"/>
          <w:szCs w:val="18"/>
          <w:color w:val="auto"/>
        </w:rPr>
        <w:t>and is required to be authorized or regulated to operate in the financial markets.</w:t>
      </w:r>
      <w:r>
        <w:rPr>
          <w:rFonts w:ascii="Times New Roman" w:cs="Times New Roman" w:eastAsia="Times New Roman" w:hAnsi="Times New Roman"/>
          <w:sz w:val="15"/>
          <w:szCs w:val="15"/>
          <w:color w:val="auto"/>
        </w:rPr>
        <w:t>38</w:t>
      </w:r>
      <w:r>
        <w:rPr>
          <w:rFonts w:ascii="Times New Roman" w:cs="Times New Roman" w:eastAsia="Times New Roman" w:hAnsi="Times New Roman"/>
          <w:sz w:val="18"/>
          <w:szCs w:val="18"/>
          <w:color w:val="auto"/>
        </w:rPr>
        <w:t xml:space="preserve"> The list above should be understood as including all authorized entities carrying out the characteristic activities of the entities mentioned above, i.e. entities authorized by an EEA Member State under a Directive, entities authorized or regulated by an EEA Member State without reference to a Directive, and entities authorized or regulated by a non-EEA Member State (including the U.K.).</w:t>
      </w:r>
    </w:p>
    <w:p>
      <w:pPr>
        <w:spacing w:after="0" w:line="72" w:lineRule="exact"/>
        <w:rPr>
          <w:sz w:val="20"/>
          <w:szCs w:val="20"/>
          <w:color w:val="auto"/>
        </w:rPr>
      </w:pPr>
    </w:p>
    <w:p>
      <w:pPr>
        <w:ind w:left="444" w:right="180" w:hanging="4"/>
        <w:spacing w:after="0" w:line="266" w:lineRule="auto"/>
        <w:tabs>
          <w:tab w:leader="none" w:pos="651" w:val="left"/>
        </w:tabs>
        <w:numPr>
          <w:ilvl w:val="0"/>
          <w:numId w:val="20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subscriber or the Non-subscribing AIFMD/AIFMR Investor (as applicable) is a national or regional government, a public body that manages public debt, a Central Bank, an international or supranational institution such as the World Bank, the IMF, the ECB, the EIB or another similar international organization.</w:t>
      </w:r>
    </w:p>
    <w:p>
      <w:pPr>
        <w:spacing w:after="0" w:line="67" w:lineRule="exact"/>
        <w:rPr>
          <w:rFonts w:ascii="MS PGothic" w:cs="MS PGothic" w:eastAsia="MS PGothic" w:hAnsi="MS PGothic"/>
          <w:sz w:val="18"/>
          <w:szCs w:val="18"/>
          <w:color w:val="auto"/>
        </w:rPr>
      </w:pPr>
    </w:p>
    <w:p>
      <w:pPr>
        <w:ind w:left="444" w:right="20" w:hanging="4"/>
        <w:spacing w:after="0" w:line="282" w:lineRule="auto"/>
        <w:tabs>
          <w:tab w:leader="none" w:pos="651" w:val="left"/>
        </w:tabs>
        <w:numPr>
          <w:ilvl w:val="0"/>
          <w:numId w:val="20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subscriber or the Non-subscribing AIFMD/AIFMR Investor (as applicable) is another institutional investor whose main activity is to invest in financial instruments.</w:t>
      </w:r>
      <w:r>
        <w:rPr>
          <w:rFonts w:ascii="Times New Roman" w:cs="Times New Roman" w:eastAsia="Times New Roman" w:hAnsi="Times New Roman"/>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71120</wp:posOffset>
            </wp:positionV>
            <wp:extent cx="77152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15" w:lineRule="exact"/>
        <w:rPr>
          <w:sz w:val="20"/>
          <w:szCs w:val="20"/>
          <w:color w:val="auto"/>
        </w:rPr>
      </w:pPr>
    </w:p>
    <w:p>
      <w:pPr>
        <w:ind w:left="424" w:right="220" w:hanging="424"/>
        <w:spacing w:after="0" w:line="255" w:lineRule="auto"/>
        <w:tabs>
          <w:tab w:leader="none" w:pos="424" w:val="left"/>
        </w:tabs>
        <w:numPr>
          <w:ilvl w:val="0"/>
          <w:numId w:val="20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Local</w:t>
      </w:r>
      <w:r>
        <w:rPr>
          <w:rFonts w:ascii="Times New Roman" w:cs="Times New Roman" w:eastAsia="Times New Roman" w:hAnsi="Times New Roman"/>
          <w:sz w:val="18"/>
          <w:szCs w:val="18"/>
          <w:color w:val="auto"/>
        </w:rPr>
        <w:t>” is a firm dealing for its own account on markets in financial futures or other derivatives and on cash markets for the sole purpose of hedging positions on derivatives markets, or dealing for the accounts of other members of those markets and being guaranteed by clearing members of the same markets where responsibility for ensuring the performance of contracts entered into by such a firm is assumed by clearing members of the same markets.</w:t>
      </w:r>
    </w:p>
    <w:p>
      <w:pPr>
        <w:spacing w:after="0" w:line="2" w:lineRule="exact"/>
        <w:rPr>
          <w:rFonts w:ascii="Times New Roman" w:cs="Times New Roman" w:eastAsia="Times New Roman" w:hAnsi="Times New Roman"/>
          <w:sz w:val="15"/>
          <w:szCs w:val="15"/>
          <w:color w:val="auto"/>
        </w:rPr>
      </w:pPr>
    </w:p>
    <w:p>
      <w:pPr>
        <w:ind w:left="424" w:hanging="424"/>
        <w:spacing w:after="0"/>
        <w:tabs>
          <w:tab w:leader="none" w:pos="424" w:val="left"/>
        </w:tabs>
        <w:numPr>
          <w:ilvl w:val="0"/>
          <w:numId w:val="20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This means legal entities rather than individuals.</w:t>
      </w:r>
    </w:p>
    <w:p>
      <w:pPr>
        <w:spacing w:after="0" w:line="9" w:lineRule="exact"/>
        <w:rPr>
          <w:rFonts w:ascii="Times New Roman" w:cs="Times New Roman" w:eastAsia="Times New Roman" w:hAnsi="Times New Roman"/>
          <w:sz w:val="15"/>
          <w:szCs w:val="15"/>
          <w:color w:val="auto"/>
        </w:rPr>
      </w:pPr>
    </w:p>
    <w:p>
      <w:pPr>
        <w:ind w:left="424" w:hanging="424"/>
        <w:spacing w:after="0"/>
        <w:tabs>
          <w:tab w:leader="none" w:pos="424" w:val="left"/>
        </w:tabs>
        <w:numPr>
          <w:ilvl w:val="0"/>
          <w:numId w:val="20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Entities which are required to be authorized or regulated include, for example, regulated broker-dealers, investment advisers, banks etc.</w:t>
      </w:r>
    </w:p>
    <w:p>
      <w:pPr>
        <w:spacing w:after="0" w:line="9" w:lineRule="exact"/>
        <w:rPr>
          <w:rFonts w:ascii="Times New Roman" w:cs="Times New Roman" w:eastAsia="Times New Roman" w:hAnsi="Times New Roman"/>
          <w:sz w:val="15"/>
          <w:szCs w:val="15"/>
          <w:color w:val="auto"/>
        </w:rPr>
      </w:pPr>
    </w:p>
    <w:p>
      <w:pPr>
        <w:ind w:left="424" w:right="200" w:hanging="424"/>
        <w:spacing w:after="0" w:line="255" w:lineRule="auto"/>
        <w:tabs>
          <w:tab w:leader="none" w:pos="424" w:val="left"/>
        </w:tabs>
        <w:numPr>
          <w:ilvl w:val="0"/>
          <w:numId w:val="20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instruments</w:t>
      </w:r>
      <w:r>
        <w:rPr>
          <w:rFonts w:ascii="Times New Roman" w:cs="Times New Roman" w:eastAsia="Times New Roman" w:hAnsi="Times New Roman"/>
          <w:sz w:val="18"/>
          <w:szCs w:val="18"/>
          <w:color w:val="auto"/>
        </w:rPr>
        <w:t>” include transferable securities; money-market instruments; units in collective investment undertakings; options, futures, swaps and any other derivate contracts relating to, for example, securities, currencies or commodities; derivative instruments for the transfer of credit risk; and financial contracts for differences.</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4"/>
          </w:cols>
          <w:pgMar w:left="436" w:top="266" w:right="459" w:bottom="1440" w:gutter="0" w:footer="0" w:header="0"/>
        </w:sectPr>
      </w:pPr>
    </w:p>
    <w:bookmarkStart w:id="215" w:name="page216"/>
    <w:bookmarkEnd w:id="215"/>
    <w:p>
      <w:pPr>
        <w:ind w:left="444" w:right="340" w:hanging="4"/>
        <w:spacing w:after="0" w:line="282" w:lineRule="auto"/>
        <w:tabs>
          <w:tab w:leader="none" w:pos="651" w:val="left"/>
        </w:tabs>
        <w:numPr>
          <w:ilvl w:val="0"/>
          <w:numId w:val="21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subscriber or the Non-subscribing AIFMD/AIFMR Investor (as applicable) is an entity dedicated to the securitisation of assets or other financing transactions.</w:t>
      </w:r>
      <w:r>
        <w:rPr>
          <w:rFonts w:ascii="Times New Roman" w:cs="Times New Roman" w:eastAsia="Times New Roman" w:hAnsi="Times New Roman"/>
          <w:sz w:val="15"/>
          <w:szCs w:val="15"/>
          <w:color w:val="auto"/>
        </w:rPr>
        <w:t>40</w:t>
      </w:r>
    </w:p>
    <w:p>
      <w:pPr>
        <w:spacing w:after="0" w:line="161" w:lineRule="exact"/>
        <w:rPr>
          <w:rFonts w:ascii="MS PGothic" w:cs="MS PGothic" w:eastAsia="MS PGothic" w:hAnsi="MS PGothic"/>
          <w:sz w:val="18"/>
          <w:szCs w:val="18"/>
          <w:color w:val="auto"/>
        </w:rPr>
      </w:pPr>
    </w:p>
    <w:p>
      <w:pPr>
        <w:ind w:left="444" w:right="280" w:hanging="4"/>
        <w:spacing w:after="0" w:line="266" w:lineRule="auto"/>
        <w:tabs>
          <w:tab w:leader="none" w:pos="651" w:val="left"/>
        </w:tabs>
        <w:numPr>
          <w:ilvl w:val="0"/>
          <w:numId w:val="21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The subscriber or the Non-subscribing AIFMD/AIFMR Investor (as applicable) is none of the above. The subscriber or the Non-subscribing AIFMD/AIFMR Investor (as applicable) is a large undertaking meeting </w:t>
      </w:r>
      <w:r>
        <w:rPr>
          <w:rFonts w:ascii="Times New Roman" w:cs="Times New Roman" w:eastAsia="Times New Roman" w:hAnsi="Times New Roman"/>
          <w:sz w:val="18"/>
          <w:szCs w:val="18"/>
          <w:b w:val="1"/>
          <w:bCs w:val="1"/>
          <w:u w:val="single" w:color="auto"/>
          <w:color w:val="auto"/>
        </w:rPr>
        <w:t>two</w:t>
      </w:r>
      <w:r>
        <w:rPr>
          <w:rFonts w:ascii="Times New Roman" w:cs="Times New Roman" w:eastAsia="Times New Roman" w:hAnsi="Times New Roman"/>
          <w:sz w:val="18"/>
          <w:szCs w:val="18"/>
          <w:color w:val="auto"/>
        </w:rPr>
        <w:t xml:space="preserve"> of the following size requirements on a company basis</w:t>
      </w:r>
      <w:r>
        <w:rPr>
          <w:rFonts w:ascii="Times New Roman" w:cs="Times New Roman" w:eastAsia="Times New Roman" w:hAnsi="Times New Roman"/>
          <w:sz w:val="15"/>
          <w:szCs w:val="15"/>
          <w:color w:val="auto"/>
        </w:rPr>
        <w:t>41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please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check where applicable)</w:t>
      </w:r>
      <w:r>
        <w:rPr>
          <w:rFonts w:ascii="Times New Roman" w:cs="Times New Roman" w:eastAsia="Times New Roman" w:hAnsi="Times New Roman"/>
          <w:sz w:val="18"/>
          <w:szCs w:val="18"/>
          <w:color w:val="auto"/>
        </w:rPr>
        <w:t>:</w:t>
      </w:r>
    </w:p>
    <w:p>
      <w:pPr>
        <w:spacing w:after="0" w:line="216" w:lineRule="exact"/>
        <w:rPr>
          <w:sz w:val="20"/>
          <w:szCs w:val="20"/>
          <w:color w:val="auto"/>
        </w:rPr>
      </w:pPr>
    </w:p>
    <w:tbl>
      <w:tblPr>
        <w:tblLayout w:type="fixed"/>
        <w:tblInd w:w="1764" w:type="dxa"/>
        <w:tblCellMar>
          <w:top w:w="0" w:type="dxa"/>
          <w:left w:w="0" w:type="dxa"/>
          <w:bottom w:w="0" w:type="dxa"/>
          <w:right w:w="0" w:type="dxa"/>
        </w:tblCellMar>
      </w:tblPr>
      <w:tr>
        <w:trPr>
          <w:trHeight w:val="221"/>
        </w:trPr>
        <w:tc>
          <w:tcPr>
            <w:tcW w:w="4040" w:type="dxa"/>
            <w:vAlign w:val="bottom"/>
            <w:shd w:val="clear" w:color="auto" w:fill="CCEEFF"/>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Balance sheet total:</w:t>
            </w:r>
          </w:p>
        </w:tc>
        <w:tc>
          <w:tcPr>
            <w:tcW w:w="2560" w:type="dxa"/>
            <w:vAlign w:val="bottom"/>
            <w:shd w:val="clear" w:color="auto" w:fill="CCEEFF"/>
          </w:tcPr>
          <w:p>
            <w:pPr>
              <w:ind w:left="24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20,000,000</w:t>
            </w:r>
          </w:p>
        </w:tc>
      </w:tr>
      <w:tr>
        <w:trPr>
          <w:trHeight w:val="216"/>
        </w:trPr>
        <w:tc>
          <w:tcPr>
            <w:tcW w:w="404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Net turnover:</w:t>
            </w:r>
          </w:p>
        </w:tc>
        <w:tc>
          <w:tcPr>
            <w:tcW w:w="2560" w:type="dxa"/>
            <w:vAlign w:val="bottom"/>
          </w:tcPr>
          <w:p>
            <w:pPr>
              <w:ind w:left="24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40,000,000</w:t>
            </w:r>
          </w:p>
        </w:tc>
      </w:tr>
      <w:tr>
        <w:trPr>
          <w:trHeight w:val="216"/>
        </w:trPr>
        <w:tc>
          <w:tcPr>
            <w:tcW w:w="4040" w:type="dxa"/>
            <w:vAlign w:val="bottom"/>
            <w:shd w:val="clear" w:color="auto" w:fill="CCEEFF"/>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Own funds:</w:t>
            </w:r>
            <w:r>
              <w:rPr>
                <w:rFonts w:ascii="Times New Roman" w:cs="Times New Roman" w:eastAsia="Times New Roman" w:hAnsi="Times New Roman"/>
                <w:sz w:val="15"/>
                <w:szCs w:val="15"/>
                <w:color w:val="auto"/>
              </w:rPr>
              <w:t>42</w:t>
            </w:r>
          </w:p>
        </w:tc>
        <w:tc>
          <w:tcPr>
            <w:tcW w:w="2560" w:type="dxa"/>
            <w:vAlign w:val="bottom"/>
            <w:shd w:val="clear" w:color="auto" w:fill="CCEEFF"/>
          </w:tcPr>
          <w:p>
            <w:pPr>
              <w:ind w:left="24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w:t>
            </w:r>
          </w:p>
        </w:tc>
      </w:tr>
    </w:tbl>
    <w:p>
      <w:pPr>
        <w:spacing w:after="0" w:line="198" w:lineRule="exact"/>
        <w:rPr>
          <w:sz w:val="20"/>
          <w:szCs w:val="20"/>
          <w:color w:val="auto"/>
        </w:rPr>
      </w:pPr>
    </w:p>
    <w:p>
      <w:pPr>
        <w:ind w:left="444" w:hanging="4"/>
        <w:spacing w:after="0" w:line="282" w:lineRule="auto"/>
        <w:tabs>
          <w:tab w:leader="none" w:pos="651" w:val="left"/>
        </w:tabs>
        <w:numPr>
          <w:ilvl w:val="0"/>
          <w:numId w:val="21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The subscriber or the Non-subscribing AIFMD/AIFMR Investor (as applicable) is an individual or a legal entity which is none of the above, but the subscriber or the Non-subscribing AIFMD/AIFMR Investor (as applicable) satisfies </w:t>
      </w:r>
      <w:r>
        <w:rPr>
          <w:rFonts w:ascii="Times New Roman" w:cs="Times New Roman" w:eastAsia="Times New Roman" w:hAnsi="Times New Roman"/>
          <w:sz w:val="18"/>
          <w:szCs w:val="18"/>
          <w:b w:val="1"/>
          <w:bCs w:val="1"/>
          <w:u w:val="single" w:color="auto"/>
          <w:color w:val="auto"/>
        </w:rPr>
        <w:t>both</w:t>
      </w:r>
      <w:r>
        <w:rPr>
          <w:rFonts w:ascii="Times New Roman" w:cs="Times New Roman" w:eastAsia="Times New Roman" w:hAnsi="Times New Roman"/>
          <w:sz w:val="18"/>
          <w:szCs w:val="18"/>
          <w:color w:val="auto"/>
        </w:rPr>
        <w:t xml:space="preserve"> of the following criteria:</w:t>
      </w:r>
    </w:p>
    <w:p>
      <w:pPr>
        <w:spacing w:after="0" w:line="67" w:lineRule="exact"/>
        <w:rPr>
          <w:rFonts w:ascii="MS PGothic" w:cs="MS PGothic" w:eastAsia="MS PGothic" w:hAnsi="MS PGothic"/>
          <w:sz w:val="18"/>
          <w:szCs w:val="18"/>
          <w:color w:val="auto"/>
        </w:rPr>
      </w:pPr>
    </w:p>
    <w:p>
      <w:pPr>
        <w:ind w:left="1424" w:right="80" w:hanging="439"/>
        <w:spacing w:after="0" w:line="282" w:lineRule="auto"/>
        <w:tabs>
          <w:tab w:leader="none" w:pos="1424"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subscriber’s or the Non-subscribing AIFMD/AIFMR Investor’s (as applicable) financial instrument portfolio, defined as including cash deposits and financial instruments, exceeds €500,000 (or equivalent in another currency);</w:t>
      </w:r>
    </w:p>
    <w:p>
      <w:pPr>
        <w:spacing w:after="0" w:line="67" w:lineRule="exact"/>
        <w:rPr>
          <w:rFonts w:ascii="Times New Roman" w:cs="Times New Roman" w:eastAsia="Times New Roman" w:hAnsi="Times New Roman"/>
          <w:sz w:val="18"/>
          <w:szCs w:val="18"/>
          <w:color w:val="auto"/>
        </w:rPr>
      </w:pPr>
    </w:p>
    <w:p>
      <w:pPr>
        <w:ind w:left="1424" w:right="40" w:hanging="439"/>
        <w:spacing w:after="0" w:line="266" w:lineRule="auto"/>
        <w:tabs>
          <w:tab w:leader="none" w:pos="1424"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subscriber or the Non-subscribing AIFMD/AIFMR Investor (as applicable), or a person authorized to carry out transactions on behalf of the subscriber or the Non-subscribing AIFMD/AIFMR Investor (as applicable), works or has worked in the financial sector for at least one year in a professional position that requires knowledge of the transactions or services envisaged;</w:t>
      </w:r>
    </w:p>
    <w:p>
      <w:pPr>
        <w:spacing w:after="0" w:line="67" w:lineRule="exact"/>
        <w:rPr>
          <w:rFonts w:ascii="Times New Roman" w:cs="Times New Roman" w:eastAsia="Times New Roman" w:hAnsi="Times New Roman"/>
          <w:sz w:val="18"/>
          <w:szCs w:val="18"/>
          <w:color w:val="auto"/>
        </w:rPr>
      </w:pPr>
    </w:p>
    <w:p>
      <w:pPr>
        <w:ind w:left="1424" w:right="4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person is authorized to carry out transactions on behalf of the subscriber or the Non-subscribing AIFMD/AIFMR Investor (as applicable) (</w:t>
      </w:r>
      <w:r>
        <w:rPr>
          <w:rFonts w:ascii="Times New Roman" w:cs="Times New Roman" w:eastAsia="Times New Roman" w:hAnsi="Times New Roman"/>
          <w:sz w:val="18"/>
          <w:szCs w:val="18"/>
          <w:i w:val="1"/>
          <w:iCs w:val="1"/>
          <w:color w:val="auto"/>
        </w:rPr>
        <w:t>if applicable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221"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Please insert name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268605</wp:posOffset>
            </wp:positionV>
            <wp:extent cx="77152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424" w:hanging="424"/>
        <w:spacing w:after="0"/>
        <w:tabs>
          <w:tab w:leader="none" w:pos="424" w:val="left"/>
        </w:tabs>
        <w:numPr>
          <w:ilvl w:val="0"/>
          <w:numId w:val="21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For example, a special purpose vehicle which buys assets financed through the issuance of debt securities.</w:t>
      </w:r>
    </w:p>
    <w:p>
      <w:pPr>
        <w:spacing w:after="0" w:line="27" w:lineRule="exact"/>
        <w:rPr>
          <w:rFonts w:ascii="Times New Roman" w:cs="Times New Roman" w:eastAsia="Times New Roman" w:hAnsi="Times New Roman"/>
          <w:sz w:val="15"/>
          <w:szCs w:val="15"/>
          <w:color w:val="auto"/>
        </w:rPr>
      </w:pPr>
    </w:p>
    <w:p>
      <w:pPr>
        <w:ind w:left="424" w:right="80" w:hanging="424"/>
        <w:spacing w:after="0" w:line="250" w:lineRule="auto"/>
        <w:tabs>
          <w:tab w:leader="none" w:pos="424" w:val="left"/>
        </w:tabs>
        <w:numPr>
          <w:ilvl w:val="0"/>
          <w:numId w:val="21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On a company basis</w:t>
      </w:r>
      <w:r>
        <w:rPr>
          <w:rFonts w:ascii="Times New Roman" w:cs="Times New Roman" w:eastAsia="Times New Roman" w:hAnsi="Times New Roman"/>
          <w:sz w:val="18"/>
          <w:szCs w:val="18"/>
          <w:color w:val="auto"/>
        </w:rPr>
        <w:t>” means that the subscriber must satisfy the relevant size requirements as a single entity as opposed to the subscriber’s group satisfying the size requirements as a group.</w:t>
      </w:r>
    </w:p>
    <w:p>
      <w:pPr>
        <w:ind w:left="424" w:right="300" w:hanging="424"/>
        <w:spacing w:after="0" w:line="260" w:lineRule="auto"/>
        <w:tabs>
          <w:tab w:leader="none" w:pos="424" w:val="left"/>
        </w:tabs>
        <w:numPr>
          <w:ilvl w:val="0"/>
          <w:numId w:val="21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“Own funds” constitute the capital of an entity, including audited reserves, interim net profits, deferred shares, subordinated debt, initial capital and revaluation reserves.</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24"/>
          </w:cols>
          <w:pgMar w:left="436" w:top="270" w:right="439" w:bottom="1440" w:gutter="0" w:footer="0" w:header="0"/>
        </w:sectPr>
      </w:pPr>
    </w:p>
    <w:bookmarkStart w:id="216" w:name="page217"/>
    <w:bookmarkEnd w:id="216"/>
    <w:p>
      <w:pPr>
        <w:ind w:left="444" w:hanging="4"/>
        <w:spacing w:after="0" w:line="282" w:lineRule="auto"/>
        <w:tabs>
          <w:tab w:leader="none" w:pos="651" w:val="left"/>
        </w:tabs>
        <w:numPr>
          <w:ilvl w:val="0"/>
          <w:numId w:val="21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subscriber or the Non-subscribing AIFMD/AIFMR Investor (as applicable) is a U.K. local public authority or municipality, or a U.K. local public authority or municipality administering a local government pension scheme, and:</w:t>
      </w:r>
    </w:p>
    <w:p>
      <w:pPr>
        <w:spacing w:after="0" w:line="67" w:lineRule="exact"/>
        <w:rPr>
          <w:rFonts w:ascii="MS PGothic" w:cs="MS PGothic" w:eastAsia="MS PGothic" w:hAnsi="MS PGothic"/>
          <w:sz w:val="18"/>
          <w:szCs w:val="18"/>
          <w:color w:val="auto"/>
        </w:rPr>
      </w:pPr>
    </w:p>
    <w:p>
      <w:pPr>
        <w:ind w:left="1424" w:right="20" w:hanging="439"/>
        <w:spacing w:after="0" w:line="282" w:lineRule="auto"/>
        <w:tabs>
          <w:tab w:leader="none" w:pos="1424"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subscriber’s or the Non-subscribing AIFMD/AIFMR Investor’s (as applicable) financial instrument portfolio, defined as including cash deposits and financial instruments</w:t>
      </w:r>
      <w:r>
        <w:rPr>
          <w:rFonts w:ascii="Times New Roman" w:cs="Times New Roman" w:eastAsia="Times New Roman" w:hAnsi="Times New Roman"/>
          <w:sz w:val="15"/>
          <w:szCs w:val="15"/>
          <w:color w:val="auto"/>
        </w:rPr>
        <w:t>43</w:t>
      </w:r>
      <w:r>
        <w:rPr>
          <w:rFonts w:ascii="Times New Roman" w:cs="Times New Roman" w:eastAsia="Times New Roman" w:hAnsi="Times New Roman"/>
          <w:sz w:val="18"/>
          <w:szCs w:val="18"/>
          <w:color w:val="auto"/>
        </w:rPr>
        <w:t xml:space="preserve"> exceeds £10,000,000; and</w:t>
      </w:r>
    </w:p>
    <w:p>
      <w:pPr>
        <w:spacing w:after="0" w:line="63"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satisfies </w:t>
      </w:r>
      <w:r>
        <w:rPr>
          <w:rFonts w:ascii="Times New Roman" w:cs="Times New Roman" w:eastAsia="Times New Roman" w:hAnsi="Times New Roman"/>
          <w:sz w:val="18"/>
          <w:szCs w:val="18"/>
          <w:b w:val="1"/>
          <w:bCs w:val="1"/>
          <w:u w:val="single" w:color="auto"/>
          <w:color w:val="auto"/>
        </w:rPr>
        <w:t>at least one</w:t>
      </w:r>
      <w:r>
        <w:rPr>
          <w:rFonts w:ascii="Times New Roman" w:cs="Times New Roman" w:eastAsia="Times New Roman" w:hAnsi="Times New Roman"/>
          <w:sz w:val="18"/>
          <w:szCs w:val="18"/>
          <w:color w:val="auto"/>
        </w:rPr>
        <w:t xml:space="preserve"> of the following criteria:</w:t>
      </w:r>
    </w:p>
    <w:p>
      <w:pPr>
        <w:spacing w:after="0" w:line="135" w:lineRule="exact"/>
        <w:rPr>
          <w:sz w:val="20"/>
          <w:szCs w:val="20"/>
          <w:color w:val="auto"/>
        </w:rPr>
      </w:pPr>
    </w:p>
    <w:p>
      <w:pPr>
        <w:jc w:val="both"/>
        <w:ind w:left="1424" w:right="120" w:hanging="439"/>
        <w:spacing w:after="0" w:line="289" w:lineRule="auto"/>
        <w:tabs>
          <w:tab w:leader="none" w:pos="1424" w:val="left"/>
        </w:tabs>
        <w:numPr>
          <w:ilvl w:val="0"/>
          <w:numId w:val="214"/>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(i) a person authorized to carry out this transaction on behalf of the subscriber or the Non-subscribing AIFMD/AIFMR Investor (as applicable) works or has worked in the financial sector for at least one year in a professional position which requires knowledge of the transactions or services envisaged by this Investor Suitability Questionnaire, the Subscription Agreement(s); and/or</w:t>
      </w:r>
    </w:p>
    <w:p>
      <w:pPr>
        <w:spacing w:after="0" w:line="63" w:lineRule="exact"/>
        <w:rPr>
          <w:rFonts w:ascii="MS PGothic" w:cs="MS PGothic" w:eastAsia="MS PGothic" w:hAnsi="MS PGothic"/>
          <w:sz w:val="17"/>
          <w:szCs w:val="17"/>
          <w:color w:val="auto"/>
        </w:rPr>
      </w:pPr>
    </w:p>
    <w:p>
      <w:pPr>
        <w:ind w:left="1424" w:right="260" w:hanging="439"/>
        <w:spacing w:after="0" w:line="261" w:lineRule="auto"/>
        <w:tabs>
          <w:tab w:leader="none" w:pos="1424" w:val="left"/>
        </w:tabs>
        <w:numPr>
          <w:ilvl w:val="0"/>
          <w:numId w:val="21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(ii) the subscriber or the Non-subscribing AIFMD/AIFMR Investor (as applicable) is an ‘administering authority’ of the Local Government Pension Scheme within the meaning of the version of Schedule 3 of The Local Government Pension Scheme Regulations 2013 or, (in relation to Scotland) within the meaning of the version of Schedule 3 of The Local Government Pension Scheme (Scotland) Regulations 2014 in force at 1 January 2018, and are acting in that capacity.</w:t>
      </w:r>
    </w:p>
    <w:p>
      <w:pPr>
        <w:spacing w:after="0" w:line="72" w:lineRule="exact"/>
        <w:rPr>
          <w:sz w:val="20"/>
          <w:szCs w:val="20"/>
          <w:color w:val="auto"/>
        </w:rPr>
      </w:pPr>
    </w:p>
    <w:p>
      <w:pPr>
        <w:ind w:left="984" w:right="540"/>
        <w:spacing w:after="0" w:line="282" w:lineRule="auto"/>
        <w:rPr>
          <w:sz w:val="20"/>
          <w:szCs w:val="20"/>
          <w:color w:val="auto"/>
        </w:rPr>
      </w:pPr>
      <w:r>
        <w:rPr>
          <w:rFonts w:ascii="Times New Roman" w:cs="Times New Roman" w:eastAsia="Times New Roman" w:hAnsi="Times New Roman"/>
          <w:sz w:val="18"/>
          <w:szCs w:val="18"/>
          <w:color w:val="auto"/>
        </w:rPr>
        <w:t>The person authorized to carry out this transaction on behalf of the subscriber or the Non-subscribing AIFMD/AIFMR Investor (as applicable) (</w:t>
      </w:r>
      <w:r>
        <w:rPr>
          <w:rFonts w:ascii="Times New Roman" w:cs="Times New Roman" w:eastAsia="Times New Roman" w:hAnsi="Times New Roman"/>
          <w:sz w:val="18"/>
          <w:szCs w:val="18"/>
          <w:i w:val="1"/>
          <w:iCs w:val="1"/>
          <w:color w:val="auto"/>
        </w:rPr>
        <w:t>if applicable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22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Please insert name</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44" w:right="60" w:hanging="4"/>
        <w:spacing w:after="0" w:line="282" w:lineRule="auto"/>
        <w:tabs>
          <w:tab w:leader="none" w:pos="651" w:val="left"/>
        </w:tabs>
        <w:numPr>
          <w:ilvl w:val="0"/>
          <w:numId w:val="21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The subscriber or the Non-subscribing AIFMD/AIFMR Investor (as applicable) is a local public authority or municipality based outside of the U.K. and satisfies </w:t>
      </w:r>
      <w:r>
        <w:rPr>
          <w:rFonts w:ascii="Times New Roman" w:cs="Times New Roman" w:eastAsia="Times New Roman" w:hAnsi="Times New Roman"/>
          <w:sz w:val="18"/>
          <w:szCs w:val="18"/>
          <w:b w:val="1"/>
          <w:bCs w:val="1"/>
          <w:u w:val="single" w:color="auto"/>
          <w:color w:val="auto"/>
        </w:rPr>
        <w:t>both</w:t>
      </w:r>
      <w:r>
        <w:rPr>
          <w:rFonts w:ascii="Times New Roman" w:cs="Times New Roman" w:eastAsia="Times New Roman" w:hAnsi="Times New Roman"/>
          <w:sz w:val="18"/>
          <w:szCs w:val="18"/>
          <w:color w:val="auto"/>
        </w:rPr>
        <w:t xml:space="preserve"> of the following criteria:</w:t>
      </w:r>
    </w:p>
    <w:p>
      <w:pPr>
        <w:spacing w:after="0" w:line="67" w:lineRule="exact"/>
        <w:rPr>
          <w:rFonts w:ascii="MS PGothic" w:cs="MS PGothic" w:eastAsia="MS PGothic" w:hAnsi="MS PGothic"/>
          <w:sz w:val="18"/>
          <w:szCs w:val="18"/>
          <w:color w:val="auto"/>
        </w:rPr>
      </w:pPr>
    </w:p>
    <w:p>
      <w:pPr>
        <w:ind w:left="1424" w:right="20" w:hanging="439"/>
        <w:spacing w:after="0" w:line="282" w:lineRule="auto"/>
        <w:tabs>
          <w:tab w:leader="none" w:pos="1424"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subscriber’s or the Non-subscribing AIFMD/AIFMR Investor’s (as applicable) financial instrument portfolio, defined as including cash deposits and financial instruments</w:t>
      </w:r>
      <w:r>
        <w:rPr>
          <w:rFonts w:ascii="Times New Roman" w:cs="Times New Roman" w:eastAsia="Times New Roman" w:hAnsi="Times New Roman"/>
          <w:sz w:val="15"/>
          <w:szCs w:val="15"/>
          <w:color w:val="auto"/>
        </w:rPr>
        <w:t>44</w:t>
      </w:r>
      <w:r>
        <w:rPr>
          <w:rFonts w:ascii="Times New Roman" w:cs="Times New Roman" w:eastAsia="Times New Roman" w:hAnsi="Times New Roman"/>
          <w:sz w:val="18"/>
          <w:szCs w:val="18"/>
          <w:color w:val="auto"/>
        </w:rPr>
        <w:t xml:space="preserve"> €500,000 (or equivalent in another currency); and</w:t>
      </w:r>
    </w:p>
    <w:p>
      <w:pPr>
        <w:spacing w:after="0" w:line="67" w:lineRule="exact"/>
        <w:rPr>
          <w:rFonts w:ascii="Times New Roman" w:cs="Times New Roman" w:eastAsia="Times New Roman" w:hAnsi="Times New Roman"/>
          <w:sz w:val="18"/>
          <w:szCs w:val="18"/>
          <w:color w:val="auto"/>
        </w:rPr>
      </w:pPr>
    </w:p>
    <w:p>
      <w:pPr>
        <w:ind w:left="1424" w:right="140" w:hanging="439"/>
        <w:spacing w:after="0" w:line="289" w:lineRule="auto"/>
        <w:tabs>
          <w:tab w:leader="none" w:pos="1424" w:val="left"/>
        </w:tabs>
        <w:numPr>
          <w:ilvl w:val="1"/>
          <w:numId w:val="2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person authorized to carry out this transaction on behalf of the subscriber or the Non-subscribing AIFMD/AIFMR Investor (as applicable) works or has worked in the financial sector for at least one year in a professional position which requires knowledge of the transactions or services envisaged by this Investor Suitability Questionnaire, the applicable Subscription Agreement(s); and/or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69215</wp:posOffset>
            </wp:positionV>
            <wp:extent cx="77152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11" w:lineRule="exact"/>
        <w:rPr>
          <w:sz w:val="20"/>
          <w:szCs w:val="20"/>
          <w:color w:val="auto"/>
        </w:rPr>
      </w:pPr>
    </w:p>
    <w:p>
      <w:pPr>
        <w:ind w:left="424" w:hanging="424"/>
        <w:spacing w:after="0"/>
        <w:tabs>
          <w:tab w:leader="none" w:pos="424" w:val="left"/>
        </w:tabs>
        <w:numPr>
          <w:ilvl w:val="0"/>
          <w:numId w:val="21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Entities which are required to be authorized or regulated include, for example, regulated broker-dealers, investment advisers, banks etc.</w:t>
      </w:r>
    </w:p>
    <w:p>
      <w:pPr>
        <w:spacing w:after="0" w:line="27" w:lineRule="exact"/>
        <w:rPr>
          <w:rFonts w:ascii="Times New Roman" w:cs="Times New Roman" w:eastAsia="Times New Roman" w:hAnsi="Times New Roman"/>
          <w:sz w:val="15"/>
          <w:szCs w:val="15"/>
          <w:color w:val="auto"/>
        </w:rPr>
      </w:pPr>
    </w:p>
    <w:p>
      <w:pPr>
        <w:ind w:left="424" w:hanging="424"/>
        <w:spacing w:after="0"/>
        <w:tabs>
          <w:tab w:leader="none" w:pos="424" w:val="left"/>
        </w:tabs>
        <w:numPr>
          <w:ilvl w:val="0"/>
          <w:numId w:val="21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Entities which are required to be authorized or regulated include, for example, regulated broker-dealers, investment advisers, banks etc.</w:t>
      </w:r>
    </w:p>
    <w:p>
      <w:pPr>
        <w:spacing w:after="0" w:line="139"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64"/>
          </w:cols>
          <w:pgMar w:left="436" w:top="270" w:right="499" w:bottom="1440" w:gutter="0" w:footer="0" w:header="0"/>
        </w:sectPr>
      </w:pPr>
    </w:p>
    <w:bookmarkStart w:id="217" w:name="page218"/>
    <w:bookmarkEnd w:id="217"/>
    <w:p>
      <w:pPr>
        <w:ind w:left="4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person authorized to carry out this transaction on behalf of the subscriber or the Non-subscribing AIFMD/AIFMR Investor (as applicable) (</w:t>
      </w:r>
      <w:r>
        <w:rPr>
          <w:rFonts w:ascii="Times New Roman" w:cs="Times New Roman" w:eastAsia="Times New Roman" w:hAnsi="Times New Roman"/>
          <w:sz w:val="18"/>
          <w:szCs w:val="18"/>
          <w:i w:val="1"/>
          <w:iCs w:val="1"/>
          <w:color w:val="auto"/>
        </w:rPr>
        <w:t>if applicable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148590</wp:posOffset>
            </wp:positionV>
            <wp:extent cx="636905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369050"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Please insert name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9860"/>
          </w:cols>
          <w:pgMar w:left="1440" w:top="270" w:right="599" w:bottom="1440" w:gutter="0" w:footer="0" w:header="0"/>
        </w:sectPr>
      </w:pPr>
    </w:p>
    <w:bookmarkStart w:id="218" w:name="page219"/>
    <w:bookmarkEnd w:id="218"/>
    <w:p>
      <w:pPr>
        <w:ind w:left="424"/>
        <w:spacing w:after="0"/>
        <w:tabs>
          <w:tab w:leader="none" w:pos="944" w:val="left"/>
        </w:tabs>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XV.</w:t>
        <w:tab/>
        <w:t>Supplemental Data for Canadian Investors</w:t>
      </w:r>
    </w:p>
    <w:p>
      <w:pPr>
        <w:sectPr>
          <w:pgSz w:w="11900" w:h="16838" w:orient="portrait"/>
          <w:cols w:equalWidth="0" w:num="1">
            <w:col w:w="11024"/>
          </w:cols>
          <w:pgMar w:left="436" w:top="266" w:right="439" w:bottom="1440" w:gutter="0" w:footer="0" w:header="0"/>
        </w:sectPr>
      </w:pPr>
    </w:p>
    <w:p>
      <w:pPr>
        <w:spacing w:after="0" w:line="26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(A)   Is the subscriber a resident of or subject to the securities laws of the provinces of Alberta, British Columbia, Ontario,</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YES</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t>
      </w:r>
    </w:p>
    <w:p>
      <w:pPr>
        <w:spacing w:after="0" w:line="47" w:lineRule="exact"/>
        <w:rPr>
          <w:sz w:val="20"/>
          <w:szCs w:val="20"/>
          <w:color w:val="auto"/>
        </w:rPr>
      </w:pPr>
    </w:p>
    <w:p>
      <w:pPr>
        <w:sectPr>
          <w:pgSz w:w="11900" w:h="16838" w:orient="portrait"/>
          <w:cols w:equalWidth="0" w:num="5">
            <w:col w:w="8764" w:space="720"/>
            <w:col w:w="160" w:space="40"/>
            <w:col w:w="340" w:space="220"/>
            <w:col w:w="160" w:space="60"/>
            <w:col w:w="560"/>
          </w:cols>
          <w:pgMar w:left="436" w:top="266" w:right="439" w:bottom="1440" w:gutter="0" w:footer="0" w:header="0"/>
          <w:type w:val="continuous"/>
        </w:sectPr>
      </w:pPr>
    </w:p>
    <w:p>
      <w:pPr>
        <w:ind w:left="364"/>
        <w:spacing w:after="0"/>
        <w:rPr>
          <w:sz w:val="20"/>
          <w:szCs w:val="20"/>
          <w:color w:val="auto"/>
        </w:rPr>
      </w:pPr>
      <w:r>
        <w:rPr>
          <w:rFonts w:ascii="Times New Roman" w:cs="Times New Roman" w:eastAsia="Times New Roman" w:hAnsi="Times New Roman"/>
          <w:sz w:val="17"/>
          <w:szCs w:val="17"/>
          <w:color w:val="auto"/>
        </w:rPr>
        <w:t>Québec or Nova Scotia</w:t>
      </w:r>
    </w:p>
    <w:p>
      <w:pPr>
        <w:sectPr>
          <w:pgSz w:w="11900" w:h="16838" w:orient="portrait"/>
          <w:cols w:equalWidth="0" w:num="1">
            <w:col w:w="11024"/>
          </w:cols>
          <w:pgMar w:left="436" w:top="266" w:right="439" w:bottom="1440" w:gutter="0" w:footer="0" w:header="0"/>
          <w:type w:val="continuous"/>
        </w:sectPr>
      </w:pPr>
    </w:p>
    <w:p>
      <w:pPr>
        <w:spacing w:after="0" w:line="194" w:lineRule="exact"/>
        <w:rPr>
          <w:sz w:val="20"/>
          <w:szCs w:val="20"/>
          <w:color w:val="auto"/>
        </w:rPr>
      </w:pPr>
    </w:p>
    <w:p>
      <w:pPr>
        <w:ind w:left="4" w:right="1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 </w:t>
      </w:r>
      <w:r>
        <w:rPr>
          <w:rFonts w:ascii="Times New Roman" w:cs="Times New Roman" w:eastAsia="Times New Roman" w:hAnsi="Times New Roman"/>
          <w:sz w:val="18"/>
          <w:szCs w:val="18"/>
          <w:color w:val="auto"/>
        </w:rPr>
        <w:t>If the subscriber is a resident of the provinces of Alberta, British Columbia, Ontario, Québec or Nova Scotia and the answer to XV(A) above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please contact the Company or the Adviser immediately.</w:t>
      </w:r>
    </w:p>
    <w:p>
      <w:pPr>
        <w:spacing w:after="0" w:line="62" w:lineRule="exact"/>
        <w:rPr>
          <w:sz w:val="20"/>
          <w:szCs w:val="20"/>
          <w:color w:val="auto"/>
        </w:rPr>
      </w:pPr>
    </w:p>
    <w:p>
      <w:pPr>
        <w:jc w:val="both"/>
        <w:ind w:left="424" w:right="40" w:hanging="424"/>
        <w:spacing w:after="0" w:line="267" w:lineRule="auto"/>
        <w:tabs>
          <w:tab w:leader="none" w:pos="424"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offering is being made to “permitted clients” in Canada as defined in National Instrument 31-103 </w:t>
      </w:r>
      <w:r>
        <w:rPr>
          <w:rFonts w:ascii="Times New Roman" w:cs="Times New Roman" w:eastAsia="Times New Roman" w:hAnsi="Times New Roman"/>
          <w:sz w:val="18"/>
          <w:szCs w:val="18"/>
          <w:i w:val="1"/>
          <w:iCs w:val="1"/>
          <w:color w:val="auto"/>
        </w:rPr>
        <w:t>Registration Requirements and Exemptions</w:t>
      </w:r>
      <w:r>
        <w:rPr>
          <w:rFonts w:ascii="Times New Roman" w:cs="Times New Roman" w:eastAsia="Times New Roman" w:hAnsi="Times New Roman"/>
          <w:sz w:val="18"/>
          <w:szCs w:val="18"/>
          <w:color w:val="auto"/>
        </w:rPr>
        <w:t xml:space="preserve"> of the Canadian Securities Administrators (“</w:t>
      </w:r>
      <w:r>
        <w:rPr>
          <w:rFonts w:ascii="Times New Roman" w:cs="Times New Roman" w:eastAsia="Times New Roman" w:hAnsi="Times New Roman"/>
          <w:sz w:val="18"/>
          <w:szCs w:val="18"/>
          <w:u w:val="single" w:color="auto"/>
          <w:color w:val="auto"/>
        </w:rPr>
        <w:t>NI 31-103</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subscriber’s ability to participate is in part dependent upon answers to the following questions.</w:t>
      </w:r>
    </w:p>
    <w:p>
      <w:pPr>
        <w:spacing w:after="0" w:line="2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subscriber certifies that it is one of the following (please check all that apply):</w:t>
      </w:r>
    </w:p>
    <w:p>
      <w:pPr>
        <w:sectPr>
          <w:pgSz w:w="11900" w:h="16838" w:orient="portrait"/>
          <w:cols w:equalWidth="0" w:num="1">
            <w:col w:w="11024"/>
          </w:cols>
          <w:pgMar w:left="436" w:top="266" w:right="439" w:bottom="1440" w:gutter="0" w:footer="0" w:header="0"/>
          <w:type w:val="continuous"/>
        </w:sectPr>
      </w:pPr>
    </w:p>
    <w:p>
      <w:pPr>
        <w:spacing w:after="0" w:line="131" w:lineRule="exact"/>
        <w:rPr>
          <w:sz w:val="20"/>
          <w:szCs w:val="20"/>
          <w:color w:val="auto"/>
        </w:rPr>
      </w:pPr>
    </w:p>
    <w:p>
      <w:pPr>
        <w:ind w:left="724" w:hanging="359"/>
        <w:spacing w:after="0" w:line="282" w:lineRule="auto"/>
        <w:rPr>
          <w:sz w:val="20"/>
          <w:szCs w:val="20"/>
          <w:color w:val="auto"/>
        </w:rPr>
      </w:pPr>
      <w:r>
        <w:rPr>
          <w:rFonts w:ascii="Times New Roman" w:cs="Times New Roman" w:eastAsia="Times New Roman" w:hAnsi="Times New Roman"/>
          <w:sz w:val="18"/>
          <w:szCs w:val="18"/>
          <w:color w:val="auto"/>
        </w:rPr>
        <w:t>(1)    An individual who beneficially owns financial assets</w:t>
      </w:r>
      <w:r>
        <w:rPr>
          <w:rFonts w:ascii="Times New Roman" w:cs="Times New Roman" w:eastAsia="Times New Roman" w:hAnsi="Times New Roman"/>
          <w:sz w:val="15"/>
          <w:szCs w:val="15"/>
          <w:color w:val="auto"/>
        </w:rPr>
        <w:t>45</w:t>
      </w:r>
      <w:r>
        <w:rPr>
          <w:rFonts w:ascii="Times New Roman" w:cs="Times New Roman" w:eastAsia="Times New Roman" w:hAnsi="Times New Roman"/>
          <w:sz w:val="18"/>
          <w:szCs w:val="18"/>
          <w:color w:val="auto"/>
        </w:rPr>
        <w:t>, as defined in section 1.1 of NI 45-106 (as defined below), having an aggregate realizable value that, before taxes but net of any related liabilities, exceeds C$5,000,000.</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w:t>
      </w:r>
    </w:p>
    <w:p>
      <w:pPr>
        <w:spacing w:after="0" w:line="344" w:lineRule="exact"/>
        <w:rPr>
          <w:sz w:val="20"/>
          <w:szCs w:val="20"/>
          <w:color w:val="auto"/>
        </w:rPr>
      </w:pPr>
    </w:p>
    <w:p>
      <w:pPr>
        <w:sectPr>
          <w:pgSz w:w="11900" w:h="16838" w:orient="portrait"/>
          <w:cols w:equalWidth="0" w:num="2">
            <w:col w:w="10404" w:space="280"/>
            <w:col w:w="340"/>
          </w:cols>
          <w:pgMar w:left="436" w:top="266" w:right="439" w:bottom="1440" w:gutter="0" w:footer="0" w:header="0"/>
          <w:type w:val="continuous"/>
        </w:sectPr>
      </w:pPr>
    </w:p>
    <w:p>
      <w:pPr>
        <w:spacing w:after="0" w:line="29" w:lineRule="exact"/>
        <w:rPr>
          <w:sz w:val="20"/>
          <w:szCs w:val="20"/>
          <w:color w:val="auto"/>
        </w:rPr>
      </w:pPr>
    </w:p>
    <w:p>
      <w:pPr>
        <w:jc w:val="both"/>
        <w:ind w:left="724" w:hanging="359"/>
        <w:spacing w:after="0" w:line="261" w:lineRule="auto"/>
        <w:rPr>
          <w:sz w:val="20"/>
          <w:szCs w:val="20"/>
          <w:color w:val="auto"/>
        </w:rPr>
      </w:pPr>
      <w:r>
        <w:rPr>
          <w:rFonts w:ascii="Times New Roman" w:cs="Times New Roman" w:eastAsia="Times New Roman" w:hAnsi="Times New Roman"/>
          <w:sz w:val="18"/>
          <w:szCs w:val="18"/>
          <w:color w:val="auto"/>
        </w:rPr>
        <w:t>(2)    A person or company that is entirely owned by an individual or individuals referred to in (1), who holds the beneficial ownership interest in the person or company directly or through a trust, the trustee of which is a trust company or trust corporation registered or authorized to carry on business under the Trust and Loan Companies Act (Canada) or under comparable legislation in a jurisdiction of Canada or a foreign jurisdiction.</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w:t>
      </w:r>
    </w:p>
    <w:p>
      <w:pPr>
        <w:spacing w:after="0" w:line="776" w:lineRule="exact"/>
        <w:rPr>
          <w:sz w:val="20"/>
          <w:szCs w:val="20"/>
          <w:color w:val="auto"/>
        </w:rPr>
      </w:pPr>
    </w:p>
    <w:p>
      <w:pPr>
        <w:sectPr>
          <w:pgSz w:w="11900" w:h="16838" w:orient="portrait"/>
          <w:cols w:equalWidth="0" w:num="2">
            <w:col w:w="10564" w:space="120"/>
            <w:col w:w="340"/>
          </w:cols>
          <w:pgMar w:left="436" w:top="266" w:right="439" w:bottom="1440" w:gutter="0" w:footer="0" w:header="0"/>
          <w:type w:val="continuous"/>
        </w:sectPr>
      </w:pPr>
    </w:p>
    <w:p>
      <w:pPr>
        <w:spacing w:after="0" w:line="29" w:lineRule="exact"/>
        <w:rPr>
          <w:sz w:val="20"/>
          <w:szCs w:val="20"/>
          <w:color w:val="auto"/>
        </w:rPr>
      </w:pPr>
    </w:p>
    <w:p>
      <w:pPr>
        <w:ind w:left="724" w:hanging="359"/>
        <w:spacing w:after="0" w:line="282" w:lineRule="auto"/>
        <w:rPr>
          <w:sz w:val="20"/>
          <w:szCs w:val="20"/>
          <w:color w:val="auto"/>
        </w:rPr>
      </w:pPr>
      <w:r>
        <w:rPr>
          <w:rFonts w:ascii="Times New Roman" w:cs="Times New Roman" w:eastAsia="Times New Roman" w:hAnsi="Times New Roman"/>
          <w:sz w:val="18"/>
          <w:szCs w:val="18"/>
          <w:color w:val="auto"/>
        </w:rPr>
        <w:t>(3)    A person or company, other than an individual or an investment fund, that has net assets of at least C$25,000,000 as shown on its most recently prepared financial statements.</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w:t>
      </w:r>
    </w:p>
    <w:p>
      <w:pPr>
        <w:spacing w:after="0" w:line="344" w:lineRule="exact"/>
        <w:rPr>
          <w:sz w:val="20"/>
          <w:szCs w:val="20"/>
          <w:color w:val="auto"/>
        </w:rPr>
      </w:pPr>
    </w:p>
    <w:p>
      <w:pPr>
        <w:sectPr>
          <w:pgSz w:w="11900" w:h="16838" w:orient="portrait"/>
          <w:cols w:equalWidth="0" w:num="2">
            <w:col w:w="10384" w:space="300"/>
            <w:col w:w="340"/>
          </w:cols>
          <w:pgMar w:left="436" w:top="266" w:right="439" w:bottom="1440" w:gutter="0" w:footer="0" w:header="0"/>
          <w:type w:val="continuous"/>
        </w:sectPr>
      </w:pPr>
    </w:p>
    <w:p>
      <w:pPr>
        <w:spacing w:after="0" w:line="29"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18"/>
          <w:szCs w:val="18"/>
          <w:color w:val="auto"/>
        </w:rPr>
        <w:t>(4)    A Canadian financial institution</w:t>
      </w:r>
      <w:r>
        <w:rPr>
          <w:rFonts w:ascii="Times New Roman" w:cs="Times New Roman" w:eastAsia="Times New Roman" w:hAnsi="Times New Roman"/>
          <w:sz w:val="15"/>
          <w:szCs w:val="15"/>
          <w:color w:val="auto"/>
        </w:rPr>
        <w:t>46</w:t>
      </w:r>
      <w:r>
        <w:rPr>
          <w:rFonts w:ascii="Times New Roman" w:cs="Times New Roman" w:eastAsia="Times New Roman" w:hAnsi="Times New Roman"/>
          <w:sz w:val="18"/>
          <w:szCs w:val="18"/>
          <w:color w:val="auto"/>
        </w:rPr>
        <w:t xml:space="preserve"> or a Schedule III bank</w:t>
      </w:r>
      <w:r>
        <w:rPr>
          <w:rFonts w:ascii="Times New Roman" w:cs="Times New Roman" w:eastAsia="Times New Roman" w:hAnsi="Times New Roman"/>
          <w:sz w:val="15"/>
          <w:szCs w:val="15"/>
          <w:color w:val="auto"/>
        </w:rPr>
        <w:t>47</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17"/>
          <w:szCs w:val="17"/>
          <w:color w:val="auto"/>
        </w:rPr>
        <w:t>(5)    A subsidiary of any person or company referred to in (4), if the person or company owns all of the voting securities of the subsidiary,</w:t>
      </w:r>
    </w:p>
    <w:p>
      <w:pPr>
        <w:spacing w:after="0" w:line="39" w:lineRule="exact"/>
        <w:rPr>
          <w:sz w:val="20"/>
          <w:szCs w:val="20"/>
          <w:color w:val="auto"/>
        </w:rPr>
      </w:pPr>
    </w:p>
    <w:p>
      <w:pPr>
        <w:ind w:left="724"/>
        <w:spacing w:after="0"/>
        <w:rPr>
          <w:sz w:val="20"/>
          <w:szCs w:val="20"/>
          <w:color w:val="auto"/>
        </w:rPr>
      </w:pPr>
      <w:r>
        <w:rPr>
          <w:rFonts w:ascii="Times New Roman" w:cs="Times New Roman" w:eastAsia="Times New Roman" w:hAnsi="Times New Roman"/>
          <w:sz w:val="18"/>
          <w:szCs w:val="18"/>
          <w:color w:val="auto"/>
        </w:rPr>
        <w:t>except the voting securities required by law to be owned by directors of the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331470</wp:posOffset>
            </wp:positionV>
            <wp:extent cx="77152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w:t>
      </w:r>
    </w:p>
    <w:p>
      <w:pPr>
        <w:spacing w:after="0" w:line="135" w:lineRule="exact"/>
        <w:rPr>
          <w:sz w:val="20"/>
          <w:szCs w:val="20"/>
          <w:color w:val="auto"/>
        </w:rPr>
      </w:pPr>
    </w:p>
    <w:p>
      <w:pPr>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w:t>
      </w:r>
    </w:p>
    <w:p>
      <w:pPr>
        <w:spacing w:after="0" w:line="467" w:lineRule="exact"/>
        <w:rPr>
          <w:sz w:val="20"/>
          <w:szCs w:val="20"/>
          <w:color w:val="auto"/>
        </w:rPr>
      </w:pPr>
    </w:p>
    <w:p>
      <w:pPr>
        <w:sectPr>
          <w:pgSz w:w="11900" w:h="16838" w:orient="portrait"/>
          <w:cols w:equalWidth="0" w:num="2">
            <w:col w:w="10284" w:space="400"/>
            <w:col w:w="340"/>
          </w:cols>
          <w:pgMar w:left="436" w:top="266" w:right="439" w:bottom="1440" w:gutter="0" w:footer="0" w:header="0"/>
          <w:type w:val="continuous"/>
        </w:sectPr>
      </w:pPr>
    </w:p>
    <w:p>
      <w:pPr>
        <w:spacing w:after="0" w:line="344" w:lineRule="exact"/>
        <w:rPr>
          <w:sz w:val="20"/>
          <w:szCs w:val="20"/>
          <w:color w:val="auto"/>
        </w:rPr>
      </w:pPr>
    </w:p>
    <w:p>
      <w:pPr>
        <w:ind w:left="424" w:right="160" w:hanging="424"/>
        <w:spacing w:after="0" w:line="261" w:lineRule="auto"/>
        <w:tabs>
          <w:tab w:leader="none" w:pos="424" w:val="left"/>
        </w:tabs>
        <w:numPr>
          <w:ilvl w:val="0"/>
          <w:numId w:val="21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As used herein “</w:t>
      </w:r>
      <w:r>
        <w:rPr>
          <w:rFonts w:ascii="Times New Roman" w:cs="Times New Roman" w:eastAsia="Times New Roman" w:hAnsi="Times New Roman"/>
          <w:sz w:val="18"/>
          <w:szCs w:val="18"/>
          <w:u w:val="single" w:color="auto"/>
          <w:color w:val="auto"/>
        </w:rPr>
        <w:t>financial assets</w:t>
      </w:r>
      <w:r>
        <w:rPr>
          <w:rFonts w:ascii="Times New Roman" w:cs="Times New Roman" w:eastAsia="Times New Roman" w:hAnsi="Times New Roman"/>
          <w:sz w:val="18"/>
          <w:szCs w:val="18"/>
          <w:color w:val="auto"/>
        </w:rPr>
        <w:t>” means cash, securities, or any a contract of insurance, a deposit or an evidence of a deposit that is not a security for the purposes of securities legislation.</w:t>
      </w:r>
    </w:p>
    <w:p>
      <w:pPr>
        <w:ind w:left="424" w:right="60" w:hanging="424"/>
        <w:spacing w:after="0" w:line="250" w:lineRule="auto"/>
        <w:tabs>
          <w:tab w:leader="none" w:pos="424" w:val="left"/>
        </w:tabs>
        <w:numPr>
          <w:ilvl w:val="0"/>
          <w:numId w:val="21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As used herein “</w:t>
      </w:r>
      <w:r>
        <w:rPr>
          <w:rFonts w:ascii="Times New Roman" w:cs="Times New Roman" w:eastAsia="Times New Roman" w:hAnsi="Times New Roman"/>
          <w:sz w:val="18"/>
          <w:szCs w:val="18"/>
          <w:u w:val="single" w:color="auto"/>
          <w:color w:val="auto"/>
        </w:rPr>
        <w:t>Canadian financial institution</w:t>
      </w:r>
      <w:r>
        <w:rPr>
          <w:rFonts w:ascii="Times New Roman" w:cs="Times New Roman" w:eastAsia="Times New Roman" w:hAnsi="Times New Roman"/>
          <w:sz w:val="18"/>
          <w:szCs w:val="18"/>
          <w:color w:val="auto"/>
        </w:rPr>
        <w:t xml:space="preserve">” means (i) an association governed by the </w:t>
      </w:r>
      <w:r>
        <w:rPr>
          <w:rFonts w:ascii="Times New Roman" w:cs="Times New Roman" w:eastAsia="Times New Roman" w:hAnsi="Times New Roman"/>
          <w:sz w:val="18"/>
          <w:szCs w:val="18"/>
          <w:i w:val="1"/>
          <w:iCs w:val="1"/>
          <w:color w:val="auto"/>
        </w:rPr>
        <w:t>Cooperative Credit Associations Act</w:t>
      </w:r>
      <w:r>
        <w:rPr>
          <w:rFonts w:ascii="Times New Roman" w:cs="Times New Roman" w:eastAsia="Times New Roman" w:hAnsi="Times New Roman"/>
          <w:sz w:val="18"/>
          <w:szCs w:val="18"/>
          <w:color w:val="auto"/>
        </w:rPr>
        <w:t xml:space="preserve"> (Canada) or a central cooperative credit society for which an order has been made under section 473(1) of that Act, or (ii) bank, loan corporation, trust company, trust corporation, insurance company, treasury branch, credit union, caisse populaire, financial services cooperative, or league that, in each case, is authorized by an enactment of Canada or a jurisdiction of Canada to carry on business in Canada or a jurisdiction of Canada.</w:t>
      </w:r>
    </w:p>
    <w:p>
      <w:pPr>
        <w:spacing w:after="0" w:line="1" w:lineRule="exact"/>
        <w:rPr>
          <w:rFonts w:ascii="Times New Roman" w:cs="Times New Roman" w:eastAsia="Times New Roman" w:hAnsi="Times New Roman"/>
          <w:sz w:val="15"/>
          <w:szCs w:val="15"/>
          <w:color w:val="auto"/>
        </w:rPr>
      </w:pPr>
    </w:p>
    <w:p>
      <w:pPr>
        <w:ind w:left="424" w:hanging="424"/>
        <w:spacing w:after="0"/>
        <w:tabs>
          <w:tab w:leader="none" w:pos="424" w:val="left"/>
        </w:tabs>
        <w:numPr>
          <w:ilvl w:val="0"/>
          <w:numId w:val="21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As used herein “</w:t>
      </w:r>
      <w:r>
        <w:rPr>
          <w:rFonts w:ascii="Times New Roman" w:cs="Times New Roman" w:eastAsia="Times New Roman" w:hAnsi="Times New Roman"/>
          <w:sz w:val="18"/>
          <w:szCs w:val="18"/>
          <w:u w:val="single" w:color="auto"/>
          <w:color w:val="auto"/>
        </w:rPr>
        <w:t>Schedule III bank</w:t>
      </w:r>
      <w:r>
        <w:rPr>
          <w:rFonts w:ascii="Times New Roman" w:cs="Times New Roman" w:eastAsia="Times New Roman" w:hAnsi="Times New Roman"/>
          <w:sz w:val="18"/>
          <w:szCs w:val="18"/>
          <w:color w:val="auto"/>
        </w:rPr>
        <w:t xml:space="preserve">” means an authorized foreign bank named in Schedule III of the </w:t>
      </w:r>
      <w:r>
        <w:rPr>
          <w:rFonts w:ascii="Times New Roman" w:cs="Times New Roman" w:eastAsia="Times New Roman" w:hAnsi="Times New Roman"/>
          <w:sz w:val="18"/>
          <w:szCs w:val="18"/>
          <w:i w:val="1"/>
          <w:iCs w:val="1"/>
          <w:color w:val="auto"/>
        </w:rPr>
        <w:t>Bank Act</w:t>
      </w:r>
      <w:r>
        <w:rPr>
          <w:rFonts w:ascii="Times New Roman" w:cs="Times New Roman" w:eastAsia="Times New Roman" w:hAnsi="Times New Roman"/>
          <w:sz w:val="18"/>
          <w:szCs w:val="18"/>
          <w:color w:val="auto"/>
        </w:rPr>
        <w:t xml:space="preserve"> (Canada).</w:t>
      </w:r>
    </w:p>
    <w:p>
      <w:pPr>
        <w:spacing w:after="0" w:line="139"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24"/>
          </w:cols>
          <w:pgMar w:left="436" w:top="266" w:right="439" w:bottom="1440" w:gutter="0" w:footer="0" w:header="0"/>
          <w:type w:val="continuous"/>
        </w:sectPr>
      </w:pPr>
    </w:p>
    <w:bookmarkStart w:id="219" w:name="page220"/>
    <w:bookmarkEnd w:id="219"/>
    <w:tbl>
      <w:tblPr>
        <w:tblLayout w:type="fixed"/>
        <w:tblInd w:w="364" w:type="dxa"/>
        <w:tblCellMar>
          <w:top w:w="0" w:type="dxa"/>
          <w:left w:w="0" w:type="dxa"/>
          <w:bottom w:w="0" w:type="dxa"/>
          <w:right w:w="0" w:type="dxa"/>
        </w:tblCellMar>
      </w:tblPr>
      <w:tr>
        <w:trPr>
          <w:trHeight w:val="245"/>
        </w:trPr>
        <w:tc>
          <w:tcPr>
            <w:tcW w:w="10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(6)    The Government of Canada or a jurisdiction of Canada, or any Crown corporation, agency or wholly-owned entity of the Government of</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34"/>
        </w:trPr>
        <w:tc>
          <w:tcPr>
            <w:tcW w:w="103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Canada or a jurisdiction of Canada.</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10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(7)    Any national, federal, state, provincial, territorial or municipal government of or in any foreign jurisdiction, or any agency of that</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34"/>
        </w:trPr>
        <w:tc>
          <w:tcPr>
            <w:tcW w:w="103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government.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10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(8)    A municipality, public board or commission in Canada and a metropolitan community, school board, the </w:t>
            </w:r>
            <w:r>
              <w:rPr>
                <w:rFonts w:ascii="Times New Roman" w:cs="Times New Roman" w:eastAsia="Times New Roman" w:hAnsi="Times New Roman"/>
                <w:sz w:val="18"/>
                <w:szCs w:val="18"/>
                <w:i w:val="1"/>
                <w:iCs w:val="1"/>
                <w:color w:val="auto"/>
              </w:rPr>
              <w:t>Comité de gestion de la taxe</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36"/>
        </w:trPr>
        <w:tc>
          <w:tcPr>
            <w:tcW w:w="10360" w:type="dxa"/>
            <w:vAlign w:val="bottom"/>
            <w:gridSpan w:val="3"/>
          </w:tcPr>
          <w:p>
            <w:pPr>
              <w:ind w:left="360"/>
              <w:spacing w:after="0"/>
              <w:rPr>
                <w:sz w:val="20"/>
                <w:szCs w:val="20"/>
                <w:color w:val="auto"/>
              </w:rPr>
            </w:pPr>
            <w:r>
              <w:rPr>
                <w:rFonts w:ascii="Times New Roman" w:cs="Times New Roman" w:eastAsia="Times New Roman" w:hAnsi="Times New Roman"/>
                <w:sz w:val="18"/>
                <w:szCs w:val="18"/>
                <w:i w:val="1"/>
                <w:iCs w:val="1"/>
                <w:color w:val="auto"/>
              </w:rPr>
              <w:t xml:space="preserve">scolaire de l’île de Montréal </w:t>
            </w:r>
            <w:r>
              <w:rPr>
                <w:rFonts w:ascii="Times New Roman" w:cs="Times New Roman" w:eastAsia="Times New Roman" w:hAnsi="Times New Roman"/>
                <w:sz w:val="18"/>
                <w:szCs w:val="18"/>
                <w:color w:val="auto"/>
              </w:rPr>
              <w:t>or an intermunicipal management board in Québec.</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10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(9)    A pension fund that is regulated by either the federal Office of the Superintendent of Financial Institutions or a pension commission or</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34"/>
        </w:trPr>
        <w:tc>
          <w:tcPr>
            <w:tcW w:w="103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similar regulatory authority of a jurisdiction of Canada or a wholly-owned subsidiary of such a pension fund.</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10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(10)  A trust company or trust corporation registered or authorized to carry on business under the </w:t>
            </w:r>
            <w:r>
              <w:rPr>
                <w:rFonts w:ascii="Times New Roman" w:cs="Times New Roman" w:eastAsia="Times New Roman" w:hAnsi="Times New Roman"/>
                <w:sz w:val="18"/>
                <w:szCs w:val="18"/>
                <w:i w:val="1"/>
                <w:iCs w:val="1"/>
                <w:color w:val="auto"/>
              </w:rPr>
              <w:t>Trust and Loan Companies Act</w:t>
            </w:r>
            <w:r>
              <w:rPr>
                <w:rFonts w:ascii="Times New Roman" w:cs="Times New Roman" w:eastAsia="Times New Roman" w:hAnsi="Times New Roman"/>
                <w:sz w:val="18"/>
                <w:szCs w:val="18"/>
                <w:color w:val="auto"/>
              </w:rPr>
              <w:t xml:space="preserve"> (Canada) or</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16"/>
        </w:trPr>
        <w:tc>
          <w:tcPr>
            <w:tcW w:w="103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under comparable legislation in a jurisdiction of Canada or a foreign jurisdiction, acting on behalf of a managed account managed by the</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3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trust company or trust corporation.</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10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(11)  In respect of a dealer, a registered charity under the </w:t>
            </w:r>
            <w:r>
              <w:rPr>
                <w:rFonts w:ascii="Times New Roman" w:cs="Times New Roman" w:eastAsia="Times New Roman" w:hAnsi="Times New Roman"/>
                <w:sz w:val="18"/>
                <w:szCs w:val="18"/>
                <w:i w:val="1"/>
                <w:iCs w:val="1"/>
                <w:color w:val="auto"/>
              </w:rPr>
              <w:t>Income Tax Act</w:t>
            </w:r>
            <w:r>
              <w:rPr>
                <w:rFonts w:ascii="Times New Roman" w:cs="Times New Roman" w:eastAsia="Times New Roman" w:hAnsi="Times New Roman"/>
                <w:sz w:val="18"/>
                <w:szCs w:val="18"/>
                <w:color w:val="auto"/>
              </w:rPr>
              <w:t xml:space="preserve"> (Canada) that obtains advice on the securities to be traded from an</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18"/>
        </w:trPr>
        <w:tc>
          <w:tcPr>
            <w:tcW w:w="103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 xml:space="preserve">eligibility adviser, as defined in section 1.1 of National Instrument 45-106 Prospectus </w:t>
            </w:r>
            <w:r>
              <w:rPr>
                <w:rFonts w:ascii="Times New Roman" w:cs="Times New Roman" w:eastAsia="Times New Roman" w:hAnsi="Times New Roman"/>
                <w:sz w:val="18"/>
                <w:szCs w:val="18"/>
                <w:i w:val="1"/>
                <w:iCs w:val="1"/>
                <w:color w:val="auto"/>
              </w:rPr>
              <w:t>Exempt Distributions</w:t>
            </w:r>
            <w:r>
              <w:rPr>
                <w:rFonts w:ascii="Times New Roman" w:cs="Times New Roman" w:eastAsia="Times New Roman" w:hAnsi="Times New Roman"/>
                <w:sz w:val="18"/>
                <w:szCs w:val="18"/>
                <w:color w:val="auto"/>
              </w:rPr>
              <w:t xml:space="preserve"> of the Canadian Securities</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0360" w:type="dxa"/>
            <w:vAlign w:val="bottom"/>
            <w:gridSpan w:val="3"/>
          </w:tcPr>
          <w:p>
            <w:pPr>
              <w:ind w:left="360"/>
              <w:spacing w:after="0" w:line="194" w:lineRule="exact"/>
              <w:rPr>
                <w:sz w:val="20"/>
                <w:szCs w:val="20"/>
                <w:color w:val="auto"/>
              </w:rPr>
            </w:pPr>
            <w:r>
              <w:rPr>
                <w:rFonts w:ascii="Times New Roman" w:cs="Times New Roman" w:eastAsia="Times New Roman" w:hAnsi="Times New Roman"/>
                <w:sz w:val="18"/>
                <w:szCs w:val="18"/>
                <w:color w:val="auto"/>
              </w:rPr>
              <w:t>Administrators (“NI 45-106”), or an adviser registered under the securities legislation of the jurisdiction of the registered charity.</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220" w:type="dxa"/>
            <w:vAlign w:val="bottom"/>
            <w:vMerge w:val="restart"/>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line="20" w:lineRule="exact"/>
              <w:rPr>
                <w:sz w:val="1"/>
                <w:szCs w:val="1"/>
                <w:color w:val="auto"/>
              </w:rPr>
            </w:pPr>
          </w:p>
        </w:tc>
      </w:tr>
      <w:tr>
        <w:trPr>
          <w:trHeight w:val="326"/>
        </w:trPr>
        <w:tc>
          <w:tcPr>
            <w:tcW w:w="10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(12)  A person or company registered under the securities legislation of a jurisdiction of Canada as an adviser, investment dealer, mutual fund</w:t>
            </w:r>
          </w:p>
        </w:tc>
        <w:tc>
          <w:tcPr>
            <w:tcW w:w="2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3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dealer or exempt market dealer.</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4"/>
        </w:trPr>
        <w:tc>
          <w:tcPr>
            <w:tcW w:w="10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(13)  An entity organized in a foreign jurisdiction that is analogous to any of the entities referred to in (4), (5), (9) or (12).</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86"/>
        </w:trPr>
        <w:tc>
          <w:tcPr>
            <w:tcW w:w="10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(14)  A person or company acting on behalf of a managed account managed by the person or company, if the person or company is registered</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16"/>
        </w:trPr>
        <w:tc>
          <w:tcPr>
            <w:tcW w:w="103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or authorized to carry on business as an adviser or the equivalent under the securities legislation of a jurisdiction of Canada or a foreign</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3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jurisdiction.</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10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(15)  An investment fund</w:t>
            </w:r>
            <w:r>
              <w:rPr>
                <w:rFonts w:ascii="Times New Roman" w:cs="Times New Roman" w:eastAsia="Times New Roman" w:hAnsi="Times New Roman"/>
                <w:sz w:val="15"/>
                <w:szCs w:val="15"/>
                <w:color w:val="auto"/>
              </w:rPr>
              <w:t>48</w:t>
            </w:r>
            <w:r>
              <w:rPr>
                <w:rFonts w:ascii="Times New Roman" w:cs="Times New Roman" w:eastAsia="Times New Roman" w:hAnsi="Times New Roman"/>
                <w:sz w:val="18"/>
                <w:szCs w:val="18"/>
                <w:color w:val="auto"/>
              </w:rPr>
              <w:t xml:space="preserve"> in respect of which one or both of the following apply (i) the fund is managed by a person or company registered as</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16"/>
        </w:trPr>
        <w:tc>
          <w:tcPr>
            <w:tcW w:w="103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an investment fund manager under the securities legislation of a jurisdiction of Canada, or (ii) the fund is advised by a person or company</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3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authorized to act as an adviser under the securities legislation of a jurisdiction of Canada.</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77152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72" w:lineRule="exact"/>
        <w:rPr>
          <w:sz w:val="20"/>
          <w:szCs w:val="20"/>
          <w:color w:val="auto"/>
        </w:rPr>
      </w:pPr>
    </w:p>
    <w:p>
      <w:pPr>
        <w:ind w:left="424" w:right="60" w:hanging="424"/>
        <w:spacing w:after="0" w:line="258" w:lineRule="auto"/>
        <w:tabs>
          <w:tab w:leader="none" w:pos="424" w:val="left"/>
        </w:tabs>
        <w:numPr>
          <w:ilvl w:val="0"/>
          <w:numId w:val="21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As used herein “</w:t>
      </w:r>
      <w:r>
        <w:rPr>
          <w:rFonts w:ascii="Times New Roman" w:cs="Times New Roman" w:eastAsia="Times New Roman" w:hAnsi="Times New Roman"/>
          <w:sz w:val="18"/>
          <w:szCs w:val="18"/>
          <w:u w:val="single" w:color="auto"/>
          <w:color w:val="auto"/>
        </w:rPr>
        <w:t>investment fund</w:t>
      </w:r>
      <w:r>
        <w:rPr>
          <w:rFonts w:ascii="Times New Roman" w:cs="Times New Roman" w:eastAsia="Times New Roman" w:hAnsi="Times New Roman"/>
          <w:sz w:val="18"/>
          <w:szCs w:val="18"/>
          <w:color w:val="auto"/>
        </w:rPr>
        <w:t xml:space="preserve">” means a mutual fund or a non-redeemable investment fund, and, for greater certainty in British Columbia, includes an employee venture capital corporation that does not have a restricted constitution, and is registered under Part 2 of the </w:t>
      </w:r>
      <w:r>
        <w:rPr>
          <w:rFonts w:ascii="Times New Roman" w:cs="Times New Roman" w:eastAsia="Times New Roman" w:hAnsi="Times New Roman"/>
          <w:sz w:val="18"/>
          <w:szCs w:val="18"/>
          <w:i w:val="1"/>
          <w:iCs w:val="1"/>
          <w:color w:val="auto"/>
        </w:rPr>
        <w:t>Employee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Investment Act </w:t>
      </w:r>
      <w:r>
        <w:rPr>
          <w:rFonts w:ascii="Times New Roman" w:cs="Times New Roman" w:eastAsia="Times New Roman" w:hAnsi="Times New Roman"/>
          <w:sz w:val="18"/>
          <w:szCs w:val="18"/>
          <w:color w:val="auto"/>
        </w:rPr>
        <w:t>(British Columbia), R.S.B.C. 1996 c. 112, and whose business objective is making multiple investments and a venture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corporation registered under Part 1 of the </w:t>
      </w:r>
      <w:r>
        <w:rPr>
          <w:rFonts w:ascii="Times New Roman" w:cs="Times New Roman" w:eastAsia="Times New Roman" w:hAnsi="Times New Roman"/>
          <w:sz w:val="18"/>
          <w:szCs w:val="18"/>
          <w:i w:val="1"/>
          <w:iCs w:val="1"/>
          <w:color w:val="auto"/>
        </w:rPr>
        <w:t>Small Business Venture Capital Act</w:t>
      </w:r>
      <w:r>
        <w:rPr>
          <w:rFonts w:ascii="Times New Roman" w:cs="Times New Roman" w:eastAsia="Times New Roman" w:hAnsi="Times New Roman"/>
          <w:sz w:val="18"/>
          <w:szCs w:val="18"/>
          <w:color w:val="auto"/>
        </w:rPr>
        <w:t xml:space="preserve"> (British Columbia), R.S.B.C. 1996 c. 429 whose business objective is making multiple investments.</w:t>
      </w:r>
    </w:p>
    <w:p>
      <w:pPr>
        <w:spacing w:after="0" w:line="116"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44"/>
          </w:cols>
          <w:pgMar w:left="436" w:top="349" w:right="519" w:bottom="1440" w:gutter="0" w:footer="0" w:header="0"/>
        </w:sectPr>
      </w:pPr>
    </w:p>
    <w:bookmarkStart w:id="220" w:name="page221"/>
    <w:bookmarkEnd w:id="220"/>
    <w:p>
      <w:pPr>
        <w:spacing w:after="0" w:line="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360" w:hanging="359"/>
        <w:spacing w:after="0" w:line="282" w:lineRule="auto"/>
        <w:rPr>
          <w:sz w:val="20"/>
          <w:szCs w:val="20"/>
          <w:color w:val="auto"/>
        </w:rPr>
      </w:pPr>
      <w:r>
        <w:rPr>
          <w:rFonts w:ascii="Times New Roman" w:cs="Times New Roman" w:eastAsia="Times New Roman" w:hAnsi="Times New Roman"/>
          <w:sz w:val="18"/>
          <w:szCs w:val="18"/>
          <w:color w:val="auto"/>
        </w:rPr>
        <w:t>(16)  In respect of an adviser, a registered charity under the Income Tax Act (Canada) that is advised by an eligibility adviser, as defined in section 1.1 of NI 45-106, or an adviser registered under the securities legislation of the jurisdiction of the registered charity.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380" w:lineRule="exact"/>
        <w:rPr>
          <w:sz w:val="20"/>
          <w:szCs w:val="20"/>
          <w:color w:val="auto"/>
        </w:rPr>
      </w:pPr>
    </w:p>
    <w:p>
      <w:pPr>
        <w:sectPr>
          <w:pgSz w:w="11900" w:h="16838" w:orient="portrait"/>
          <w:cols w:equalWidth="0" w:num="2">
            <w:col w:w="9940" w:space="480"/>
            <w:col w:w="160"/>
          </w:cols>
          <w:pgMar w:left="800" w:top="241" w:right="519" w:bottom="1440" w:gutter="0" w:footer="0" w:header="0"/>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(17)  A person or company that distributes securities of its own issue in Canada only to persons or companies referred to in (1) to (16).</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33" w:lineRule="exact"/>
        <w:rPr>
          <w:sz w:val="20"/>
          <w:szCs w:val="20"/>
          <w:color w:val="auto"/>
        </w:rPr>
      </w:pPr>
    </w:p>
    <w:p>
      <w:pPr>
        <w:sectPr>
          <w:pgSz w:w="11900" w:h="16838" w:orient="portrait"/>
          <w:cols w:equalWidth="0" w:num="2">
            <w:col w:w="9700" w:space="720"/>
            <w:col w:w="160"/>
          </w:cols>
          <w:pgMar w:left="800" w:top="241" w:right="519" w:bottom="1440" w:gutter="0" w:footer="0" w:header="0"/>
          <w:type w:val="continuous"/>
        </w:sectPr>
      </w:pPr>
    </w:p>
    <w:p>
      <w:pPr>
        <w:jc w:val="center"/>
        <w:ind w:right="28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580"/>
          </w:cols>
          <w:pgMar w:left="800" w:top="241" w:right="519" w:bottom="1440" w:gutter="0" w:footer="0" w:header="0"/>
          <w:type w:val="continuous"/>
        </w:sectPr>
      </w:pPr>
    </w:p>
    <w:bookmarkStart w:id="221" w:name="page222"/>
    <w:bookmarkEnd w:id="221"/>
    <w:p>
      <w:pPr>
        <w:ind w:left="424"/>
        <w:spacing w:after="0"/>
        <w:tabs>
          <w:tab w:leader="none" w:pos="94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XVI.</w:t>
      </w:r>
      <w:r>
        <w:rPr>
          <w:sz w:val="20"/>
          <w:szCs w:val="20"/>
          <w:color w:val="auto"/>
        </w:rPr>
        <w:tab/>
      </w:r>
      <w:r>
        <w:rPr>
          <w:rFonts w:ascii="Times New Roman" w:cs="Times New Roman" w:eastAsia="Times New Roman" w:hAnsi="Times New Roman"/>
          <w:sz w:val="17"/>
          <w:szCs w:val="17"/>
          <w:b w:val="1"/>
          <w:bCs w:val="1"/>
          <w:color w:val="auto"/>
        </w:rPr>
        <w:t>Supplemental Data for Swiss Investors – Status as a Qualified Investor</w:t>
      </w:r>
    </w:p>
    <w:p>
      <w:pPr>
        <w:sectPr>
          <w:pgSz w:w="11900" w:h="16838" w:orient="portrait"/>
          <w:cols w:equalWidth="0" w:num="1">
            <w:col w:w="11024"/>
          </w:cols>
          <w:pgMar w:left="436" w:top="266" w:right="439" w:bottom="1440" w:gutter="0" w:footer="0" w:header="0"/>
        </w:sectPr>
      </w:pPr>
    </w:p>
    <w:p>
      <w:pPr>
        <w:spacing w:after="0" w:line="256" w:lineRule="exact"/>
        <w:rPr>
          <w:sz w:val="20"/>
          <w:szCs w:val="20"/>
          <w:color w:val="auto"/>
        </w:rPr>
      </w:pPr>
    </w:p>
    <w:p>
      <w:pPr>
        <w:ind w:left="364" w:right="1500" w:hanging="359"/>
        <w:spacing w:after="0" w:line="282" w:lineRule="auto"/>
        <w:rPr>
          <w:sz w:val="20"/>
          <w:szCs w:val="20"/>
          <w:color w:val="auto"/>
        </w:rPr>
      </w:pPr>
      <w:r>
        <w:rPr>
          <w:rFonts w:ascii="Times New Roman" w:cs="Times New Roman" w:eastAsia="Times New Roman" w:hAnsi="Times New Roman"/>
          <w:sz w:val="18"/>
          <w:szCs w:val="18"/>
          <w:color w:val="auto"/>
        </w:rPr>
        <w:t>(A)   Is the subscriber resident or domiciled, or does the subscriber have a registered office, in Switzerland? (If YES, proceed to Section XVI(C)) (If NO, proceed to Section XVI(B))</w:t>
      </w:r>
    </w:p>
    <w:p>
      <w:pPr>
        <w:spacing w:after="0" w:line="54" w:lineRule="exact"/>
        <w:rPr>
          <w:sz w:val="20"/>
          <w:szCs w:val="20"/>
          <w:color w:val="auto"/>
        </w:rPr>
      </w:pPr>
    </w:p>
    <w:p>
      <w:pPr>
        <w:ind w:left="364" w:hanging="359"/>
        <w:spacing w:after="0" w:line="261" w:lineRule="auto"/>
        <w:rPr>
          <w:sz w:val="20"/>
          <w:szCs w:val="20"/>
          <w:color w:val="auto"/>
        </w:rPr>
      </w:pPr>
      <w:r>
        <w:rPr>
          <w:rFonts w:ascii="Times New Roman" w:cs="Times New Roman" w:eastAsia="Times New Roman" w:hAnsi="Times New Roman"/>
          <w:sz w:val="18"/>
          <w:szCs w:val="18"/>
          <w:color w:val="auto"/>
        </w:rPr>
        <w:t>(B)   Are the funds of the subscriber, which shall be invested, managed by a discretionary manager who is resident, domiciled or has a registered office in Switzerland?</w:t>
      </w:r>
    </w:p>
    <w:p>
      <w:pPr>
        <w:ind w:left="364"/>
        <w:spacing w:after="0"/>
        <w:rPr>
          <w:sz w:val="20"/>
          <w:szCs w:val="20"/>
          <w:color w:val="auto"/>
        </w:rPr>
      </w:pPr>
      <w:r>
        <w:rPr>
          <w:rFonts w:ascii="Times New Roman" w:cs="Times New Roman" w:eastAsia="Times New Roman" w:hAnsi="Times New Roman"/>
          <w:sz w:val="18"/>
          <w:szCs w:val="18"/>
          <w:color w:val="auto"/>
        </w:rPr>
        <w:t>(If YES, proceed to Section XVI(C))</w:t>
      </w:r>
    </w:p>
    <w:p>
      <w:pPr>
        <w:spacing w:after="0" w:line="351" w:lineRule="exact"/>
        <w:rPr>
          <w:sz w:val="20"/>
          <w:szCs w:val="20"/>
          <w:color w:val="auto"/>
        </w:rPr>
      </w:pPr>
    </w:p>
    <w:p>
      <w:pPr>
        <w:ind w:left="424" w:hanging="424"/>
        <w:spacing w:after="0"/>
        <w:tabs>
          <w:tab w:leader="none" w:pos="424"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Status as a qualified investor</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ind w:left="217" w:hanging="217"/>
        <w:spacing w:after="0" w:line="207" w:lineRule="exact"/>
        <w:tabs>
          <w:tab w:leader="none" w:pos="217" w:val="left"/>
        </w:tabs>
        <w:numPr>
          <w:ilvl w:val="0"/>
          <w:numId w:val="22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00" w:lineRule="exact"/>
        <w:rPr>
          <w:rFonts w:ascii="MS PGothic" w:cs="MS PGothic" w:eastAsia="MS PGothic" w:hAnsi="MS PGothic"/>
          <w:sz w:val="18"/>
          <w:szCs w:val="18"/>
          <w:color w:val="auto"/>
        </w:rPr>
      </w:pPr>
    </w:p>
    <w:p>
      <w:pPr>
        <w:spacing w:after="0" w:line="241" w:lineRule="exact"/>
        <w:rPr>
          <w:rFonts w:ascii="MS PGothic" w:cs="MS PGothic" w:eastAsia="MS PGothic" w:hAnsi="MS PGothic"/>
          <w:sz w:val="18"/>
          <w:szCs w:val="18"/>
          <w:color w:val="auto"/>
        </w:rPr>
      </w:pPr>
    </w:p>
    <w:p>
      <w:pPr>
        <w:ind w:left="217" w:hanging="217"/>
        <w:spacing w:after="0" w:line="207" w:lineRule="exact"/>
        <w:tabs>
          <w:tab w:leader="none" w:pos="217" w:val="left"/>
        </w:tabs>
        <w:numPr>
          <w:ilvl w:val="0"/>
          <w:numId w:val="22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050" w:lineRule="exact"/>
        <w:rPr>
          <w:sz w:val="20"/>
          <w:szCs w:val="20"/>
          <w:color w:val="auto"/>
        </w:rPr>
      </w:pPr>
    </w:p>
    <w:p>
      <w:pPr>
        <w:sectPr>
          <w:pgSz w:w="11900" w:h="16838" w:orient="portrait"/>
          <w:cols w:equalWidth="0" w:num="2">
            <w:col w:w="9204" w:space="423"/>
            <w:col w:w="1397"/>
          </w:cols>
          <w:pgMar w:left="436" w:top="266" w:right="439" w:bottom="1440" w:gutter="0" w:footer="0" w:header="0"/>
          <w:type w:val="continuous"/>
        </w:sectPr>
      </w:pPr>
    </w:p>
    <w:p>
      <w:pPr>
        <w:ind w:left="444" w:right="100"/>
        <w:spacing w:after="0" w:line="266" w:lineRule="auto"/>
        <w:rPr>
          <w:sz w:val="20"/>
          <w:szCs w:val="20"/>
          <w:color w:val="auto"/>
        </w:rPr>
      </w:pPr>
      <w:r>
        <w:rPr>
          <w:rFonts w:ascii="Times New Roman" w:cs="Times New Roman" w:eastAsia="Times New Roman" w:hAnsi="Times New Roman"/>
          <w:sz w:val="18"/>
          <w:szCs w:val="18"/>
          <w:color w:val="auto"/>
        </w:rPr>
        <w:t>This offering is being made to “qualified investors” in Switzerland as defined in the Swiss Federal Collective Investment Schemes Act of 23 June 2006, as amended, and its implementing ordinance (“</w:t>
      </w:r>
      <w:r>
        <w:rPr>
          <w:rFonts w:ascii="Times New Roman" w:cs="Times New Roman" w:eastAsia="Times New Roman" w:hAnsi="Times New Roman"/>
          <w:sz w:val="18"/>
          <w:szCs w:val="18"/>
          <w:u w:val="single" w:color="auto"/>
          <w:color w:val="auto"/>
        </w:rPr>
        <w:t>CISA</w:t>
      </w:r>
      <w:r>
        <w:rPr>
          <w:rFonts w:ascii="Times New Roman" w:cs="Times New Roman" w:eastAsia="Times New Roman" w:hAnsi="Times New Roman"/>
          <w:sz w:val="18"/>
          <w:szCs w:val="18"/>
          <w:color w:val="auto"/>
        </w:rPr>
        <w:t>”). The subscriber’s ability to participate is in part dependent upon answers to the following questions.</w:t>
      </w:r>
    </w:p>
    <w:p>
      <w:pPr>
        <w:spacing w:after="0" w:line="68" w:lineRule="exact"/>
        <w:rPr>
          <w:sz w:val="20"/>
          <w:szCs w:val="20"/>
          <w:color w:val="auto"/>
        </w:rPr>
      </w:pPr>
    </w:p>
    <w:p>
      <w:pPr>
        <w:ind w:left="444" w:right="180"/>
        <w:spacing w:after="0" w:line="266" w:lineRule="auto"/>
        <w:rPr>
          <w:sz w:val="20"/>
          <w:szCs w:val="20"/>
          <w:color w:val="auto"/>
        </w:rPr>
      </w:pPr>
      <w:r>
        <w:rPr>
          <w:rFonts w:ascii="Times New Roman" w:cs="Times New Roman" w:eastAsia="Times New Roman" w:hAnsi="Times New Roman"/>
          <w:sz w:val="18"/>
          <w:szCs w:val="18"/>
          <w:color w:val="auto"/>
        </w:rPr>
        <w:t>The subscriber certifies that it is a professional client pursuant to article 5(1) of the Swiss Federal Act on Financial Services (“</w:t>
      </w:r>
      <w:r>
        <w:rPr>
          <w:rFonts w:ascii="Times New Roman" w:cs="Times New Roman" w:eastAsia="Times New Roman" w:hAnsi="Times New Roman"/>
          <w:sz w:val="18"/>
          <w:szCs w:val="18"/>
          <w:u w:val="single" w:color="auto"/>
          <w:color w:val="auto"/>
        </w:rPr>
        <w:t>FinSA</w:t>
      </w:r>
      <w:r>
        <w:rPr>
          <w:rFonts w:ascii="Times New Roman" w:cs="Times New Roman" w:eastAsia="Times New Roman" w:hAnsi="Times New Roman"/>
          <w:sz w:val="18"/>
          <w:szCs w:val="18"/>
          <w:color w:val="auto"/>
        </w:rPr>
        <w:t>”), as amended from time to time, and its implementing ordinances, and, therefore, a qualified investor within the meaning of article 10(3) of CISA. In particular, the subscriber confirms that it falls under at least one of the following professional client categories (</w:t>
      </w:r>
      <w:r>
        <w:rPr>
          <w:rFonts w:ascii="Times New Roman" w:cs="Times New Roman" w:eastAsia="Times New Roman" w:hAnsi="Times New Roman"/>
          <w:sz w:val="18"/>
          <w:szCs w:val="18"/>
          <w:i w:val="1"/>
          <w:iCs w:val="1"/>
          <w:color w:val="auto"/>
        </w:rPr>
        <w:t>please check all that apply</w:t>
      </w:r>
      <w:r>
        <w:rPr>
          <w:rFonts w:ascii="Times New Roman" w:cs="Times New Roman" w:eastAsia="Times New Roman" w:hAnsi="Times New Roman"/>
          <w:sz w:val="18"/>
          <w:szCs w:val="18"/>
          <w:color w:val="auto"/>
        </w:rPr>
        <w:t>):</w:t>
      </w:r>
    </w:p>
    <w:p>
      <w:pPr>
        <w:spacing w:after="0" w:line="203" w:lineRule="exact"/>
        <w:rPr>
          <w:sz w:val="20"/>
          <w:szCs w:val="20"/>
          <w:color w:val="auto"/>
        </w:rPr>
      </w:pPr>
    </w:p>
    <w:tbl>
      <w:tblPr>
        <w:tblLayout w:type="fixed"/>
        <w:tblInd w:w="364" w:type="dxa"/>
        <w:tblCellMar>
          <w:top w:w="0" w:type="dxa"/>
          <w:left w:w="0" w:type="dxa"/>
          <w:bottom w:w="0" w:type="dxa"/>
          <w:right w:w="0" w:type="dxa"/>
        </w:tblCellMar>
      </w:tblPr>
      <w:tr>
        <w:trPr>
          <w:trHeight w:val="216"/>
        </w:trPr>
        <w:tc>
          <w:tcPr>
            <w:tcW w:w="10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    a Swiss financial intermediary as defined in the Swiss Federal Banking Act, the Swiss Federal Financial Institutions Act or CISA, such</w:t>
            </w:r>
          </w:p>
        </w:tc>
        <w:tc>
          <w:tcPr>
            <w:tcW w:w="400" w:type="dxa"/>
            <w:vAlign w:val="bottom"/>
            <w:vMerge w:val="restart"/>
          </w:tcPr>
          <w:p>
            <w:pPr>
              <w:ind w:left="60"/>
              <w:spacing w:after="0" w:line="207" w:lineRule="exact"/>
              <w:rPr>
                <w:sz w:val="20"/>
                <w:szCs w:val="20"/>
                <w:color w:val="auto"/>
              </w:rPr>
            </w:pPr>
            <w:r>
              <w:rPr>
                <w:rFonts w:ascii="MS PGothic" w:cs="MS PGothic" w:eastAsia="MS PGothic" w:hAnsi="MS PGothic"/>
                <w:sz w:val="18"/>
                <w:szCs w:val="18"/>
                <w:color w:val="auto"/>
                <w:w w:val="93"/>
              </w:rPr>
              <w:t>☐</w:t>
            </w:r>
            <w:r>
              <w:rPr>
                <w:rFonts w:ascii="Times New Roman" w:cs="Times New Roman" w:eastAsia="Times New Roman" w:hAnsi="Times New Roman"/>
                <w:sz w:val="18"/>
                <w:szCs w:val="18"/>
                <w:color w:val="auto"/>
                <w:w w:val="93"/>
              </w:rPr>
              <w:t xml:space="preserve">    </w:t>
            </w:r>
          </w:p>
        </w:tc>
        <w:tc>
          <w:tcPr>
            <w:tcW w:w="0" w:type="dxa"/>
            <w:vAlign w:val="bottom"/>
          </w:tcPr>
          <w:p>
            <w:pPr>
              <w:spacing w:after="0"/>
              <w:rPr>
                <w:sz w:val="1"/>
                <w:szCs w:val="1"/>
                <w:color w:val="auto"/>
              </w:rPr>
            </w:pPr>
          </w:p>
        </w:tc>
      </w:tr>
      <w:tr>
        <w:trPr>
          <w:trHeight w:val="254"/>
        </w:trPr>
        <w:tc>
          <w:tcPr>
            <w:tcW w:w="102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as a bank, securities dealer, fund management company or asset manager of collective investment schemes</w:t>
            </w:r>
          </w:p>
        </w:tc>
        <w:tc>
          <w:tcPr>
            <w:tcW w:w="4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10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    a Swiss insurance company as defined in the Swiss Federal Insurance Act</w:t>
            </w:r>
          </w:p>
        </w:tc>
        <w:tc>
          <w:tcPr>
            <w:tcW w:w="400" w:type="dxa"/>
            <w:vAlign w:val="bottom"/>
          </w:tcPr>
          <w:p>
            <w:pPr>
              <w:ind w:left="60"/>
              <w:spacing w:after="0" w:line="207" w:lineRule="exact"/>
              <w:rPr>
                <w:sz w:val="20"/>
                <w:szCs w:val="20"/>
                <w:color w:val="auto"/>
              </w:rPr>
            </w:pPr>
            <w:r>
              <w:rPr>
                <w:rFonts w:ascii="MS PGothic" w:cs="MS PGothic" w:eastAsia="MS PGothic" w:hAnsi="MS PGothic"/>
                <w:sz w:val="18"/>
                <w:szCs w:val="18"/>
                <w:color w:val="auto"/>
                <w:w w:val="93"/>
              </w:rPr>
              <w:t>☐</w:t>
            </w:r>
            <w:r>
              <w:rPr>
                <w:rFonts w:ascii="Times New Roman" w:cs="Times New Roman" w:eastAsia="Times New Roman" w:hAnsi="Times New Roman"/>
                <w:sz w:val="18"/>
                <w:szCs w:val="18"/>
                <w:color w:val="auto"/>
                <w:w w:val="93"/>
              </w:rPr>
              <w:t xml:space="preserve">    </w:t>
            </w:r>
          </w:p>
        </w:tc>
        <w:tc>
          <w:tcPr>
            <w:tcW w:w="0" w:type="dxa"/>
            <w:vAlign w:val="bottom"/>
          </w:tcPr>
          <w:p>
            <w:pPr>
              <w:spacing w:after="0"/>
              <w:rPr>
                <w:sz w:val="1"/>
                <w:szCs w:val="1"/>
                <w:color w:val="auto"/>
              </w:rPr>
            </w:pPr>
          </w:p>
        </w:tc>
      </w:tr>
      <w:tr>
        <w:trPr>
          <w:trHeight w:val="286"/>
        </w:trPr>
        <w:tc>
          <w:tcPr>
            <w:tcW w:w="10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    a foreign institution that is subject to a prudential supervision in its own country equivalent to the one applied by the Swiss Financial</w:t>
            </w:r>
          </w:p>
        </w:tc>
        <w:tc>
          <w:tcPr>
            <w:tcW w:w="400" w:type="dxa"/>
            <w:vAlign w:val="bottom"/>
            <w:vMerge w:val="restart"/>
          </w:tcPr>
          <w:p>
            <w:pPr>
              <w:ind w:left="60"/>
              <w:spacing w:after="0" w:line="207" w:lineRule="exact"/>
              <w:rPr>
                <w:sz w:val="20"/>
                <w:szCs w:val="20"/>
                <w:color w:val="auto"/>
              </w:rPr>
            </w:pPr>
            <w:r>
              <w:rPr>
                <w:rFonts w:ascii="MS PGothic" w:cs="MS PGothic" w:eastAsia="MS PGothic" w:hAnsi="MS PGothic"/>
                <w:sz w:val="18"/>
                <w:szCs w:val="18"/>
                <w:color w:val="auto"/>
                <w:w w:val="93"/>
              </w:rPr>
              <w:t>☐</w:t>
            </w:r>
            <w:r>
              <w:rPr>
                <w:rFonts w:ascii="Times New Roman" w:cs="Times New Roman" w:eastAsia="Times New Roman" w:hAnsi="Times New Roman"/>
                <w:sz w:val="18"/>
                <w:szCs w:val="18"/>
                <w:color w:val="auto"/>
                <w:w w:val="93"/>
              </w:rPr>
              <w:t xml:space="preserve">    </w:t>
            </w:r>
          </w:p>
        </w:tc>
        <w:tc>
          <w:tcPr>
            <w:tcW w:w="0" w:type="dxa"/>
            <w:vAlign w:val="bottom"/>
          </w:tcPr>
          <w:p>
            <w:pPr>
              <w:spacing w:after="0"/>
              <w:rPr>
                <w:sz w:val="1"/>
                <w:szCs w:val="1"/>
                <w:color w:val="auto"/>
              </w:rPr>
            </w:pPr>
          </w:p>
        </w:tc>
      </w:tr>
      <w:tr>
        <w:trPr>
          <w:trHeight w:val="194"/>
        </w:trPr>
        <w:tc>
          <w:tcPr>
            <w:tcW w:w="10260" w:type="dxa"/>
            <w:vAlign w:val="bottom"/>
            <w:gridSpan w:val="3"/>
          </w:tcPr>
          <w:p>
            <w:pPr>
              <w:ind w:left="360"/>
              <w:spacing w:after="0" w:line="194" w:lineRule="exact"/>
              <w:rPr>
                <w:sz w:val="20"/>
                <w:szCs w:val="20"/>
                <w:color w:val="auto"/>
              </w:rPr>
            </w:pPr>
            <w:r>
              <w:rPr>
                <w:rFonts w:ascii="Times New Roman" w:cs="Times New Roman" w:eastAsia="Times New Roman" w:hAnsi="Times New Roman"/>
                <w:sz w:val="18"/>
                <w:szCs w:val="18"/>
                <w:color w:val="auto"/>
              </w:rPr>
              <w:t>Market Supervisory Authority (“FINMA”) to Swiss financial intermediaries and Swiss insurance companies mentioned above</w:t>
            </w:r>
          </w:p>
        </w:tc>
        <w:tc>
          <w:tcPr>
            <w:tcW w:w="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(4)    a central bank</w:t>
            </w:r>
          </w:p>
        </w:tc>
        <w:tc>
          <w:tcPr>
            <w:tcW w:w="580" w:type="dxa"/>
            <w:vAlign w:val="bottom"/>
            <w:tcBorders>
              <w:top w:val="single" w:sz="8" w:color="auto"/>
            </w:tcBorders>
          </w:tcPr>
          <w:p>
            <w:pPr>
              <w:spacing w:after="0"/>
              <w:rPr>
                <w:sz w:val="24"/>
                <w:szCs w:val="24"/>
                <w:color w:val="auto"/>
              </w:rPr>
            </w:pPr>
          </w:p>
        </w:tc>
        <w:tc>
          <w:tcPr>
            <w:tcW w:w="6960" w:type="dxa"/>
            <w:vAlign w:val="bottom"/>
          </w:tcPr>
          <w:p>
            <w:pPr>
              <w:spacing w:after="0"/>
              <w:rPr>
                <w:sz w:val="24"/>
                <w:szCs w:val="24"/>
                <w:color w:val="auto"/>
              </w:rPr>
            </w:pPr>
          </w:p>
        </w:tc>
        <w:tc>
          <w:tcPr>
            <w:tcW w:w="400" w:type="dxa"/>
            <w:vAlign w:val="bottom"/>
          </w:tcPr>
          <w:p>
            <w:pPr>
              <w:ind w:left="60"/>
              <w:spacing w:after="0" w:line="207" w:lineRule="exact"/>
              <w:rPr>
                <w:sz w:val="20"/>
                <w:szCs w:val="20"/>
                <w:color w:val="auto"/>
              </w:rPr>
            </w:pPr>
            <w:r>
              <w:rPr>
                <w:rFonts w:ascii="MS PGothic" w:cs="MS PGothic" w:eastAsia="MS PGothic" w:hAnsi="MS PGothic"/>
                <w:sz w:val="18"/>
                <w:szCs w:val="18"/>
                <w:color w:val="auto"/>
                <w:w w:val="93"/>
              </w:rPr>
              <w:t>☐</w:t>
            </w:r>
            <w:r>
              <w:rPr>
                <w:rFonts w:ascii="Times New Roman" w:cs="Times New Roman" w:eastAsia="Times New Roman" w:hAnsi="Times New Roman"/>
                <w:sz w:val="18"/>
                <w:szCs w:val="18"/>
                <w:color w:val="auto"/>
                <w:w w:val="93"/>
              </w:rPr>
              <w:t xml:space="preserve">    </w:t>
            </w:r>
          </w:p>
        </w:tc>
        <w:tc>
          <w:tcPr>
            <w:tcW w:w="0" w:type="dxa"/>
            <w:vAlign w:val="bottom"/>
          </w:tcPr>
          <w:p>
            <w:pPr>
              <w:spacing w:after="0"/>
              <w:rPr>
                <w:sz w:val="1"/>
                <w:szCs w:val="1"/>
                <w:color w:val="auto"/>
              </w:rPr>
            </w:pPr>
          </w:p>
        </w:tc>
      </w:tr>
      <w:tr>
        <w:trPr>
          <w:trHeight w:val="286"/>
        </w:trPr>
        <w:tc>
          <w:tcPr>
            <w:tcW w:w="10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(5)    (i) a public entity, (ii) a pension fund or other institution whose purpose is to serve occupational pensions or (iii) a company, in each case</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2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under (i) through (iii) which has its own professional treasury operations (professional treasury operations are given when at least one</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competent person with experience in the financial sector is mainly responsible to manage on a regular basis the financial assets of the</w:t>
            </w:r>
          </w:p>
        </w:tc>
        <w:tc>
          <w:tcPr>
            <w:tcW w:w="400" w:type="dxa"/>
            <w:vAlign w:val="bottom"/>
            <w:vMerge w:val="restart"/>
          </w:tcPr>
          <w:p>
            <w:pPr>
              <w:ind w:left="60"/>
              <w:spacing w:after="0" w:line="207" w:lineRule="exact"/>
              <w:rPr>
                <w:sz w:val="20"/>
                <w:szCs w:val="20"/>
                <w:color w:val="auto"/>
              </w:rPr>
            </w:pPr>
            <w:r>
              <w:rPr>
                <w:rFonts w:ascii="MS PGothic" w:cs="MS PGothic" w:eastAsia="MS PGothic" w:hAnsi="MS PGothic"/>
                <w:sz w:val="18"/>
                <w:szCs w:val="18"/>
                <w:color w:val="auto"/>
                <w:w w:val="93"/>
              </w:rPr>
              <w:t>☐</w:t>
            </w:r>
            <w:r>
              <w:rPr>
                <w:rFonts w:ascii="Times New Roman" w:cs="Times New Roman" w:eastAsia="Times New Roman" w:hAnsi="Times New Roman"/>
                <w:sz w:val="18"/>
                <w:szCs w:val="18"/>
                <w:color w:val="auto"/>
                <w:w w:val="93"/>
              </w:rPr>
              <w:t xml:space="preserve">    </w:t>
            </w:r>
          </w:p>
        </w:tc>
        <w:tc>
          <w:tcPr>
            <w:tcW w:w="0" w:type="dxa"/>
            <w:vAlign w:val="bottom"/>
          </w:tcPr>
          <w:p>
            <w:pPr>
              <w:spacing w:after="0"/>
              <w:rPr>
                <w:sz w:val="1"/>
                <w:szCs w:val="1"/>
                <w:color w:val="auto"/>
              </w:rPr>
            </w:pPr>
          </w:p>
        </w:tc>
      </w:tr>
      <w:tr>
        <w:trPr>
          <w:trHeight w:val="254"/>
        </w:trPr>
        <w:tc>
          <w:tcPr>
            <w:tcW w:w="102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relevant entity)</w:t>
            </w:r>
          </w:p>
        </w:tc>
        <w:tc>
          <w:tcPr>
            <w:tcW w:w="4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0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(6)    a large company, which means a company that exceeds at least two of the following parameters: (a) total balance sheet of CHF</w:t>
            </w:r>
          </w:p>
        </w:tc>
        <w:tc>
          <w:tcPr>
            <w:tcW w:w="400" w:type="dxa"/>
            <w:vAlign w:val="bottom"/>
            <w:vMerge w:val="restart"/>
          </w:tcPr>
          <w:p>
            <w:pPr>
              <w:ind w:left="60"/>
              <w:spacing w:after="0" w:line="207" w:lineRule="exact"/>
              <w:rPr>
                <w:sz w:val="20"/>
                <w:szCs w:val="20"/>
                <w:color w:val="auto"/>
              </w:rPr>
            </w:pPr>
            <w:r>
              <w:rPr>
                <w:rFonts w:ascii="MS PGothic" w:cs="MS PGothic" w:eastAsia="MS PGothic" w:hAnsi="MS PGothic"/>
                <w:sz w:val="18"/>
                <w:szCs w:val="18"/>
                <w:color w:val="auto"/>
                <w:w w:val="93"/>
              </w:rPr>
              <w:t>☐</w:t>
            </w:r>
            <w:r>
              <w:rPr>
                <w:rFonts w:ascii="Times New Roman" w:cs="Times New Roman" w:eastAsia="Times New Roman" w:hAnsi="Times New Roman"/>
                <w:sz w:val="18"/>
                <w:szCs w:val="18"/>
                <w:color w:val="auto"/>
                <w:w w:val="93"/>
              </w:rPr>
              <w:t xml:space="preserve">    </w:t>
            </w:r>
          </w:p>
        </w:tc>
        <w:tc>
          <w:tcPr>
            <w:tcW w:w="0" w:type="dxa"/>
            <w:vAlign w:val="bottom"/>
          </w:tcPr>
          <w:p>
            <w:pPr>
              <w:spacing w:after="0"/>
              <w:rPr>
                <w:sz w:val="1"/>
                <w:szCs w:val="1"/>
                <w:color w:val="auto"/>
              </w:rPr>
            </w:pPr>
          </w:p>
        </w:tc>
      </w:tr>
      <w:tr>
        <w:trPr>
          <w:trHeight w:val="254"/>
        </w:trPr>
        <w:tc>
          <w:tcPr>
            <w:tcW w:w="102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20,000,000; (b) turnover of CHF 40,000,000; and (c) equity of CHF 2,000,000</w:t>
            </w:r>
          </w:p>
        </w:tc>
        <w:tc>
          <w:tcPr>
            <w:tcW w:w="4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0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(7)    a private investment structure with professional treasury operations (see explanation above in this regard) set up for high-net worth</w:t>
            </w:r>
          </w:p>
        </w:tc>
        <w:tc>
          <w:tcPr>
            <w:tcW w:w="400" w:type="dxa"/>
            <w:vAlign w:val="bottom"/>
            <w:vMerge w:val="restart"/>
          </w:tcPr>
          <w:p>
            <w:pPr>
              <w:ind w:left="60"/>
              <w:spacing w:after="0" w:line="207" w:lineRule="exact"/>
              <w:rPr>
                <w:sz w:val="20"/>
                <w:szCs w:val="20"/>
                <w:color w:val="auto"/>
              </w:rPr>
            </w:pPr>
            <w:r>
              <w:rPr>
                <w:rFonts w:ascii="MS PGothic" w:cs="MS PGothic" w:eastAsia="MS PGothic" w:hAnsi="MS PGothic"/>
                <w:sz w:val="18"/>
                <w:szCs w:val="18"/>
                <w:color w:val="auto"/>
                <w:w w:val="93"/>
              </w:rPr>
              <w:t>☐</w:t>
            </w:r>
            <w:r>
              <w:rPr>
                <w:rFonts w:ascii="Times New Roman" w:cs="Times New Roman" w:eastAsia="Times New Roman" w:hAnsi="Times New Roman"/>
                <w:sz w:val="18"/>
                <w:szCs w:val="18"/>
                <w:color w:val="auto"/>
                <w:w w:val="93"/>
              </w:rPr>
              <w:t xml:space="preserve">    </w:t>
            </w:r>
          </w:p>
        </w:tc>
        <w:tc>
          <w:tcPr>
            <w:tcW w:w="0" w:type="dxa"/>
            <w:vAlign w:val="bottom"/>
          </w:tcPr>
          <w:p>
            <w:pPr>
              <w:spacing w:after="0"/>
              <w:rPr>
                <w:sz w:val="1"/>
                <w:szCs w:val="1"/>
                <w:color w:val="auto"/>
              </w:rPr>
            </w:pPr>
          </w:p>
        </w:tc>
      </w:tr>
      <w:tr>
        <w:trPr>
          <w:trHeight w:val="254"/>
        </w:trPr>
        <w:tc>
          <w:tcPr>
            <w:tcW w:w="102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individuals</w:t>
            </w:r>
          </w:p>
        </w:tc>
        <w:tc>
          <w:tcPr>
            <w:tcW w:w="4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44"/>
        </w:trPr>
        <w:tc>
          <w:tcPr>
            <w:tcW w:w="10260" w:type="dxa"/>
            <w:vAlign w:val="bottom"/>
            <w:gridSpan w:val="3"/>
          </w:tcPr>
          <w:p>
            <w:pPr>
              <w:ind w:left="5060"/>
              <w:spacing w:after="0"/>
              <w:rPr>
                <w:sz w:val="20"/>
                <w:szCs w:val="20"/>
                <w:color w:val="auto"/>
              </w:rPr>
            </w:pPr>
            <w:r>
              <w:rPr>
                <w:rFonts w:ascii="Times New Roman" w:cs="Times New Roman" w:eastAsia="Times New Roman" w:hAnsi="Times New Roman"/>
                <w:sz w:val="18"/>
                <w:szCs w:val="18"/>
                <w:color w:val="auto"/>
              </w:rPr>
              <w:t>18</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4"/>
          </w:cols>
          <w:pgMar w:left="436" w:top="266" w:right="439" w:bottom="1440" w:gutter="0" w:footer="0" w:header="0"/>
          <w:type w:val="continuous"/>
        </w:sectPr>
      </w:pPr>
    </w:p>
    <w:bookmarkStart w:id="222" w:name="page223"/>
    <w:bookmarkEnd w:id="22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101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99"/>
              </w:rPr>
              <w:t>(8)    a private client who entered into a long-term investment advisory- or investment management relationship with a regulated financial</w:t>
            </w:r>
          </w:p>
        </w:tc>
        <w:tc>
          <w:tcPr>
            <w:tcW w:w="440" w:type="dxa"/>
            <w:vAlign w:val="bottom"/>
            <w:vMerge w:val="restart"/>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54"/>
        </w:trPr>
        <w:tc>
          <w:tcPr>
            <w:tcW w:w="10140" w:type="dxa"/>
            <w:vAlign w:val="bottom"/>
          </w:tcPr>
          <w:p>
            <w:pPr>
              <w:jc w:val="right"/>
              <w:ind w:right="2110"/>
              <w:spacing w:after="0"/>
              <w:rPr>
                <w:sz w:val="20"/>
                <w:szCs w:val="20"/>
                <w:color w:val="auto"/>
              </w:rPr>
            </w:pPr>
            <w:r>
              <w:rPr>
                <w:rFonts w:ascii="Times New Roman" w:cs="Times New Roman" w:eastAsia="Times New Roman" w:hAnsi="Times New Roman"/>
                <w:sz w:val="18"/>
                <w:szCs w:val="18"/>
                <w:color w:val="auto"/>
              </w:rPr>
              <w:t>intermediary and who did not declare in writing that he or she would prefer to be treated as retail investor</w:t>
            </w:r>
          </w:p>
        </w:tc>
        <w:tc>
          <w:tcPr>
            <w:tcW w:w="4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44"/>
        </w:trPr>
        <w:tc>
          <w:tcPr>
            <w:tcW w:w="10140" w:type="dxa"/>
            <w:vAlign w:val="bottom"/>
          </w:tcPr>
          <w:p>
            <w:pPr>
              <w:jc w:val="right"/>
              <w:ind w:right="4810"/>
              <w:spacing w:after="0"/>
              <w:rPr>
                <w:sz w:val="20"/>
                <w:szCs w:val="20"/>
                <w:color w:val="auto"/>
              </w:rPr>
            </w:pPr>
            <w:r>
              <w:rPr>
                <w:rFonts w:ascii="Times New Roman" w:cs="Times New Roman" w:eastAsia="Times New Roman" w:hAnsi="Times New Roman"/>
                <w:sz w:val="18"/>
                <w:szCs w:val="18"/>
                <w:color w:val="auto"/>
              </w:rPr>
              <w:t>19</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80"/>
          </w:cols>
          <w:pgMar w:left="800" w:top="270" w:right="519" w:bottom="1440" w:gutter="0" w:footer="0" w:header="0"/>
        </w:sectPr>
      </w:pPr>
    </w:p>
    <w:bookmarkStart w:id="223" w:name="page224"/>
    <w:bookmarkEnd w:id="223"/>
    <w:p>
      <w:pPr>
        <w:ind w:left="4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XVII. CFIUS Status</w:t>
      </w:r>
    </w:p>
    <w:p>
      <w:pPr>
        <w:spacing w:after="0" w:line="92" w:lineRule="exact"/>
        <w:rPr>
          <w:sz w:val="20"/>
          <w:szCs w:val="20"/>
          <w:color w:val="auto"/>
        </w:rPr>
      </w:pPr>
    </w:p>
    <w:p>
      <w:pPr>
        <w:ind w:firstLine="440"/>
        <w:spacing w:after="0" w:line="223" w:lineRule="exact"/>
        <w:rPr>
          <w:sz w:val="20"/>
          <w:szCs w:val="20"/>
          <w:color w:val="auto"/>
        </w:rPr>
      </w:pPr>
      <w:r>
        <w:rPr>
          <w:rFonts w:ascii="Times New Roman" w:cs="Times New Roman" w:eastAsia="Times New Roman" w:hAnsi="Times New Roman"/>
          <w:sz w:val="18"/>
          <w:szCs w:val="18"/>
          <w:color w:val="auto"/>
        </w:rPr>
        <w:t xml:space="preserve">Capitalized terms used, and not otherwise defined, in this Section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XVII shall have the respective meanings ascribed to them in this Agreement. In connection with promulgated regulations for 31 C.F.R. Chapter VIII (“</w:t>
      </w:r>
      <w:r>
        <w:rPr>
          <w:rFonts w:ascii="Times New Roman" w:cs="Times New Roman" w:eastAsia="Times New Roman" w:hAnsi="Times New Roman"/>
          <w:sz w:val="18"/>
          <w:szCs w:val="18"/>
          <w:u w:val="single" w:color="auto"/>
          <w:color w:val="auto"/>
        </w:rPr>
        <w:t>CFIUS Regulations</w:t>
      </w:r>
      <w:r>
        <w:rPr>
          <w:rFonts w:ascii="Times New Roman" w:cs="Times New Roman" w:eastAsia="Times New Roman" w:hAnsi="Times New Roman"/>
          <w:sz w:val="18"/>
          <w:szCs w:val="18"/>
          <w:color w:val="auto"/>
        </w:rPr>
        <w:t>”), Sixth Street has determined that any entity that is a “foreign person” as defined in the CFIUS Regulations (i.e., is a non-U.S. legal entity or has sufficient ownership or influence by non-U.S. persons or entities to constitute foreign “control” for purposes of the CFIUS Regulations) (a “</w:t>
      </w:r>
      <w:r>
        <w:rPr>
          <w:rFonts w:ascii="Times New Roman" w:cs="Times New Roman" w:eastAsia="Times New Roman" w:hAnsi="Times New Roman"/>
          <w:sz w:val="18"/>
          <w:szCs w:val="18"/>
          <w:u w:val="single" w:color="auto"/>
          <w:color w:val="auto"/>
        </w:rPr>
        <w:t>CFIUS Entity</w:t>
      </w:r>
      <w:r>
        <w:rPr>
          <w:rFonts w:ascii="Times New Roman" w:cs="Times New Roman" w:eastAsia="Times New Roman" w:hAnsi="Times New Roman"/>
          <w:sz w:val="18"/>
          <w:szCs w:val="18"/>
          <w:color w:val="auto"/>
        </w:rPr>
        <w:t>”) that holds more than 33% of the aggregate voting shares of the Subscriber (as applicable) will be excluded for purposes of determining whether a requisite voting threshold under the Charter has been met, solely to the extent of such Subscriber’s interest in excess of 33%. This is intended to help the Company avoid treatment as a “foreign person” under the CFIUS Regulations.</w:t>
      </w:r>
    </w:p>
    <w:p>
      <w:pPr>
        <w:spacing w:after="0" w:line="170" w:lineRule="exact"/>
        <w:rPr>
          <w:sz w:val="20"/>
          <w:szCs w:val="20"/>
          <w:color w:val="auto"/>
        </w:rPr>
      </w:pPr>
    </w:p>
    <w:p>
      <w:pPr>
        <w:ind w:left="440"/>
        <w:spacing w:after="0" w:line="207" w:lineRule="exact"/>
        <w:tabs>
          <w:tab w:leader="none" w:pos="9080" w:val="left"/>
        </w:tabs>
        <w:rPr>
          <w:sz w:val="20"/>
          <w:szCs w:val="20"/>
          <w:color w:val="auto"/>
        </w:rPr>
      </w:pPr>
      <w:r>
        <w:rPr>
          <w:rFonts w:ascii="Times New Roman" w:cs="Times New Roman" w:eastAsia="Times New Roman" w:hAnsi="Times New Roman"/>
          <w:sz w:val="18"/>
          <w:szCs w:val="18"/>
          <w:color w:val="auto"/>
        </w:rPr>
        <w:t xml:space="preserve">We kindly ask that you confirm whether the Subscriber is a CFIUS Entity under the terms of this Agreement.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NO</w:t>
      </w:r>
    </w:p>
    <w:p>
      <w:pPr>
        <w:spacing w:after="0" w:line="186"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880"/>
          </w:cols>
          <w:pgMar w:left="440" w:top="266" w:right="579" w:bottom="1440" w:gutter="0" w:footer="0" w:header="0"/>
        </w:sectPr>
      </w:pPr>
    </w:p>
    <w:bookmarkStart w:id="224" w:name="page225"/>
    <w:bookmarkEnd w:id="22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 OF PRIVACY POLICY – INVESTORS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Sixth Street Partners (“Sixth Street”) and its managed investment funds and other vehicles (each together, the “Funds”), value the trust and confidence of their investors. Sixth Street appreciates that, as a result of that trust and confidence, we, the Funds and our affiliates and Delegates have access to information about investors that is not generally available to the public.</w:t>
      </w:r>
    </w:p>
    <w:p>
      <w:pPr>
        <w:spacing w:after="0" w:line="176"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This Notice of Privacy Policy relates to the privacy policy the Sixth Street platform has in place with regard to existing, former and prospective investors in the Funds that are natural persons (“investors”, “you” and “your”) and is being provided by Sixth Street to such investors. This Notice of Privacy Policy describes the measures we have taken in order to protect the confidentiality, integrity and security of personal information relating to investors. It also describes the limited extent to which we may share that information with affiliates and nonaffiliated third parties. Corporate investors that provide Sixth Street with personal information on individuals in connection with their investment with Sixth Street must transmit a copy of this Notice of Privacy Policy to such individuals or otherwise advise them of its content within a reasonable period.</w:t>
      </w:r>
    </w:p>
    <w:p>
      <w:pPr>
        <w:spacing w:after="0" w:line="187"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In Sixth Street’s use of personal information, Sixth Street and or its Funds will be characterized as a “data controller”. Sixth Street’s affiliates and Delegates may also act as “data processors”.</w:t>
      </w:r>
    </w:p>
    <w:p>
      <w:pPr>
        <w:spacing w:after="0" w:line="16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For purposes of this Notice of Privacy Policy, an affiliate is an entity that (i) controls the Funds (a “control entity”), or (ii) is under common control with a control entity. Non-affiliated third parties are parties who are not affiliates of the Funds.</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This Notice of Privacy Policy and the policies described herein are subject to change at any time, and the content of such policies shall override the content of this Notice of Privacy Policy in the event of any inconsistencies therein. Sixth Street will post any updated versions of the policies described herein in the Sixth Street investor portal.</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This Notice of Privacy Policy also includes additional information in the attached Annex that is applicable only to investors who are resident in either the European Economic Area (“EEA”) or the United Kingdom of Great Britain and Northern Ireland (“U.K.”) and to any investors in a Cayman Islands domiciled Fund.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Personal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References to “personal information” means information that reasonably can be used to directly or indirectly identify an individual natural person.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Collection of Information</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By virtue of making (or seeking to make) an investment in the Funds and your associated interactions with Sixth Street (including the initial application, and including the recording of electronic communications or phone calls where applicable) or by virtue of you otherwise providing us with personal information on individuals connected with you as an investor or authorized person, you will provide us with certain personal information.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collect and process personal information regarding investors from sources such as the following:</w:t>
      </w:r>
    </w:p>
    <w:p>
      <w:pPr>
        <w:spacing w:after="0" w:line="129" w:lineRule="exact"/>
        <w:rPr>
          <w:sz w:val="20"/>
          <w:szCs w:val="20"/>
          <w:color w:val="auto"/>
        </w:rPr>
      </w:pPr>
    </w:p>
    <w:p>
      <w:pPr>
        <w:ind w:left="420" w:right="20" w:hanging="316"/>
        <w:spacing w:after="0" w:line="284" w:lineRule="auto"/>
        <w:tabs>
          <w:tab w:leader="none" w:pos="42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Subscription Agreements, Investor Questionnaires, and other forms</w:t>
      </w:r>
      <w:r>
        <w:rPr>
          <w:rFonts w:ascii="Times New Roman" w:cs="Times New Roman" w:eastAsia="Times New Roman" w:hAnsi="Times New Roman"/>
          <w:sz w:val="18"/>
          <w:szCs w:val="18"/>
          <w:color w:val="auto"/>
        </w:rPr>
        <w:t>, which may include an investor’s name, address, social security number and/or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personally identifiable financial information;</w:t>
      </w:r>
    </w:p>
    <w:p>
      <w:pPr>
        <w:spacing w:after="0" w:line="63" w:lineRule="exact"/>
        <w:rPr>
          <w:rFonts w:ascii="Times New Roman" w:cs="Times New Roman" w:eastAsia="Times New Roman" w:hAnsi="Times New Roman"/>
          <w:sz w:val="18"/>
          <w:szCs w:val="18"/>
          <w:color w:val="auto"/>
        </w:rPr>
      </w:pPr>
    </w:p>
    <w:p>
      <w:pPr>
        <w:ind w:left="420" w:right="320" w:hanging="316"/>
        <w:spacing w:after="0" w:line="284" w:lineRule="auto"/>
        <w:tabs>
          <w:tab w:leader="none" w:pos="42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Information and Account History</w:t>
      </w:r>
      <w:r>
        <w:rPr>
          <w:rFonts w:ascii="Times New Roman" w:cs="Times New Roman" w:eastAsia="Times New Roman" w:hAnsi="Times New Roman"/>
          <w:sz w:val="18"/>
          <w:szCs w:val="18"/>
          <w:color w:val="auto"/>
        </w:rPr>
        <w:t>, including information about an investor’s capital account, such as capital contributions, profit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loss allocations and distributions and withdrawals from the Funds and other various transactions with the Funds; and</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20"/>
          </w:cols>
          <w:pgMar w:left="440" w:top="266" w:right="439" w:bottom="1440" w:gutter="0" w:footer="0" w:header="0"/>
        </w:sectPr>
      </w:pPr>
    </w:p>
    <w:bookmarkStart w:id="225" w:name="page226"/>
    <w:bookmarkEnd w:id="225"/>
    <w:p>
      <w:pPr>
        <w:ind w:left="420" w:right="400" w:hanging="316"/>
        <w:spacing w:after="0" w:line="284" w:lineRule="auto"/>
        <w:tabs>
          <w:tab w:leader="none" w:pos="42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Background Information</w:t>
      </w:r>
      <w:r>
        <w:rPr>
          <w:rFonts w:ascii="Times New Roman" w:cs="Times New Roman" w:eastAsia="Times New Roman" w:hAnsi="Times New Roman"/>
          <w:sz w:val="18"/>
          <w:szCs w:val="18"/>
          <w:color w:val="auto"/>
        </w:rPr>
        <w:t>, including information needed for or revealed by know-your-customer, fraud, terrorist financing, sanctions and anti-money laundering checks, investor due diligence, accreditation and consents; and</w:t>
      </w:r>
    </w:p>
    <w:p>
      <w:pPr>
        <w:spacing w:after="0" w:line="63"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Correspondence and Communication</w:t>
      </w:r>
      <w:r>
        <w:rPr>
          <w:rFonts w:ascii="Times New Roman" w:cs="Times New Roman" w:eastAsia="Times New Roman" w:hAnsi="Times New Roman"/>
          <w:sz w:val="18"/>
          <w:szCs w:val="18"/>
          <w:color w:val="auto"/>
        </w:rPr>
        <w:t>, with us and our representatives and their affiliates.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Disclosure of Information</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It is Sixth Street’s policy that personal information regarding investors shall not be disclosed to anyone other than as described in this Notice of Privacy Policy.</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Funds generally may share all of the personal information that the Funds collect regarding an investor with the Funds’ affiliates and the employees of such affiliates for legitimate business purposes, for example, in order to service the investor’s accounts or provide the investor with information about other products and services offered by the Funds or their affiliates that may be of interest to the investor.</w:t>
      </w:r>
    </w:p>
    <w:p>
      <w:pPr>
        <w:spacing w:after="0" w:line="17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 addition, Sixth Street may disclose information that we collect regarding an investor to certain nonaffiliated third parties in order to carry out and implement any and all purposes described above, and for objects, under one or more of the following circumstances:</w:t>
      </w:r>
    </w:p>
    <w:p>
      <w:pPr>
        <w:spacing w:after="0" w:line="189" w:lineRule="exact"/>
        <w:rPr>
          <w:sz w:val="20"/>
          <w:szCs w:val="20"/>
          <w:color w:val="auto"/>
        </w:rPr>
      </w:pPr>
    </w:p>
    <w:p>
      <w:pPr>
        <w:ind w:left="960" w:right="60" w:hanging="424"/>
        <w:spacing w:after="0" w:line="256" w:lineRule="auto"/>
        <w:tabs>
          <w:tab w:leader="none" w:pos="960"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Providers and Data Processors –to our service providers, affiliates and delegates that may act as data processors, processors or service providers (the “Delegates”), which may use personal information, for example, to provide their services to us or to discharge the legal, regulatory, or self-regulatory requirements that apply directly to us or in respect of which we rely upon the Delegates, provided that, such use of personal information by the Delegates will always be compatible with at least one of the aforementioned purposes for which we use personal information. The Delegates will not retain, use, sell or otherwise disclose personal information for any purpose other than the specific business purpose for which we have provided the personal information to the Delegate.</w:t>
      </w:r>
    </w:p>
    <w:p>
      <w:pPr>
        <w:spacing w:after="0" w:line="90" w:lineRule="exact"/>
        <w:rPr>
          <w:rFonts w:ascii="Times New Roman" w:cs="Times New Roman" w:eastAsia="Times New Roman" w:hAnsi="Times New Roman"/>
          <w:sz w:val="18"/>
          <w:szCs w:val="18"/>
          <w:color w:val="auto"/>
        </w:rPr>
      </w:pPr>
    </w:p>
    <w:p>
      <w:pPr>
        <w:ind w:left="960" w:right="60" w:hanging="424"/>
        <w:spacing w:after="0" w:line="284" w:lineRule="auto"/>
        <w:tabs>
          <w:tab w:leader="none" w:pos="960"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 Authorized </w:t>
      </w:r>
      <w:r>
        <w:rPr>
          <w:rFonts w:ascii="Times New Roman" w:cs="Times New Roman" w:eastAsia="Times New Roman" w:hAnsi="Times New Roman"/>
          <w:sz w:val="18"/>
          <w:szCs w:val="18"/>
          <w:color w:val="auto"/>
        </w:rPr>
        <w:t>– for example, as authorized by investor subscription agreements or our organizational documents and as authorized by you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the representatives designated by you or for the performance of the contract between us.</w:t>
      </w:r>
    </w:p>
    <w:p>
      <w:pPr>
        <w:spacing w:after="0" w:line="63" w:lineRule="exact"/>
        <w:rPr>
          <w:rFonts w:ascii="Times New Roman" w:cs="Times New Roman" w:eastAsia="Times New Roman" w:hAnsi="Times New Roman"/>
          <w:sz w:val="18"/>
          <w:szCs w:val="18"/>
          <w:color w:val="auto"/>
        </w:rPr>
      </w:pPr>
    </w:p>
    <w:p>
      <w:pPr>
        <w:ind w:left="960" w:right="60" w:hanging="424"/>
        <w:spacing w:after="0" w:line="258" w:lineRule="auto"/>
        <w:tabs>
          <w:tab w:leader="none" w:pos="960"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 Required by Applicable Law or in Connection with Regulatory or Law Enforcement Inquiries or other Legal Processes </w:t>
      </w:r>
      <w:r>
        <w:rPr>
          <w:rFonts w:ascii="Times New Roman" w:cs="Times New Roman" w:eastAsia="Times New Roman" w:hAnsi="Times New Roman"/>
          <w:sz w:val="18"/>
          <w:szCs w:val="18"/>
          <w:color w:val="auto"/>
        </w:rPr>
        <w:t>– for example,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self-regulatory, administrative, law enforcement agencies, to cooperate with regulators during periodic regulatory examinations or to comply with anti-money laundering, tax reporting and FATCA requirements. The regulators, in turn, may exchange such information with foreign authorities, including tax authorities such as the Cayman Islands Tax Information Authority or the United States Internal Revenue Service, or for our exercise or defense of legal claims.</w:t>
      </w:r>
    </w:p>
    <w:p>
      <w:pPr>
        <w:spacing w:after="0" w:line="212" w:lineRule="exact"/>
        <w:rPr>
          <w:rFonts w:ascii="Times New Roman" w:cs="Times New Roman" w:eastAsia="Times New Roman" w:hAnsi="Times New Roman"/>
          <w:sz w:val="18"/>
          <w:szCs w:val="18"/>
          <w:color w:val="auto"/>
        </w:rPr>
      </w:pPr>
    </w:p>
    <w:p>
      <w:pPr>
        <w:ind w:left="420" w:right="100" w:hanging="316"/>
        <w:spacing w:after="0" w:line="256" w:lineRule="auto"/>
        <w:tabs>
          <w:tab w:leader="none" w:pos="42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Permitted by Applicable Law –for example, sharing information (i) with companies and their respective affiliates that maintain, process or service investor or Fund accounts, (ii) with prospective lenders to, or other creditors of, a Fund or a portfolio company in which a Fund has or is considering investing, (iii) in connection with the making, management or disposition of any Fund investment or (iv) as otherwise necessary to effect, administer or enforce investor rights and obligations or Fund transactions. Among other activities, Sixth Street may also share information with their lawyers, accountants, custodians and broker-dealers, and with persons otherwise acting in a representative or fiduciary capacity on behalf of investors or us.</w:t>
      </w:r>
    </w:p>
    <w:p>
      <w:pPr>
        <w:spacing w:after="0" w:line="18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Sixth Street does not currently sell your personal information, as the term “sell” or “sale” is defined under the CCPA and have not done so in the past 12 months with respect to the information described in this Notice of Privacy Policy. For additional information about our collection of personal information on our website pursuant to the CCPA, please refer to our website privacy notice here: https://sixthstreet.com/privacy-policy/.</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80"/>
          </w:cols>
          <w:pgMar w:left="440" w:top="268" w:right="47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Safeguarding Policy</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Any party that Sixth Street sends personal information to relating to investors is permitted to use the information only for legitimate business purposes or as otherwise required or permitted by applicable law or regulation. In this regard, for officers, employees and agents of Sixth Street, the Funds and their affiliates and Delegates, access to such information is restricted to those who need such access in order to provide services to us and investors. Our affiliates and Delegates maintain physical, electronic and procedural safeguards to seek to guard investor personal information. Third parties that handle this information shall agree to follow the standards Sixth Street have established. All safeguards apply to personal information of current, former and prospective investors. We comply with applicable cross-border legal requirements providing for the transfer of personal information. We will notify investors of any such breach regarding their personal information that is reasonably likely to result in a risk to the interests, fundamental rights or freedoms of either the investors or those data subjects to whom the relevant information relate.</w:t>
      </w:r>
    </w:p>
    <w:p>
      <w:pPr>
        <w:spacing w:after="0" w:line="192" w:lineRule="exact"/>
        <w:rPr>
          <w:sz w:val="20"/>
          <w:szCs w:val="20"/>
          <w:color w:val="auto"/>
        </w:rPr>
      </w:pPr>
    </w:p>
    <w:p>
      <w:pPr>
        <w:ind w:right="1580"/>
        <w:spacing w:after="0" w:line="282" w:lineRule="auto"/>
        <w:rPr>
          <w:sz w:val="20"/>
          <w:szCs w:val="20"/>
          <w:color w:val="auto"/>
        </w:rPr>
      </w:pPr>
      <w:r>
        <w:rPr>
          <w:rFonts w:ascii="Times New Roman" w:cs="Times New Roman" w:eastAsia="Times New Roman" w:hAnsi="Times New Roman"/>
          <w:sz w:val="18"/>
          <w:szCs w:val="18"/>
          <w:color w:val="auto"/>
        </w:rPr>
        <w:t>Should you have any questions or wish to discuss your data protection rights with us, please contact the Management Company at SixthStreetCompliance@sixthstreet.com.</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40"/>
          </w:cols>
          <w:pgMar w:left="440" w:top="266" w:right="519" w:bottom="1440" w:gutter="0" w:footer="0" w:header="0"/>
        </w:sectPr>
      </w:pPr>
    </w:p>
    <w:bookmarkStart w:id="227" w:name="page228"/>
    <w:bookmarkEnd w:id="22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ANNEX—ADDITIONAL INFORMATION FOR EEA AND U.K. RESIDENTS AND INVESTORS IN CAYMAN ISLANDS FUNDS</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addition to the Notice of Privacy Policy, this Annex applies to investors who are resident in the EEA, U.K. and to any investors in a Cayman Islands domiciled Fund. For such investors, where there is a conflict in the wording between the Notice of Privacy Policy and this Annex, the Annex shall override. Unless otherwise defined herein, capitalized terms used in the Annex have the same meaning as in the Notice of Privacy Policy.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Identity of the Data Controller</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Sixth Street, on behalf of itself and the Funds it manages and, separately, each Cayman Islands domiciled Fund (“Sixth Street”, “we” or “us”) is the “data controller” in respect of personal information collected about (i) investors who are natural persons and (ii) representatives of corporate investors who are either located in the EEA or the U.K. (together, “EEA / U.K. Investors”) or investors in a Cayman Islands Fund (together, “Cayman Investors”, and collectively with EEA/ U.K. Investors, the “Investors”).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data controller we are the decision maker as to the purposes, conditions and manner in which your personal information is processed including:</w:t>
      </w:r>
    </w:p>
    <w:p>
      <w:pPr>
        <w:spacing w:after="0" w:line="131" w:lineRule="exact"/>
        <w:rPr>
          <w:sz w:val="20"/>
          <w:szCs w:val="20"/>
          <w:color w:val="auto"/>
        </w:rPr>
      </w:pPr>
    </w:p>
    <w:p>
      <w:pPr>
        <w:ind w:left="960" w:hanging="424"/>
        <w:spacing w:after="0"/>
        <w:tabs>
          <w:tab w:leader="none" w:pos="96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to use, store, and process your personal information;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whom to share your personal information;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to modify or erase your personal information;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to engage one or more third parties to process your personal information;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such third parties to engage.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Personal Information We Collect and How We Use It</w:t>
      </w:r>
    </w:p>
    <w:p>
      <w:pPr>
        <w:spacing w:after="0" w:line="11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addition to the “</w:t>
      </w:r>
      <w:r>
        <w:rPr>
          <w:rFonts w:ascii="Times New Roman" w:cs="Times New Roman" w:eastAsia="Times New Roman" w:hAnsi="Times New Roman"/>
          <w:sz w:val="18"/>
          <w:szCs w:val="18"/>
          <w:b w:val="1"/>
          <w:bCs w:val="1"/>
          <w:i w:val="1"/>
          <w:iCs w:val="1"/>
          <w:u w:val="single" w:color="auto"/>
          <w:color w:val="auto"/>
        </w:rPr>
        <w:t>Collection of Personal Information</w:t>
      </w:r>
      <w:r>
        <w:rPr>
          <w:rFonts w:ascii="Times New Roman" w:cs="Times New Roman" w:eastAsia="Times New Roman" w:hAnsi="Times New Roman"/>
          <w:sz w:val="18"/>
          <w:szCs w:val="18"/>
          <w:color w:val="auto"/>
        </w:rPr>
        <w:t>” section in the Notice of Privacy Policy, we may collect, store and use personal information about Investors for legitimate interests, including where it is necessary for our and/or third parties’ legitimate interests (and such interests are not overridden by your interests, fundamental rights or freedoms) or (if required by law) with your consent, including to operate and facilitate our business and services to you, undertake business management, planning, statistical analysis, market research and marketing (including email marketing) activities on our behalf or pursuant to joint marketing agreements, administer and maintain our core records, protect our rights and interests, ensure the security of our assets, systems and networks, prevent, detect and investigate fraud, unlawful or criminal activities in relation to our services and enforce our terms and conditions and other agreements.</w:t>
      </w:r>
    </w:p>
    <w:p>
      <w:pPr>
        <w:spacing w:after="0" w:line="18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Sixth Street also may collect sensitive personal information about Investors if we are required or permitted to do so by applicable law, or investors have, in accordance with applicable law, provided explicit consent to the collection and processing of their sensitive personal information: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Sharing of Personal Information</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It is Sixth Street’s policy that personal information regarding Investors shall not be disclosed to anyone other than as described in the Notice of Privacy Policy and this Annex. Sixth Street generally may share all of the personal information that Sixth Street collects regarding an Investor with Sixth Street’s affiliates and Delegates and the employees of such affiliates and Delegates for legitimate business purposes, for example, in order to service the Investor’s accounts or provide the Investor with information about other products and services offered by Sixth Street or its affiliates that may be of interest to the Investor.</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00"/>
          </w:cols>
          <w:pgMar w:left="440" w:top="266" w:right="459" w:bottom="1440" w:gutter="0" w:footer="0" w:header="0"/>
        </w:sectPr>
      </w:pPr>
    </w:p>
    <w:bookmarkStart w:id="228" w:name="page229"/>
    <w:bookmarkEnd w:id="228"/>
    <w:p>
      <w:pPr>
        <w:ind w:right="6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accordance with applicable law, we have entered into legally binding agreements requiring such service providers to use or disclose personal information only as necessary to perform services on our behalf or comply with applicable legal requirements.</w:t>
      </w:r>
    </w:p>
    <w:p>
      <w:pPr>
        <w:spacing w:after="0" w:line="16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addition, we may disclose personal information about Investors (a) when disclosure is necessary or appropriate to prevent physical harm or financial loss, (b) in connection with an investigation of suspected or actual fraudulent or other illegal activity, or (c) in connection with (i) the making, management or disposition of any fund investment or (ii) business continuity.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Transfers of Personal Information</w:t>
      </w:r>
    </w:p>
    <w:p>
      <w:pPr>
        <w:spacing w:after="0" w:line="121"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If you are located in the EEA or in the U.K., we comply with applicable legal requirements providing adequate protection for the transfer of personal information to recipients in countries outside of the EEA, the U.K., Switzerland and the Cayman Islands. In all such cases, we will only transfer your personal information if:</w:t>
      </w:r>
    </w:p>
    <w:p>
      <w:pPr>
        <w:spacing w:after="0" w:line="81" w:lineRule="exact"/>
        <w:rPr>
          <w:sz w:val="20"/>
          <w:szCs w:val="20"/>
          <w:color w:val="auto"/>
        </w:rPr>
      </w:pPr>
    </w:p>
    <w:p>
      <w:pPr>
        <w:ind w:left="960" w:hanging="424"/>
        <w:spacing w:after="0" w:line="282" w:lineRule="auto"/>
        <w:tabs>
          <w:tab w:leader="none" w:pos="96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country to which the personal information will be transferred has been granted an adequacy decision under applicable laws by relevant authorities, including the European Commission or the U.K. Government;</w:t>
      </w:r>
    </w:p>
    <w:p>
      <w:pPr>
        <w:spacing w:after="0" w:line="67" w:lineRule="exact"/>
        <w:rPr>
          <w:rFonts w:ascii="Times New Roman" w:cs="Times New Roman" w:eastAsia="Times New Roman" w:hAnsi="Times New Roman"/>
          <w:sz w:val="18"/>
          <w:szCs w:val="18"/>
          <w:color w:val="auto"/>
        </w:rPr>
      </w:pPr>
    </w:p>
    <w:p>
      <w:pPr>
        <w:ind w:left="960" w:right="920" w:hanging="424"/>
        <w:spacing w:after="0" w:line="282" w:lineRule="auto"/>
        <w:tabs>
          <w:tab w:leader="none" w:pos="96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put in place appropriate safeguards in respect of the transfer, for example the EU Model Contracts, and any necessary supplemental measures;</w:t>
      </w:r>
    </w:p>
    <w:p>
      <w:pPr>
        <w:spacing w:after="0" w:line="67" w:lineRule="exact"/>
        <w:rPr>
          <w:rFonts w:ascii="Times New Roman" w:cs="Times New Roman" w:eastAsia="Times New Roman" w:hAnsi="Times New Roman"/>
          <w:sz w:val="18"/>
          <w:szCs w:val="18"/>
          <w:color w:val="auto"/>
        </w:rPr>
      </w:pPr>
    </w:p>
    <w:p>
      <w:pPr>
        <w:ind w:left="960" w:hanging="424"/>
        <w:spacing w:after="0" w:line="266" w:lineRule="auto"/>
        <w:tabs>
          <w:tab w:leader="none" w:pos="96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transfer is subject to the Cayman Islands Data Protection Act (as Revised) then such transfer meets the requirements of the transfer of personal information by us, an affiliate or a non-affiliated third parties to countries not having an adequate level of protection shall be in accordance with the requirements of the Cayman Islands Data Protection Act (as Revised);</w:t>
      </w:r>
    </w:p>
    <w:p>
      <w:pPr>
        <w:spacing w:after="0" w:line="81" w:lineRule="exact"/>
        <w:rPr>
          <w:rFonts w:ascii="Times New Roman" w:cs="Times New Roman" w:eastAsia="Times New Roman" w:hAnsi="Times New Roman"/>
          <w:sz w:val="18"/>
          <w:szCs w:val="18"/>
          <w:color w:val="auto"/>
        </w:rPr>
      </w:pPr>
    </w:p>
    <w:p>
      <w:pPr>
        <w:ind w:left="960" w:right="480" w:hanging="424"/>
        <w:spacing w:after="0" w:line="282" w:lineRule="auto"/>
        <w:tabs>
          <w:tab w:leader="none" w:pos="96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obtained your consent to transfer personal information about you after first informing you about the possible risks of such a transfer;</w:t>
      </w:r>
    </w:p>
    <w:p>
      <w:pPr>
        <w:spacing w:after="0" w:line="67" w:lineRule="exact"/>
        <w:rPr>
          <w:rFonts w:ascii="Times New Roman" w:cs="Times New Roman" w:eastAsia="Times New Roman" w:hAnsi="Times New Roman"/>
          <w:sz w:val="18"/>
          <w:szCs w:val="18"/>
          <w:color w:val="auto"/>
        </w:rPr>
      </w:pPr>
    </w:p>
    <w:p>
      <w:pPr>
        <w:ind w:left="960" w:hanging="424"/>
        <w:spacing w:after="0" w:line="282" w:lineRule="auto"/>
        <w:tabs>
          <w:tab w:leader="none" w:pos="96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transfer is necessary for the performance of a contract between you and us, or if the transfer is necessary for the performance of a contract between us and a third party; or</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transfer is necessary to establish, exercise or defend legal claims.</w:t>
      </w:r>
    </w:p>
    <w:p>
      <w:pPr>
        <w:spacing w:after="0" w:line="22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Where we are relying on safeguards, you may request a copy of the safeguards that we have put in place in respect of transfers of personal information by contacting us as described in the How to Contact Us section below.</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Retention and Deletion of Your Personal Information</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Your personal information will be retained by us in line with all applicable laws for as long as necessary for our legitimate business purposes, to perform our contractual obligations, or where law or regulations obliges us to as set out above. This will usually be for the duration of your investment (or the investment of the corporate investor that you represent) and thereafter to the extent that we maintain a business relationship with you (or the corporate investor that you represent). We may retain your personal information for a longer period where required to do so in connection with a legal obligation or for the purpose of allowing us to establish, exercise or defend a legal claim. We expect to delete your personal information (at the latest) once there is no longer any legal or regulatory requirement or legitimate business purpose for retaining your personal information.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Your Rights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may have the following rights in relation to personal information that we hold about you:</w:t>
      </w:r>
    </w:p>
    <w:p>
      <w:pPr>
        <w:spacing w:after="0" w:line="131" w:lineRule="exact"/>
        <w:rPr>
          <w:sz w:val="20"/>
          <w:szCs w:val="20"/>
          <w:color w:val="auto"/>
        </w:rPr>
      </w:pPr>
    </w:p>
    <w:p>
      <w:pPr>
        <w:ind w:left="960" w:right="820" w:hanging="424"/>
        <w:spacing w:after="0" w:line="282" w:lineRule="auto"/>
        <w:tabs>
          <w:tab w:leader="none" w:pos="96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request confirmation of whether we process personal information relating to you and, if so, to request a copy of that personal information;</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request that we rectify or update your personal information that is inaccurate, incomplete or outdated;</w:t>
      </w:r>
    </w:p>
    <w:p>
      <w:pPr>
        <w:spacing w:after="0" w:line="130" w:lineRule="exact"/>
        <w:rPr>
          <w:rFonts w:ascii="Times New Roman" w:cs="Times New Roman" w:eastAsia="Times New Roman" w:hAnsi="Times New Roman"/>
          <w:sz w:val="18"/>
          <w:szCs w:val="18"/>
          <w:color w:val="auto"/>
        </w:rPr>
      </w:pPr>
    </w:p>
    <w:p>
      <w:pPr>
        <w:ind w:left="960" w:right="100" w:hanging="424"/>
        <w:spacing w:after="0" w:line="282" w:lineRule="auto"/>
        <w:tabs>
          <w:tab w:leader="none" w:pos="96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request that we erase your personal information in certain circumstances, such as where we collected personal information on the basis of your consent and you withdraw your consent;</w:t>
      </w:r>
    </w:p>
    <w:p>
      <w:pPr>
        <w:spacing w:after="0" w:line="67" w:lineRule="exact"/>
        <w:rPr>
          <w:rFonts w:ascii="Times New Roman" w:cs="Times New Roman" w:eastAsia="Times New Roman" w:hAnsi="Times New Roman"/>
          <w:sz w:val="18"/>
          <w:szCs w:val="18"/>
          <w:color w:val="auto"/>
        </w:rPr>
      </w:pPr>
    </w:p>
    <w:p>
      <w:pPr>
        <w:ind w:left="960" w:right="280" w:hanging="424"/>
        <w:spacing w:after="0" w:line="282" w:lineRule="auto"/>
        <w:tabs>
          <w:tab w:leader="none" w:pos="96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request that we restrict the use of your personal information in certain circumstances, such as while we consider another request that you have submitted, for example a request that we update your personal information;</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you have given us consent to process your personal information, to withdraw your consent;</w:t>
      </w:r>
    </w:p>
    <w:p>
      <w:pPr>
        <w:spacing w:after="0" w:line="130" w:lineRule="exact"/>
        <w:rPr>
          <w:rFonts w:ascii="Times New Roman" w:cs="Times New Roman" w:eastAsia="Times New Roman" w:hAnsi="Times New Roman"/>
          <w:sz w:val="18"/>
          <w:szCs w:val="18"/>
          <w:color w:val="auto"/>
        </w:rPr>
      </w:pPr>
    </w:p>
    <w:p>
      <w:pPr>
        <w:ind w:left="960" w:right="340" w:hanging="424"/>
        <w:spacing w:after="0" w:line="282" w:lineRule="auto"/>
        <w:tabs>
          <w:tab w:leader="none" w:pos="96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request that we provide a copy of your personal information to you in a structured, commonly used and machine readable format in certain circumstances; and</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object to certain of our data processing, such as for direct marketing purposes.</w:t>
      </w:r>
    </w:p>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If you consider that we have processed your personal information in violation of applicable law, you may also lodge a complaint with the local data protection supervisory authority. For example, individuals in the Cayman Islands may contact the Cayman Islands Data Protection Ombudsman by emailing </w:t>
      </w:r>
      <w:r>
        <w:rPr>
          <w:rFonts w:ascii="Times New Roman" w:cs="Times New Roman" w:eastAsia="Times New Roman" w:hAnsi="Times New Roman"/>
          <w:sz w:val="18"/>
          <w:szCs w:val="18"/>
          <w:u w:val="single" w:color="auto"/>
          <w:color w:val="auto"/>
        </w:rPr>
        <w:t>info@ombudsman.ky</w:t>
      </w:r>
      <w:r>
        <w:rPr>
          <w:rFonts w:ascii="Times New Roman" w:cs="Times New Roman" w:eastAsia="Times New Roman" w:hAnsi="Times New Roman"/>
          <w:sz w:val="18"/>
          <w:szCs w:val="18"/>
          <w:color w:val="auto"/>
        </w:rPr>
        <w:t xml:space="preserve">. Individuals in the U.K. may contact the Information Commissioner’s Office (see </w:t>
      </w:r>
      <w:r>
        <w:rPr>
          <w:rFonts w:ascii="Times New Roman" w:cs="Times New Roman" w:eastAsia="Times New Roman" w:hAnsi="Times New Roman"/>
          <w:sz w:val="18"/>
          <w:szCs w:val="18"/>
          <w:u w:val="single" w:color="auto"/>
          <w:color w:val="auto"/>
        </w:rPr>
        <w:t>www.ico.org.uk</w:t>
      </w:r>
      <w:r>
        <w:rPr>
          <w:rFonts w:ascii="Times New Roman" w:cs="Times New Roman" w:eastAsia="Times New Roman" w:hAnsi="Times New Roman"/>
          <w:sz w:val="18"/>
          <w:szCs w:val="18"/>
          <w:color w:val="auto"/>
        </w:rPr>
        <w:t xml:space="preserve">) and individuals in the EEA may contact their local or national supervisory authority (see </w:t>
      </w:r>
      <w:r>
        <w:rPr>
          <w:rFonts w:ascii="Times New Roman" w:cs="Times New Roman" w:eastAsia="Times New Roman" w:hAnsi="Times New Roman"/>
          <w:sz w:val="18"/>
          <w:szCs w:val="18"/>
          <w:u w:val="single" w:color="auto"/>
          <w:color w:val="auto"/>
        </w:rPr>
        <w:t>www.edpb.europa.eu/about-edpb/about-edpb/members_en#member-is</w:t>
      </w:r>
      <w:r>
        <w:rPr>
          <w:rFonts w:ascii="Times New Roman" w:cs="Times New Roman" w:eastAsia="Times New Roman" w:hAnsi="Times New Roman"/>
          <w:sz w:val="18"/>
          <w:szCs w:val="18"/>
          <w:color w:val="auto"/>
        </w:rPr>
        <w:t xml:space="preserve"> for further details).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How to exercise your data subject rights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exercise any of these rights, please contact us using the details below in the section “</w:t>
      </w:r>
      <w:r>
        <w:rPr>
          <w:rFonts w:ascii="Times New Roman" w:cs="Times New Roman" w:eastAsia="Times New Roman" w:hAnsi="Times New Roman"/>
          <w:sz w:val="18"/>
          <w:szCs w:val="18"/>
          <w:b w:val="1"/>
          <w:bCs w:val="1"/>
          <w:i w:val="1"/>
          <w:iCs w:val="1"/>
          <w:u w:val="single" w:color="auto"/>
          <w:color w:val="auto"/>
        </w:rPr>
        <w:t>How to Contact Us</w:t>
      </w:r>
      <w:r>
        <w:rPr>
          <w:rFonts w:ascii="Times New Roman" w:cs="Times New Roman" w:eastAsia="Times New Roman" w:hAnsi="Times New Roman"/>
          <w:sz w:val="18"/>
          <w:szCs w:val="18"/>
          <w:color w:val="auto"/>
        </w:rPr>
        <w:t>” below.</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Individuals who submit requests for access or erasure of personal information will be required to verify their identity by answering certain questions. We will not disclose or delete any information until such individual’s identity is verified.</w:t>
      </w:r>
    </w:p>
    <w:p>
      <w:pPr>
        <w:spacing w:after="0" w:line="16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You may designate an authorized agent to submit a request on your behalf by providing that agent with your written permission. If an agent makes a request on your behalf, we may still ask that you verify your identity directly with us before we can honor the request.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6" w:right="459" w:bottom="1440" w:gutter="0" w:footer="0" w:header="0"/>
        </w:sectPr>
      </w:pPr>
    </w:p>
    <w:bookmarkStart w:id="230" w:name="page231"/>
    <w:bookmarkEnd w:id="230"/>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Agents who make requests on behalf of individuals will be required to verify the request by submitting written authorization from the individual. We will not honor any requests from agents until authorization is verified.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How to Contact Us</w:t>
      </w:r>
    </w:p>
    <w:p>
      <w:pPr>
        <w:spacing w:after="0" w:line="12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If you have any questions about this Notice of Privacy Policy, or you would like to exercise any of your rights, please contact us using any of the methods below:</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email at: sixthstreetgdprinquiries@sixthstreet.com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writing at:</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Sixth Street Europe, LLP</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Park House,</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116 Park Street</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London,</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W1K 6AF,</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UK</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Compliance Officer</w:t>
      </w:r>
    </w:p>
    <w:p>
      <w:pPr>
        <w:spacing w:after="0" w:line="15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700"/>
          </w:cols>
          <w:pgMar w:left="440" w:top="270" w:right="759" w:bottom="1440" w:gutter="0" w:footer="0" w:header="0"/>
        </w:sectPr>
      </w:pPr>
    </w:p>
    <w:bookmarkStart w:id="231" w:name="page232"/>
    <w:bookmarkEnd w:id="23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Appendix B: Funding Notice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Sixth Street Lending Partners</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2100 McKinney Avenue, Suite 1500 • Dallas, Texas 75201</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TEL (469) 621-3001• FAX (469) 621-3002</w:t>
      </w:r>
    </w:p>
    <w:p>
      <w:pPr>
        <w:spacing w:after="0" w:line="31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8"/>
          <w:szCs w:val="18"/>
          <w:color w:val="auto"/>
        </w:rPr>
        <w:t>&lt;&lt;</w:t>
      </w:r>
      <w:r>
        <w:rPr>
          <w:rFonts w:ascii="Times New Roman" w:cs="Times New Roman" w:eastAsia="Times New Roman" w:hAnsi="Times New Roman"/>
          <w:sz w:val="18"/>
          <w:szCs w:val="18"/>
          <w:b w:val="1"/>
          <w:bCs w:val="1"/>
          <w:color w:val="auto"/>
        </w:rPr>
        <w:t>InvestorProperName</w:t>
      </w:r>
      <w:r>
        <w:rPr>
          <w:rFonts w:ascii="Times New Roman" w:cs="Times New Roman" w:eastAsia="Times New Roman" w:hAnsi="Times New Roman"/>
          <w:sz w:val="18"/>
          <w:szCs w:val="18"/>
          <w:color w:val="auto"/>
        </w:rPr>
        <w:t>&gt;&gt;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FROM:  [•]</w:t>
      </w:r>
    </w:p>
    <w:p>
      <w:pPr>
        <w:spacing w:after="0" w:line="11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8"/>
          <w:szCs w:val="18"/>
          <w:b w:val="1"/>
          <w:bCs w:val="1"/>
          <w:color w:val="auto"/>
        </w:rPr>
        <w:t>Notice of Capital Call – Due [•], 2022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2022</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accordance with Section 2.01(b) of the Subscription Agreement (the “Subscription Agreement”) of Sixth Street Lending Partners (“the Company”), you are hereby given notice of a call for capital contribution. The purpose of this capital contribution is to fund your share of proposed investments to be made by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amount due from you is $&lt;&lt;Drawdown Purchase Price&gt;&gt;. Details of this capital call and your portion thereof are as follows: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Call Summary</w:t>
      </w:r>
    </w:p>
    <w:p>
      <w:pPr>
        <w:spacing w:after="0" w:line="254"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5640" w:type="dxa"/>
            <w:vAlign w:val="bottom"/>
            <w:tcBorders>
              <w:top w:val="single" w:sz="8" w:color="auto"/>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Total Capital Commitment</w:t>
            </w:r>
          </w:p>
        </w:tc>
        <w:tc>
          <w:tcPr>
            <w:tcW w:w="4300" w:type="dxa"/>
            <w:vAlign w:val="bottom"/>
            <w:tcBorders>
              <w:top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$&lt;&lt;Total Capital Commitment&gt;&gt;</w:t>
            </w:r>
          </w:p>
        </w:tc>
        <w:tc>
          <w:tcPr>
            <w:tcW w:w="1100" w:type="dxa"/>
            <w:vAlign w:val="bottom"/>
            <w:tcBorders>
              <w:top w:val="single" w:sz="8" w:color="auto"/>
              <w:bottom w:val="single" w:sz="8" w:color="auto"/>
              <w:right w:val="single" w:sz="8" w:color="auto"/>
            </w:tcBorders>
          </w:tcPr>
          <w:p>
            <w:pPr>
              <w:spacing w:after="0"/>
              <w:rPr>
                <w:sz w:val="19"/>
                <w:szCs w:val="19"/>
                <w:color w:val="auto"/>
              </w:rPr>
            </w:pPr>
          </w:p>
        </w:tc>
      </w:tr>
      <w:tr>
        <w:trPr>
          <w:trHeight w:val="304"/>
        </w:trPr>
        <w:tc>
          <w:tcPr>
            <w:tcW w:w="564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&lt;&lt;percentage&gt;&gt;% Capital Call Obligation</w:t>
            </w:r>
          </w:p>
        </w:tc>
        <w:tc>
          <w:tcPr>
            <w:tcW w:w="43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$&lt;&lt;Dollar Amount of Capital Call&gt;&gt;</w:t>
            </w:r>
          </w:p>
        </w:tc>
        <w:tc>
          <w:tcPr>
            <w:tcW w:w="1100" w:type="dxa"/>
            <w:vAlign w:val="bottom"/>
            <w:tcBorders>
              <w:bottom w:val="single" w:sz="8" w:color="auto"/>
              <w:right w:val="single" w:sz="8" w:color="auto"/>
            </w:tcBorders>
          </w:tcPr>
          <w:p>
            <w:pPr>
              <w:spacing w:after="0"/>
              <w:rPr>
                <w:sz w:val="24"/>
                <w:szCs w:val="24"/>
                <w:color w:val="auto"/>
              </w:rPr>
            </w:pPr>
          </w:p>
        </w:tc>
      </w:tr>
      <w:tr>
        <w:trPr>
          <w:trHeight w:val="304"/>
        </w:trPr>
        <w:tc>
          <w:tcPr>
            <w:tcW w:w="564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Funds due by:</w:t>
            </w:r>
          </w:p>
        </w:tc>
        <w:tc>
          <w:tcPr>
            <w:tcW w:w="43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&lt;&lt;Due date&gt;&gt;</w:t>
            </w:r>
          </w:p>
        </w:tc>
        <w:tc>
          <w:tcPr>
            <w:tcW w:w="1100" w:type="dxa"/>
            <w:vAlign w:val="bottom"/>
            <w:tcBorders>
              <w:bottom w:val="single" w:sz="8" w:color="auto"/>
              <w:right w:val="single" w:sz="8" w:color="auto"/>
            </w:tcBorders>
          </w:tcPr>
          <w:p>
            <w:pPr>
              <w:spacing w:after="0"/>
              <w:rPr>
                <w:sz w:val="24"/>
                <w:szCs w:val="24"/>
                <w:color w:val="auto"/>
              </w:rPr>
            </w:pPr>
          </w:p>
        </w:tc>
      </w:tr>
      <w:tr>
        <w:trPr>
          <w:trHeight w:val="237"/>
        </w:trPr>
        <w:tc>
          <w:tcPr>
            <w:tcW w:w="5640" w:type="dxa"/>
            <w:vAlign w:val="bottom"/>
            <w:tcBorders>
              <w:bottom w:val="single" w:sz="8" w:color="auto"/>
            </w:tcBorders>
          </w:tcPr>
          <w:p>
            <w:pPr>
              <w:spacing w:after="0"/>
              <w:rPr>
                <w:sz w:val="20"/>
                <w:szCs w:val="20"/>
                <w:color w:val="auto"/>
              </w:rPr>
            </w:pPr>
          </w:p>
        </w:tc>
        <w:tc>
          <w:tcPr>
            <w:tcW w:w="36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r>
      <w:tr>
        <w:trPr>
          <w:trHeight w:val="142"/>
        </w:trPr>
        <w:tc>
          <w:tcPr>
            <w:tcW w:w="5640" w:type="dxa"/>
            <w:vAlign w:val="bottom"/>
            <w:tcBorders>
              <w:left w:val="single" w:sz="8" w:color="auto"/>
              <w:bottom w:val="single" w:sz="8" w:color="auto"/>
            </w:tcBorders>
          </w:tcPr>
          <w:p>
            <w:pPr>
              <w:spacing w:after="0"/>
              <w:rPr>
                <w:sz w:val="12"/>
                <w:szCs w:val="12"/>
                <w:color w:val="auto"/>
              </w:rPr>
            </w:pPr>
          </w:p>
        </w:tc>
        <w:tc>
          <w:tcPr>
            <w:tcW w:w="364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Amount</w:t>
            </w:r>
          </w:p>
        </w:tc>
        <w:tc>
          <w:tcPr>
            <w:tcW w:w="1100" w:type="dxa"/>
            <w:vAlign w:val="bottom"/>
            <w:tcBorders>
              <w:bottom w:val="single" w:sz="8" w:color="auto"/>
              <w:right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color w:val="auto"/>
              </w:rPr>
              <w:t>% Commitment</w:t>
            </w:r>
          </w:p>
        </w:tc>
      </w:tr>
      <w:tr>
        <w:trPr>
          <w:trHeight w:val="209"/>
        </w:trPr>
        <w:tc>
          <w:tcPr>
            <w:tcW w:w="564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Total Contributions (including current call):</w:t>
            </w:r>
          </w:p>
        </w:tc>
        <w:tc>
          <w:tcPr>
            <w:tcW w:w="364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64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Unfunded Commitment:</w:t>
            </w:r>
          </w:p>
        </w:tc>
        <w:tc>
          <w:tcPr>
            <w:tcW w:w="364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533"/>
        </w:trPr>
        <w:tc>
          <w:tcPr>
            <w:tcW w:w="9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We request that you wire your total amount due on or before the due date in accordance with the following instructions:</w:t>
            </w:r>
          </w:p>
        </w:tc>
        <w:tc>
          <w:tcPr>
            <w:tcW w:w="1100" w:type="dxa"/>
            <w:vAlign w:val="bottom"/>
          </w:tcPr>
          <w:p>
            <w:pPr>
              <w:spacing w:after="0"/>
              <w:rPr>
                <w:sz w:val="24"/>
                <w:szCs w:val="24"/>
                <w:color w:val="auto"/>
              </w:rPr>
            </w:pPr>
          </w:p>
        </w:tc>
      </w:tr>
      <w:tr>
        <w:trPr>
          <w:trHeight w:val="441"/>
        </w:trPr>
        <w:tc>
          <w:tcPr>
            <w:tcW w:w="56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Bank</w:t>
            </w:r>
          </w:p>
        </w:tc>
        <w:tc>
          <w:tcPr>
            <w:tcW w:w="4300" w:type="dxa"/>
            <w:vAlign w:val="bottom"/>
            <w:gridSpan w:val="2"/>
          </w:tcPr>
          <w:p>
            <w:pPr>
              <w:jc w:val="center"/>
              <w:ind w:left="1070"/>
              <w:spacing w:after="0"/>
              <w:rPr>
                <w:sz w:val="20"/>
                <w:szCs w:val="20"/>
                <w:color w:val="auto"/>
              </w:rPr>
            </w:pPr>
            <w:r>
              <w:rPr>
                <w:rFonts w:ascii="Times New Roman" w:cs="Times New Roman" w:eastAsia="Times New Roman" w:hAnsi="Times New Roman"/>
                <w:sz w:val="18"/>
                <w:szCs w:val="18"/>
                <w:color w:val="auto"/>
                <w:w w:val="96"/>
              </w:rPr>
              <w:t>[●]</w:t>
            </w:r>
          </w:p>
        </w:tc>
        <w:tc>
          <w:tcPr>
            <w:tcW w:w="1100" w:type="dxa"/>
            <w:vAlign w:val="bottom"/>
          </w:tcPr>
          <w:p>
            <w:pPr>
              <w:spacing w:after="0"/>
              <w:rPr>
                <w:sz w:val="24"/>
                <w:szCs w:val="24"/>
                <w:color w:val="auto"/>
              </w:rPr>
            </w:pPr>
          </w:p>
        </w:tc>
      </w:tr>
      <w:tr>
        <w:trPr>
          <w:trHeight w:val="216"/>
        </w:trPr>
        <w:tc>
          <w:tcPr>
            <w:tcW w:w="56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ABA #:</w:t>
            </w:r>
          </w:p>
        </w:tc>
        <w:tc>
          <w:tcPr>
            <w:tcW w:w="4300" w:type="dxa"/>
            <w:vAlign w:val="bottom"/>
            <w:gridSpan w:val="2"/>
          </w:tcPr>
          <w:p>
            <w:pPr>
              <w:jc w:val="center"/>
              <w:ind w:left="1070"/>
              <w:spacing w:after="0"/>
              <w:rPr>
                <w:sz w:val="20"/>
                <w:szCs w:val="20"/>
                <w:color w:val="auto"/>
              </w:rPr>
            </w:pPr>
            <w:r>
              <w:rPr>
                <w:rFonts w:ascii="Times New Roman" w:cs="Times New Roman" w:eastAsia="Times New Roman" w:hAnsi="Times New Roman"/>
                <w:sz w:val="18"/>
                <w:szCs w:val="18"/>
                <w:color w:val="auto"/>
                <w:w w:val="96"/>
              </w:rPr>
              <w:t>[●]</w:t>
            </w:r>
          </w:p>
        </w:tc>
        <w:tc>
          <w:tcPr>
            <w:tcW w:w="1100" w:type="dxa"/>
            <w:vAlign w:val="bottom"/>
          </w:tcPr>
          <w:p>
            <w:pPr>
              <w:spacing w:after="0"/>
              <w:rPr>
                <w:sz w:val="18"/>
                <w:szCs w:val="18"/>
                <w:color w:val="auto"/>
              </w:rPr>
            </w:pPr>
          </w:p>
        </w:tc>
      </w:tr>
      <w:tr>
        <w:trPr>
          <w:trHeight w:val="216"/>
        </w:trPr>
        <w:tc>
          <w:tcPr>
            <w:tcW w:w="56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 Name:</w:t>
            </w:r>
          </w:p>
        </w:tc>
        <w:tc>
          <w:tcPr>
            <w:tcW w:w="4300" w:type="dxa"/>
            <w:vAlign w:val="bottom"/>
            <w:gridSpan w:val="2"/>
          </w:tcPr>
          <w:p>
            <w:pPr>
              <w:jc w:val="center"/>
              <w:ind w:left="1090"/>
              <w:spacing w:after="0"/>
              <w:rPr>
                <w:sz w:val="20"/>
                <w:szCs w:val="20"/>
                <w:color w:val="auto"/>
              </w:rPr>
            </w:pPr>
            <w:r>
              <w:rPr>
                <w:rFonts w:ascii="Times New Roman" w:cs="Times New Roman" w:eastAsia="Times New Roman" w:hAnsi="Times New Roman"/>
                <w:sz w:val="18"/>
                <w:szCs w:val="18"/>
                <w:color w:val="auto"/>
                <w:w w:val="99"/>
              </w:rPr>
              <w:t>Sixth Street Lending Partners</w:t>
            </w:r>
          </w:p>
        </w:tc>
        <w:tc>
          <w:tcPr>
            <w:tcW w:w="1100" w:type="dxa"/>
            <w:vAlign w:val="bottom"/>
          </w:tcPr>
          <w:p>
            <w:pPr>
              <w:spacing w:after="0"/>
              <w:rPr>
                <w:sz w:val="18"/>
                <w:szCs w:val="18"/>
                <w:color w:val="auto"/>
              </w:rPr>
            </w:pPr>
          </w:p>
        </w:tc>
      </w:tr>
      <w:tr>
        <w:trPr>
          <w:trHeight w:val="216"/>
        </w:trPr>
        <w:tc>
          <w:tcPr>
            <w:tcW w:w="56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 #</w:t>
            </w:r>
          </w:p>
        </w:tc>
        <w:tc>
          <w:tcPr>
            <w:tcW w:w="4300" w:type="dxa"/>
            <w:vAlign w:val="bottom"/>
            <w:gridSpan w:val="2"/>
          </w:tcPr>
          <w:p>
            <w:pPr>
              <w:jc w:val="center"/>
              <w:ind w:left="1070"/>
              <w:spacing w:after="0"/>
              <w:rPr>
                <w:sz w:val="20"/>
                <w:szCs w:val="20"/>
                <w:color w:val="auto"/>
              </w:rPr>
            </w:pPr>
            <w:r>
              <w:rPr>
                <w:rFonts w:ascii="Times New Roman" w:cs="Times New Roman" w:eastAsia="Times New Roman" w:hAnsi="Times New Roman"/>
                <w:sz w:val="18"/>
                <w:szCs w:val="18"/>
                <w:color w:val="auto"/>
                <w:w w:val="96"/>
              </w:rPr>
              <w:t>[●]</w:t>
            </w:r>
          </w:p>
        </w:tc>
        <w:tc>
          <w:tcPr>
            <w:tcW w:w="1100" w:type="dxa"/>
            <w:vAlign w:val="bottom"/>
          </w:tcPr>
          <w:p>
            <w:pPr>
              <w:spacing w:after="0"/>
              <w:rPr>
                <w:sz w:val="18"/>
                <w:szCs w:val="18"/>
                <w:color w:val="auto"/>
              </w:rPr>
            </w:pPr>
          </w:p>
        </w:tc>
      </w:tr>
      <w:tr>
        <w:trPr>
          <w:trHeight w:val="234"/>
        </w:trPr>
        <w:tc>
          <w:tcPr>
            <w:tcW w:w="56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Notation:</w:t>
            </w:r>
          </w:p>
        </w:tc>
        <w:tc>
          <w:tcPr>
            <w:tcW w:w="4300" w:type="dxa"/>
            <w:vAlign w:val="bottom"/>
            <w:gridSpan w:val="2"/>
          </w:tcPr>
          <w:p>
            <w:pPr>
              <w:jc w:val="center"/>
              <w:ind w:left="1090"/>
              <w:spacing w:after="0"/>
              <w:rPr>
                <w:sz w:val="20"/>
                <w:szCs w:val="20"/>
                <w:color w:val="auto"/>
              </w:rPr>
            </w:pPr>
            <w:r>
              <w:rPr>
                <w:rFonts w:ascii="Times New Roman" w:cs="Times New Roman" w:eastAsia="Times New Roman" w:hAnsi="Times New Roman"/>
                <w:sz w:val="18"/>
                <w:szCs w:val="18"/>
                <w:color w:val="auto"/>
                <w:w w:val="99"/>
              </w:rPr>
              <w:t>«InvestorProperName»</w:t>
            </w:r>
          </w:p>
        </w:tc>
        <w:tc>
          <w:tcPr>
            <w:tcW w:w="1100" w:type="dxa"/>
            <w:vAlign w:val="bottom"/>
          </w:tcPr>
          <w:p>
            <w:pPr>
              <w:spacing w:after="0"/>
              <w:rPr>
                <w:sz w:val="20"/>
                <w:szCs w:val="20"/>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have any questions, please contact [●] at [●] or by phone at [ ].</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266" w:right="439" w:bottom="1440" w:gutter="0" w:footer="0" w:header="0"/>
        </w:sectPr>
      </w:pPr>
    </w:p>
    <w:bookmarkStart w:id="232" w:name="page233"/>
    <w:bookmarkEnd w:id="232"/>
    <w:p>
      <w:pPr>
        <w:ind w:left="27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Appendix C: Form of Election Notice under Dividend Reinvestment Plan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Lending Partners Advisers,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2100 McKinney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1500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TX 75201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(469) 621-3001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(469) 621-3002</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Instructions:</w:t>
      </w:r>
    </w:p>
    <w:p>
      <w:pPr>
        <w:spacing w:after="0" w:line="117"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No action will be required on the part of an investor (a “Subscriber”) to have its cash distribution reinvested in common shares of beneficial of Sixth Street Lending Partners (the “Company”). A Subscriber may elect to receive any portion of a distribution (and all future distributions, until further notice) in cash by remitting this form to State Street Bank and Trust Company no later than the 10 days prior to the record date for the first distribution to which it relates. To elect to receive a portion of your distributions in cash, complete Part A below and fill out your contact information under Part B, below.</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(A)   Until further notice, I would like to receive my distributions in the</w:t>
            </w:r>
          </w:p>
        </w:tc>
        <w:tc>
          <w:tcPr>
            <w:tcW w:w="3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following proportions:</w:t>
            </w:r>
          </w:p>
        </w:tc>
        <w:tc>
          <w:tcPr>
            <w:tcW w:w="21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_______% CASH</w:t>
            </w:r>
          </w:p>
        </w:tc>
        <w:tc>
          <w:tcPr>
            <w:tcW w:w="20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40" w:type="dxa"/>
            <w:vAlign w:val="bottom"/>
          </w:tcPr>
          <w:p>
            <w:pPr>
              <w:spacing w:after="0"/>
              <w:rPr>
                <w:sz w:val="20"/>
                <w:szCs w:val="20"/>
                <w:color w:val="auto"/>
              </w:rPr>
            </w:pPr>
          </w:p>
        </w:tc>
        <w:tc>
          <w:tcPr>
            <w:tcW w:w="41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______% ADDITIONAL COMPANY SHARES</w:t>
            </w: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   Subscriber’s Legal Name, Address and Tax Identification Number:</w:t>
            </w:r>
          </w:p>
        </w:tc>
        <w:tc>
          <w:tcPr>
            <w:tcW w:w="300" w:type="dxa"/>
            <w:vAlign w:val="bottom"/>
          </w:tcPr>
          <w:p>
            <w:pPr>
              <w:spacing w:after="0"/>
              <w:rPr>
                <w:sz w:val="22"/>
                <w:szCs w:val="22"/>
                <w:color w:val="auto"/>
              </w:rPr>
            </w:pPr>
          </w:p>
        </w:tc>
        <w:tc>
          <w:tcPr>
            <w:tcW w:w="186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54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center"/>
              <w:ind w:right="370"/>
              <w:spacing w:after="0"/>
              <w:rPr>
                <w:sz w:val="20"/>
                <w:szCs w:val="20"/>
                <w:color w:val="auto"/>
              </w:rPr>
            </w:pPr>
            <w:r>
              <w:rPr>
                <w:rFonts w:ascii="Times New Roman" w:cs="Times New Roman" w:eastAsia="Times New Roman" w:hAnsi="Times New Roman"/>
                <w:sz w:val="18"/>
                <w:szCs w:val="18"/>
                <w:color w:val="auto"/>
                <w:w w:val="97"/>
              </w:rPr>
              <w:t>Name</w:t>
            </w:r>
          </w:p>
        </w:tc>
        <w:tc>
          <w:tcPr>
            <w:tcW w:w="14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center"/>
              <w:ind w:right="370"/>
              <w:spacing w:after="0"/>
              <w:rPr>
                <w:sz w:val="20"/>
                <w:szCs w:val="20"/>
                <w:color w:val="auto"/>
              </w:rPr>
            </w:pPr>
            <w:r>
              <w:rPr>
                <w:rFonts w:ascii="Times New Roman" w:cs="Times New Roman" w:eastAsia="Times New Roman" w:hAnsi="Times New Roman"/>
                <w:sz w:val="18"/>
                <w:szCs w:val="18"/>
                <w:color w:val="auto"/>
                <w:w w:val="99"/>
              </w:rPr>
              <w:t>Street</w:t>
            </w:r>
          </w:p>
        </w:tc>
        <w:tc>
          <w:tcPr>
            <w:tcW w:w="14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City</w:t>
            </w:r>
          </w:p>
        </w:tc>
        <w:tc>
          <w:tcPr>
            <w:tcW w:w="200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State</w:t>
            </w:r>
          </w:p>
        </w:tc>
        <w:tc>
          <w:tcPr>
            <w:tcW w:w="1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-2540</wp:posOffset>
            </wp:positionV>
            <wp:extent cx="335153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ind w:left="8080"/>
        <w:spacing w:after="0"/>
        <w:rPr>
          <w:sz w:val="20"/>
          <w:szCs w:val="20"/>
          <w:color w:val="auto"/>
        </w:rPr>
      </w:pPr>
      <w:r>
        <w:rPr>
          <w:rFonts w:ascii="Times New Roman" w:cs="Times New Roman" w:eastAsia="Times New Roman" w:hAnsi="Times New Roman"/>
          <w:sz w:val="18"/>
          <w:szCs w:val="18"/>
          <w:color w:val="auto"/>
        </w:rPr>
        <w:t>Country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17145</wp:posOffset>
            </wp:positionV>
            <wp:extent cx="342011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97"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8"/>
          <w:szCs w:val="18"/>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17145</wp:posOffset>
            </wp:positionV>
            <wp:extent cx="342011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97"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color w:val="auto"/>
        </w:rPr>
        <w:t>Facsimile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17145</wp:posOffset>
            </wp:positionV>
            <wp:extent cx="342011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97"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17145</wp:posOffset>
            </wp:positionV>
            <wp:extent cx="342011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Tax Identification or Social Security Number</w:t>
      </w:r>
    </w:p>
    <w:p>
      <w:pPr>
        <w:spacing w:after="0" w:line="200" w:lineRule="exact"/>
        <w:rPr>
          <w:sz w:val="20"/>
          <w:szCs w:val="20"/>
          <w:color w:val="auto"/>
        </w:rPr>
      </w:pPr>
    </w:p>
    <w:p>
      <w:pPr>
        <w:spacing w:after="0" w:line="26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17145</wp:posOffset>
            </wp:positionV>
            <wp:extent cx="245999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Date: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266" w:right="439" w:bottom="1440" w:gutter="0" w:footer="0" w:header="0"/>
        </w:sectPr>
      </w:pPr>
    </w:p>
    <w:bookmarkStart w:id="233" w:name="page234"/>
    <w:bookmarkEnd w:id="233"/>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Appendix D: Transfer Restrictions</w:t>
      </w:r>
    </w:p>
    <w:p>
      <w:pPr>
        <w:spacing w:after="0" w:line="229" w:lineRule="exact"/>
        <w:rPr>
          <w:sz w:val="20"/>
          <w:szCs w:val="20"/>
          <w:color w:val="auto"/>
        </w:rPr>
      </w:pPr>
    </w:p>
    <w:p>
      <w:pPr>
        <w:ind w:left="4" w:right="20"/>
        <w:spacing w:after="0" w:line="253" w:lineRule="auto"/>
        <w:rPr>
          <w:sz w:val="20"/>
          <w:szCs w:val="20"/>
          <w:color w:val="auto"/>
        </w:rPr>
      </w:pPr>
      <w:r>
        <w:rPr>
          <w:rFonts w:ascii="Times New Roman" w:cs="Times New Roman" w:eastAsia="Times New Roman" w:hAnsi="Times New Roman"/>
          <w:sz w:val="18"/>
          <w:szCs w:val="18"/>
          <w:color w:val="auto"/>
        </w:rPr>
        <w:t>The undersigned will not and will not publicly disclose an intention to, without the prior written consent of the Adviser, (i) directly or indirectly, offer, pledge, sell, contract to sell, sell any option or contract to purchase, purchase any option or contract to sell, grant any option, right or warrant to purchase or otherwise transfer or dispose of any shares of the Company’s Shares or any securities convertible into or exercisable or exchangeable for Shares, whether now owned or hereafter acquired by the undersigned or with respect to which the undersigned has or hereafter acquires the power of disposition, or exercise any right with respect to the registration of any of the Shares purchased pursuant to this Subscription Agreement, or file, cause to be filed or cause to be confidentially submitted any registration statement in connection therewith, under the Securities Act of 1933, as amended, or</w:t>
      </w:r>
    </w:p>
    <w:p>
      <w:pPr>
        <w:spacing w:after="0" w:line="5" w:lineRule="exact"/>
        <w:rPr>
          <w:sz w:val="20"/>
          <w:szCs w:val="20"/>
          <w:color w:val="auto"/>
        </w:rPr>
      </w:pPr>
    </w:p>
    <w:p>
      <w:pPr>
        <w:jc w:val="both"/>
        <w:ind w:left="4" w:right="120" w:hanging="4"/>
        <w:spacing w:after="0" w:line="255" w:lineRule="auto"/>
        <w:tabs>
          <w:tab w:leader="none" w:pos="269"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swap or any other agreement or any transaction that transfers, in whole or in part, directly or indirectly, the economic consequence of ownership of the Shares purchased pursuant to this Subscription Agreement, whether any such swap or transaction is to be settled by delivery of Shares or other securities, in cash or otherwise.</w:t>
      </w:r>
    </w:p>
    <w:p>
      <w:pPr>
        <w:spacing w:after="0" w:line="186" w:lineRule="exact"/>
        <w:rPr>
          <w:sz w:val="20"/>
          <w:szCs w:val="20"/>
          <w:color w:val="auto"/>
        </w:rPr>
      </w:pPr>
    </w:p>
    <w:p>
      <w:pPr>
        <w:ind w:left="4" w:right="60"/>
        <w:spacing w:after="0" w:line="282" w:lineRule="auto"/>
        <w:rPr>
          <w:sz w:val="20"/>
          <w:szCs w:val="20"/>
          <w:color w:val="auto"/>
        </w:rPr>
      </w:pPr>
      <w:r>
        <w:rPr>
          <w:rFonts w:ascii="Times New Roman" w:cs="Times New Roman" w:eastAsia="Times New Roman" w:hAnsi="Times New Roman"/>
          <w:sz w:val="18"/>
          <w:szCs w:val="18"/>
          <w:color w:val="auto"/>
        </w:rPr>
        <w:t>The Subscriber agrees that it will pay all reasonable expenses, including attorneys’ fees, incurred by the Company in connection with any Transfer of all or any fraction of its Shares, prior to the consummation of such Transfer.</w:t>
      </w:r>
    </w:p>
    <w:p>
      <w:pPr>
        <w:spacing w:after="0" w:line="162" w:lineRule="exact"/>
        <w:rPr>
          <w:sz w:val="20"/>
          <w:szCs w:val="20"/>
          <w:color w:val="auto"/>
        </w:rPr>
      </w:pPr>
    </w:p>
    <w:p>
      <w:pPr>
        <w:ind w:left="4"/>
        <w:spacing w:after="0" w:line="256" w:lineRule="auto"/>
        <w:rPr>
          <w:sz w:val="20"/>
          <w:szCs w:val="20"/>
          <w:color w:val="auto"/>
        </w:rPr>
      </w:pPr>
      <w:r>
        <w:rPr>
          <w:rFonts w:ascii="Times New Roman" w:cs="Times New Roman" w:eastAsia="Times New Roman" w:hAnsi="Times New Roman"/>
          <w:sz w:val="18"/>
          <w:szCs w:val="18"/>
          <w:color w:val="auto"/>
        </w:rPr>
        <w:t>Any person that acquires all or any fraction of the Shares of the Subscriber in a Transfer permitted under this Appendix D shall be obligated to pay to the Company the appropriate portion of any amounts thereafter becoming due in respect of the Capital Commitment committed to be made by its predecessor in interest. The Subscriber agrees that, notwithstanding the Transfer of all or any fraction of its Shares, as between it and the Company it will remain liable for its Capital Commitment and for all payments of any Drawdown Purchase Price required to be made by it (without taking into account the Transfer of all or a fraction of such Shares) prior to the time, if any, when the purchaser, assignee or transferee of such Shares, or fraction thereof, becomes a holder of such Shares.</w:t>
      </w:r>
    </w:p>
    <w:p>
      <w:pPr>
        <w:spacing w:after="0" w:line="187" w:lineRule="exact"/>
        <w:rPr>
          <w:sz w:val="20"/>
          <w:szCs w:val="20"/>
          <w:color w:val="auto"/>
        </w:rPr>
      </w:pPr>
    </w:p>
    <w:p>
      <w:pPr>
        <w:ind w:left="4" w:right="20"/>
        <w:spacing w:after="0" w:line="255" w:lineRule="auto"/>
        <w:rPr>
          <w:sz w:val="20"/>
          <w:szCs w:val="20"/>
          <w:color w:val="auto"/>
        </w:rPr>
      </w:pPr>
      <w:r>
        <w:rPr>
          <w:rFonts w:ascii="Times New Roman" w:cs="Times New Roman" w:eastAsia="Times New Roman" w:hAnsi="Times New Roman"/>
          <w:sz w:val="18"/>
          <w:szCs w:val="18"/>
          <w:color w:val="auto"/>
        </w:rPr>
        <w:t>The Company shall not recognize for any purpose any purported Transfer of all or any fraction of the Shares and shall be entitled to treat the transferor of Shares as the absolute owner thereof in all respects, and shall incur no liability for distributions or dividends made in good faith to it, unless the Company shall have given its prior written consent thereto and there shall have been filed with the Company a dated notice of such Transfer, in form satisfactory to the Company, executed and acknowledged by both the seller, assignor or transferor and the purchaser, assignee or transferee, and such notice (i) contains the acceptance by the purchaser, assignee or transferee of all of the terms and provisions of this Agreement and its agreement to be bound thereby, and (ii) represents that such Transfer was made in accordance with this Agreement, the provisions of the Memorandum and all applicable laws and regulations applicable to the transferee and the transferor.</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4"/>
          </w:cols>
          <w:pgMar w:left="436" w:top="266" w:right="439" w:bottom="1440" w:gutter="0" w:footer="0" w:header="0"/>
        </w:sectPr>
      </w:pPr>
    </w:p>
    <w:bookmarkStart w:id="234" w:name="page235"/>
    <w:bookmarkEnd w:id="234"/>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[Form of Declaration of Trust]</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9019"/>
          </w:cols>
          <w:pgMar w:left="1440" w:top="266" w:right="1440" w:bottom="1440" w:gutter="0" w:footer="0" w:header="0"/>
        </w:sectPr>
      </w:pPr>
    </w:p>
    <w:bookmarkStart w:id="235" w:name="page236"/>
    <w:bookmarkEnd w:id="235"/>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[Form of Bylaws]</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9019"/>
          </w:cols>
          <w:pgMar w:left="1440" w:top="266" w:right="1440" w:bottom="1440" w:gutter="0" w:footer="0" w:header="0"/>
        </w:sectPr>
      </w:pPr>
    </w:p>
    <w:bookmarkStart w:id="236" w:name="page237"/>
    <w:bookmarkEnd w:id="23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[Form of Advisory Agreement]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9019"/>
          </w:cols>
          <w:pgMar w:left="1440" w:top="266" w:right="1440" w:bottom="1440" w:gutter="0" w:footer="0" w:header="0"/>
        </w:sectPr>
      </w:pPr>
    </w:p>
    <w:bookmarkStart w:id="237" w:name="page238"/>
    <w:bookmarkEnd w:id="237"/>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D</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[Form of Administration Agreement]</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9019"/>
          </w:cols>
          <w:pgMar w:left="1440" w:top="266" w:right="1440" w:bottom="1440" w:gutter="0" w:footer="0" w:header="0"/>
        </w:sectPr>
      </w:pPr>
    </w:p>
    <w:bookmarkStart w:id="238" w:name="page239"/>
    <w:bookmarkEnd w:id="238"/>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INVESTMENT ADVISORY AND MANAGEMENT AGREEMENT</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9"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SIXTH STREET LENDING PARTNERS</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SIXTH STREET LENDING PARTNERS ADVISERS, LLC</w:t>
      </w:r>
    </w:p>
    <w:p>
      <w:pPr>
        <w:spacing w:after="0" w:line="207" w:lineRule="exact"/>
        <w:rPr>
          <w:sz w:val="20"/>
          <w:szCs w:val="20"/>
          <w:color w:val="auto"/>
        </w:rPr>
      </w:pPr>
    </w:p>
    <w:p>
      <w:pPr>
        <w:ind w:left="4" w:right="80"/>
        <w:spacing w:after="0" w:line="282" w:lineRule="auto"/>
        <w:rPr>
          <w:sz w:val="20"/>
          <w:szCs w:val="20"/>
          <w:color w:val="auto"/>
        </w:rPr>
      </w:pPr>
      <w:r>
        <w:rPr>
          <w:rFonts w:ascii="Times New Roman" w:cs="Times New Roman" w:eastAsia="Times New Roman" w:hAnsi="Times New Roman"/>
          <w:sz w:val="18"/>
          <w:szCs w:val="18"/>
          <w:color w:val="auto"/>
        </w:rPr>
        <w:t>This Agreement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as of June 28</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2022, by and between SIXTH STREET LENDING PARTNERS, a Delaware statutory trust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SIXTH STREET LENDING PARTNERS ADVISERS, LLC, a Delaware limited liability company (the “</w:t>
      </w:r>
      <w:r>
        <w:rPr>
          <w:rFonts w:ascii="Times New Roman" w:cs="Times New Roman" w:eastAsia="Times New Roman" w:hAnsi="Times New Roman"/>
          <w:sz w:val="18"/>
          <w:szCs w:val="18"/>
          <w:u w:val="single" w:color="auto"/>
          <w:color w:val="auto"/>
        </w:rPr>
        <w:t>Adviser</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 w:right="440"/>
        <w:spacing w:after="0" w:line="282" w:lineRule="auto"/>
        <w:rPr>
          <w:sz w:val="20"/>
          <w:szCs w:val="20"/>
          <w:color w:val="auto"/>
        </w:rPr>
      </w:pPr>
      <w:r>
        <w:rPr>
          <w:rFonts w:ascii="Times New Roman" w:cs="Times New Roman" w:eastAsia="Times New Roman" w:hAnsi="Times New Roman"/>
          <w:sz w:val="18"/>
          <w:szCs w:val="18"/>
          <w:color w:val="auto"/>
        </w:rPr>
        <w:t>WHEREAS, the Company is a closed-end management investment company that intends to elect to be treated as a business development company (“</w:t>
      </w:r>
      <w:r>
        <w:rPr>
          <w:rFonts w:ascii="Times New Roman" w:cs="Times New Roman" w:eastAsia="Times New Roman" w:hAnsi="Times New Roman"/>
          <w:sz w:val="18"/>
          <w:szCs w:val="18"/>
          <w:u w:val="single" w:color="auto"/>
          <w:color w:val="auto"/>
        </w:rPr>
        <w:t>BDC</w:t>
      </w:r>
      <w:r>
        <w:rPr>
          <w:rFonts w:ascii="Times New Roman" w:cs="Times New Roman" w:eastAsia="Times New Roman" w:hAnsi="Times New Roman"/>
          <w:sz w:val="18"/>
          <w:szCs w:val="18"/>
          <w:color w:val="auto"/>
        </w:rPr>
        <w:t>”) under the Investment Company Act of 1940 (the “</w:t>
      </w: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WHEREAS, the Adviser is an investment adviser that is registered under the Investment Advisers Act of 1940 (the “</w:t>
      </w:r>
      <w:r>
        <w:rPr>
          <w:rFonts w:ascii="Times New Roman" w:cs="Times New Roman" w:eastAsia="Times New Roman" w:hAnsi="Times New Roman"/>
          <w:sz w:val="18"/>
          <w:szCs w:val="18"/>
          <w:u w:val="single" w:color="auto"/>
          <w:color w:val="auto"/>
        </w:rPr>
        <w:t>Advisers Act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20"/>
        <w:spacing w:after="0" w:line="282" w:lineRule="auto"/>
        <w:rPr>
          <w:sz w:val="20"/>
          <w:szCs w:val="20"/>
          <w:color w:val="auto"/>
        </w:rPr>
      </w:pPr>
      <w:r>
        <w:rPr>
          <w:rFonts w:ascii="Times New Roman" w:cs="Times New Roman" w:eastAsia="Times New Roman" w:hAnsi="Times New Roman"/>
          <w:sz w:val="18"/>
          <w:szCs w:val="18"/>
          <w:color w:val="auto"/>
        </w:rPr>
        <w:t>WHEREAS, the Company desires to retain the Adviser to furnish investment advisory services to the Company on the terms and conditions hereinafter set forth, and the Adviser desires to be retained to provide such services.</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NOW, THEREFORE, in consideration of the premises and for other good and valuable consideration, the parties hereby agree as follows:</w:t>
      </w:r>
    </w:p>
    <w:p>
      <w:pPr>
        <w:spacing w:after="0" w:line="370" w:lineRule="exact"/>
        <w:rPr>
          <w:sz w:val="20"/>
          <w:szCs w:val="20"/>
          <w:color w:val="auto"/>
        </w:rPr>
      </w:pPr>
    </w:p>
    <w:p>
      <w:pPr>
        <w:ind w:left="424" w:hanging="424"/>
        <w:spacing w:after="0"/>
        <w:tabs>
          <w:tab w:leader="none" w:pos="424" w:val="left"/>
        </w:tabs>
        <w:numPr>
          <w:ilvl w:val="0"/>
          <w:numId w:val="2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Duties of the Adviser</w:t>
      </w:r>
    </w:p>
    <w:p>
      <w:pPr>
        <w:spacing w:after="0" w:line="121" w:lineRule="exact"/>
        <w:rPr>
          <w:sz w:val="20"/>
          <w:szCs w:val="20"/>
          <w:color w:val="auto"/>
        </w:rPr>
      </w:pPr>
    </w:p>
    <w:p>
      <w:pPr>
        <w:ind w:left="4" w:right="40" w:hanging="4"/>
        <w:spacing w:after="0" w:line="268" w:lineRule="auto"/>
        <w:tabs>
          <w:tab w:leader="none" w:pos="249" w:val="left"/>
        </w:tabs>
        <w:numPr>
          <w:ilvl w:val="0"/>
          <w:numId w:val="2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hereby employs the Adviser to act as the investment adviser to the Company and to manage the investment and reinvestment of the assets of the Company, subject to the supervision of the Board of Trustees or Directors, as applicable, of the Company (the “</w:t>
      </w:r>
      <w:r>
        <w:rPr>
          <w:rFonts w:ascii="Times New Roman" w:cs="Times New Roman" w:eastAsia="Times New Roman" w:hAnsi="Times New Roman"/>
          <w:sz w:val="17"/>
          <w:szCs w:val="17"/>
          <w:u w:val="single" w:color="auto"/>
          <w:color w:val="auto"/>
        </w:rPr>
        <w:t>Board</w:t>
      </w:r>
      <w:r>
        <w:rPr>
          <w:rFonts w:ascii="Times New Roman" w:cs="Times New Roman" w:eastAsia="Times New Roman" w:hAnsi="Times New Roman"/>
          <w:sz w:val="17"/>
          <w:szCs w:val="17"/>
          <w:color w:val="auto"/>
        </w:rPr>
        <w:t>”), for the period and upon the terms herein set forth, (i) in accordance with the investment objective, policies and restrictions that are set forth in the Company’s registration statement on Form 10 or Form N-2, as applicable (and as the same shall be amended from time to time, the “Registration Statement”), and prior to the filing of the Company’s Registration Statement, in accordance with the investment objective, policies and restrictions that are set forth in the Company’s private placement memorandum dated April 2022; (ii) in accordance with all other applicable federal and state laws, rules and regulations, and the Company’s organizational documents (including any charter or declaration of trust and by-laws) as the same shall be amended from time to time; and</w:t>
      </w:r>
    </w:p>
    <w:p>
      <w:pPr>
        <w:spacing w:after="0" w:line="2" w:lineRule="exact"/>
        <w:rPr>
          <w:rFonts w:ascii="Times New Roman" w:cs="Times New Roman" w:eastAsia="Times New Roman" w:hAnsi="Times New Roman"/>
          <w:sz w:val="17"/>
          <w:szCs w:val="17"/>
          <w:color w:val="auto"/>
        </w:rPr>
      </w:pPr>
    </w:p>
    <w:p>
      <w:pPr>
        <w:ind w:left="4" w:right="120" w:hanging="4"/>
        <w:spacing w:after="0" w:line="250" w:lineRule="auto"/>
        <w:tabs>
          <w:tab w:leader="none" w:pos="319"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Investment Company Act. Without limiting the generality of the foregoing, the Adviser shall, during the term and subject to the provisions of this Agreement: (i) determine the composition of the portfolio of the Company, the nature and timing of the changes therein and the manner of implementing such changes; (ii) identify/source, research, evaluate and negotiate the structure of the investments made by the Company;</w:t>
      </w:r>
    </w:p>
    <w:p>
      <w:pPr>
        <w:spacing w:after="0" w:line="1" w:lineRule="exact"/>
        <w:rPr>
          <w:rFonts w:ascii="Times New Roman" w:cs="Times New Roman" w:eastAsia="Times New Roman" w:hAnsi="Times New Roman"/>
          <w:sz w:val="18"/>
          <w:szCs w:val="18"/>
          <w:color w:val="auto"/>
        </w:rPr>
      </w:pPr>
    </w:p>
    <w:p>
      <w:pPr>
        <w:ind w:left="4" w:right="80" w:hanging="4"/>
        <w:spacing w:after="0" w:line="251" w:lineRule="auto"/>
        <w:tabs>
          <w:tab w:leader="none" w:pos="319"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close and monitor the Company’s investments; (iv) determine the securities and other assets that the Company will purchase, retain, or sell; (v) use reasonable endeavors to ensure that the Company’s investments consist mainly of shares, securities or currencies (or derivative contracts relating thereto), which for the avoidance of doubt may include loans, notes and other evidences of indebtedness; (vi) perform due diligence on prospective portfolio companies; and (vii) provide the Company with such other investment advisory, research, and related services as the Company may, from time to time, reasonably require for the investment of its funds, including providing operating and managerial assistance to the Company and its portfolio companies as required. Subject to the supervision of the Board, the Adviser shall have the power and authority on behalf of the Company to effectuate its investment decisions for the Company, including the execution and delivery of all documents relating to the Company’s investments and the placing of orders for other purchase or sale transactions on behalf of the Company. In the event that the Company determines to acquire debt financing, the Adviser will arrange for such financing on the Company’s behalf, subject to the oversight and approval of the Board. If it is necessary or appropriate for the Adviser to make investments on behalf of the Company through a special purpose vehicle, the Adviser shall have authority to create or arrange for the creation of such special purpose vehicle and to make such investments through such special purpose vehicle (in accordance with the Investment Company Act).</w:t>
      </w:r>
    </w:p>
    <w:p>
      <w:pPr>
        <w:sectPr>
          <w:pgSz w:w="11900" w:h="16838" w:orient="portrait"/>
          <w:cols w:equalWidth="0" w:num="1">
            <w:col w:w="11024"/>
          </w:cols>
          <w:pgMar w:left="436" w:top="117" w:right="439" w:bottom="1440" w:gutter="0" w:footer="0" w:header="0"/>
        </w:sectPr>
      </w:pPr>
    </w:p>
    <w:bookmarkStart w:id="239" w:name="page240"/>
    <w:bookmarkEnd w:id="239"/>
    <w:p>
      <w:pPr>
        <w:ind w:left="4" w:right="580" w:hanging="4"/>
        <w:spacing w:after="0" w:line="282" w:lineRule="auto"/>
        <w:tabs>
          <w:tab w:leader="none" w:pos="259"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Adviser hereby accepts such employment and agrees during the term hereof to render the services described herein for the compensation provided herein.</w:t>
      </w:r>
    </w:p>
    <w:p>
      <w:pPr>
        <w:spacing w:after="0" w:line="161" w:lineRule="exact"/>
        <w:rPr>
          <w:rFonts w:ascii="Times New Roman" w:cs="Times New Roman" w:eastAsia="Times New Roman" w:hAnsi="Times New Roman"/>
          <w:sz w:val="18"/>
          <w:szCs w:val="18"/>
          <w:color w:val="auto"/>
        </w:rPr>
      </w:pPr>
    </w:p>
    <w:p>
      <w:pPr>
        <w:ind w:left="4" w:hanging="4"/>
        <w:spacing w:after="0" w:line="255" w:lineRule="auto"/>
        <w:tabs>
          <w:tab w:leader="none" w:pos="249"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 is hereby authorized to enter into one or more sub-advisory agreements with other investment advisers (each, a “</w:t>
      </w:r>
      <w:r>
        <w:rPr>
          <w:rFonts w:ascii="Times New Roman" w:cs="Times New Roman" w:eastAsia="Times New Roman" w:hAnsi="Times New Roman"/>
          <w:sz w:val="18"/>
          <w:szCs w:val="18"/>
          <w:u w:val="single" w:color="auto"/>
          <w:color w:val="auto"/>
        </w:rPr>
        <w:t>Sub-Adviser</w:t>
      </w:r>
      <w:r>
        <w:rPr>
          <w:rFonts w:ascii="Times New Roman" w:cs="Times New Roman" w:eastAsia="Times New Roman" w:hAnsi="Times New Roman"/>
          <w:sz w:val="18"/>
          <w:szCs w:val="18"/>
          <w:color w:val="auto"/>
        </w:rPr>
        <w:t>”) pursuant to which the Adviser may obtain the services of the Sub-Adviser(s) to assist the Adviser in fulfilling its responsibilities hereunder. Specifically, the Adviser may retain a Sub-Adviser to recommend specific securities or other investments based upon the Company’s investment objective and policies, and work, along with the Adviser, in structuring, negotiating, arranging or effecting the acquisition or disposition of such investments and monitoring investments on behalf of the Company, subject to the oversight of the Adviser and the Company. The Company shall be responsible for any compensation payable to any Sub-Adviser. Any sub-advisory agreement entered into by the Adviser shall be in accordance with the requirements of the Investment Company Act and other applicable federal and state law.</w:t>
      </w:r>
    </w:p>
    <w:p>
      <w:pPr>
        <w:spacing w:after="0" w:line="188" w:lineRule="exact"/>
        <w:rPr>
          <w:rFonts w:ascii="Times New Roman" w:cs="Times New Roman" w:eastAsia="Times New Roman" w:hAnsi="Times New Roman"/>
          <w:sz w:val="18"/>
          <w:szCs w:val="18"/>
          <w:color w:val="auto"/>
        </w:rPr>
      </w:pPr>
    </w:p>
    <w:p>
      <w:pPr>
        <w:ind w:left="4" w:right="520" w:hanging="4"/>
        <w:spacing w:after="0" w:line="282" w:lineRule="auto"/>
        <w:tabs>
          <w:tab w:leader="none" w:pos="259"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 shall for all purposes herein provided be deemed to be an independent contractor and, except as expressly provided or authorized herein, shall have no authority to act for or represent the Company in any way or otherwise be deemed an agent of the Company.</w:t>
      </w:r>
    </w:p>
    <w:p>
      <w:pPr>
        <w:spacing w:after="0" w:line="161" w:lineRule="exact"/>
        <w:rPr>
          <w:rFonts w:ascii="Times New Roman" w:cs="Times New Roman" w:eastAsia="Times New Roman" w:hAnsi="Times New Roman"/>
          <w:sz w:val="18"/>
          <w:szCs w:val="18"/>
          <w:color w:val="auto"/>
        </w:rPr>
      </w:pPr>
    </w:p>
    <w:p>
      <w:pPr>
        <w:ind w:left="4" w:right="140" w:hanging="4"/>
        <w:spacing w:after="0" w:line="258" w:lineRule="auto"/>
        <w:tabs>
          <w:tab w:leader="none" w:pos="249"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 shall keep and preserve for the period required by the Investment Company Act any books and records relevant to the provision of its investment advisory services to the Company and shall specifically maintain all books and records in accordance with Section 31(a) of the Investment Company Act with respect to the Company’s portfolio transactions and shall render to the Board such periodic and special reports as the Board may reasonably request. The Adviser agrees that all records that it maintains for the Company are the property of the Company and will surrender promptly to the Company any such records upon the Company’s request, provided that the Adviser may retain a copy of such records.</w:t>
      </w:r>
    </w:p>
    <w:p>
      <w:pPr>
        <w:spacing w:after="0" w:line="183" w:lineRule="exact"/>
        <w:rPr>
          <w:rFonts w:ascii="Times New Roman" w:cs="Times New Roman" w:eastAsia="Times New Roman" w:hAnsi="Times New Roman"/>
          <w:sz w:val="18"/>
          <w:szCs w:val="18"/>
          <w:color w:val="auto"/>
        </w:rPr>
      </w:pPr>
    </w:p>
    <w:p>
      <w:pPr>
        <w:ind w:left="4" w:right="180" w:hanging="4"/>
        <w:spacing w:after="0" w:line="282" w:lineRule="auto"/>
        <w:tabs>
          <w:tab w:leader="none" w:pos="229"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 shall be primarily responsible for the execution of any trades in securities in the Company’s portfolio and the Company’s allocation of brokerage commissions.</w:t>
      </w:r>
    </w:p>
    <w:p>
      <w:pPr>
        <w:spacing w:after="0" w:line="306" w:lineRule="exact"/>
        <w:rPr>
          <w:sz w:val="20"/>
          <w:szCs w:val="20"/>
          <w:color w:val="auto"/>
        </w:rPr>
      </w:pPr>
    </w:p>
    <w:p>
      <w:pPr>
        <w:ind w:left="424" w:hanging="424"/>
        <w:spacing w:after="0"/>
        <w:tabs>
          <w:tab w:leader="none" w:pos="424" w:val="left"/>
        </w:tabs>
        <w:numPr>
          <w:ilvl w:val="0"/>
          <w:numId w:val="2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Company’s Responsibilities and Expenses Payable by the Company</w:t>
      </w:r>
    </w:p>
    <w:p>
      <w:pPr>
        <w:spacing w:after="0" w:line="121" w:lineRule="exact"/>
        <w:rPr>
          <w:sz w:val="20"/>
          <w:szCs w:val="20"/>
          <w:color w:val="auto"/>
        </w:rPr>
      </w:pPr>
    </w:p>
    <w:p>
      <w:pPr>
        <w:ind w:left="4" w:right="40"/>
        <w:spacing w:after="0" w:line="258" w:lineRule="auto"/>
        <w:rPr>
          <w:sz w:val="20"/>
          <w:szCs w:val="20"/>
          <w:color w:val="auto"/>
        </w:rPr>
      </w:pPr>
      <w:r>
        <w:rPr>
          <w:rFonts w:ascii="Times New Roman" w:cs="Times New Roman" w:eastAsia="Times New Roman" w:hAnsi="Times New Roman"/>
          <w:sz w:val="18"/>
          <w:szCs w:val="18"/>
          <w:color w:val="auto"/>
        </w:rPr>
        <w:t>Except as specifically provided herein or otherwise in the administration agreement between the Company and the Administrator (the “</w:t>
      </w:r>
      <w:r>
        <w:rPr>
          <w:rFonts w:ascii="Times New Roman" w:cs="Times New Roman" w:eastAsia="Times New Roman" w:hAnsi="Times New Roman"/>
          <w:sz w:val="18"/>
          <w:szCs w:val="18"/>
          <w:u w:val="single" w:color="auto"/>
          <w:color w:val="auto"/>
        </w:rPr>
        <w:t>Administration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the Adviser shall be solely responsible for the compensation of its investment professionals and staff of the Adviser, when and to the extent engaged in providing investment advisory services to the Company, and the compensation and the overhead expenses of such personnel allocable to such services, will be provided and paid for by the Adviser. The Company will bear all other costs and expenses of its operations, administration and transactions, including, but not limited to:</w:t>
      </w:r>
    </w:p>
    <w:p>
      <w:pPr>
        <w:spacing w:after="0" w:line="89" w:lineRule="exact"/>
        <w:rPr>
          <w:sz w:val="20"/>
          <w:szCs w:val="20"/>
          <w:color w:val="auto"/>
        </w:rPr>
      </w:pPr>
    </w:p>
    <w:p>
      <w:pPr>
        <w:ind w:left="424" w:right="180" w:hanging="424"/>
        <w:spacing w:after="0" w:line="266" w:lineRule="auto"/>
        <w:tabs>
          <w:tab w:leader="none" w:pos="424"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organizational and offering expenses related to the Company’s initial private offering of its common shares (up to an aggregate of 0.10% of total capital commitments to the Company, it being understood and agreed that the Adviser shall bear all such organizational and offering expenses related to the Company’s initial private offering of its common shares in excess of such amount);</w:t>
      </w:r>
    </w:p>
    <w:p>
      <w:pPr>
        <w:spacing w:after="0" w:line="8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calculating individual asset values and the Company’s net asset value (including the cost and expenses of any independent valuation firms);</w:t>
      </w:r>
    </w:p>
    <w:p>
      <w:pPr>
        <w:spacing w:after="0" w:line="130" w:lineRule="exact"/>
        <w:rPr>
          <w:rFonts w:ascii="Times New Roman" w:cs="Times New Roman" w:eastAsia="Times New Roman" w:hAnsi="Times New Roman"/>
          <w:sz w:val="18"/>
          <w:szCs w:val="18"/>
          <w:color w:val="auto"/>
        </w:rPr>
      </w:pPr>
    </w:p>
    <w:p>
      <w:pPr>
        <w:ind w:left="424" w:right="300" w:hanging="424"/>
        <w:spacing w:after="0" w:line="258" w:lineRule="auto"/>
        <w:tabs>
          <w:tab w:leader="none" w:pos="424"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including travel expenses, incurred by the Adviser, or the Company’s team of investment professionals (the “</w:t>
      </w:r>
      <w:r>
        <w:rPr>
          <w:rFonts w:ascii="Times New Roman" w:cs="Times New Roman" w:eastAsia="Times New Roman" w:hAnsi="Times New Roman"/>
          <w:sz w:val="18"/>
          <w:szCs w:val="18"/>
          <w:u w:val="single" w:color="auto"/>
          <w:color w:val="auto"/>
        </w:rPr>
        <w:t>Investment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Team</w:t>
      </w:r>
      <w:r>
        <w:rPr>
          <w:rFonts w:ascii="Times New Roman" w:cs="Times New Roman" w:eastAsia="Times New Roman" w:hAnsi="Times New Roman"/>
          <w:sz w:val="18"/>
          <w:szCs w:val="18"/>
          <w:color w:val="auto"/>
        </w:rPr>
        <w:t>”), or payable to third parties, in respect of due diligence on prospective portfolio companies and, if necessary, in respect of enforcing the Company’s rights with respect to investments in existing portfolio companies, including, among others, professional fees (including, without limitation, the fees and expenses of consultants and experts) and fees and expenses relating to, or associated with, evaluating, monitoring, researching and performing due diligence on investments and prospective investments;</w:t>
      </w:r>
    </w:p>
    <w:p>
      <w:pPr>
        <w:spacing w:after="0" w:line="88" w:lineRule="exact"/>
        <w:rPr>
          <w:rFonts w:ascii="Times New Roman" w:cs="Times New Roman" w:eastAsia="Times New Roman" w:hAnsi="Times New Roman"/>
          <w:sz w:val="18"/>
          <w:szCs w:val="18"/>
          <w:color w:val="auto"/>
        </w:rPr>
      </w:pPr>
    </w:p>
    <w:p>
      <w:pPr>
        <w:ind w:left="424" w:right="40" w:hanging="424"/>
        <w:spacing w:after="0" w:line="282" w:lineRule="auto"/>
        <w:tabs>
          <w:tab w:leader="none" w:pos="424"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diligence and research expenses (including an allocable portion of any research or other service that may deemed to be bundled for the benefit of the Company), as well as the information technology systems used to obtain such research and other information;</w:t>
      </w:r>
    </w:p>
    <w:p>
      <w:pPr>
        <w:sectPr>
          <w:pgSz w:w="11900" w:h="16838" w:orient="portrait"/>
          <w:cols w:equalWidth="0" w:num="1">
            <w:col w:w="11004"/>
          </w:cols>
          <w:pgMar w:left="436" w:top="270" w:right="459" w:bottom="1440" w:gutter="0" w:footer="0" w:header="0"/>
        </w:sectPr>
      </w:pPr>
    </w:p>
    <w:bookmarkStart w:id="240" w:name="page241"/>
    <w:bookmarkEnd w:id="240"/>
    <w:p>
      <w:pPr>
        <w:ind w:left="424" w:hanging="424"/>
        <w:spacing w:after="0"/>
        <w:tabs>
          <w:tab w:leader="none" w:pos="424"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costs of any public offerings of the Company’s common shares and other securities, including registration and listing fees;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Management Fee and any Incentive Fee;</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costs and expenses relating to distributions paid on the common shares;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administration fees payable under the Administration Agreement;</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service and other costs of borrowings or other financing arrangements;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Adviser’s allocable share of costs incurred in providing significant managerial assistance to those portfolio companies that request it;</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payable to third parties relating to, or associated with, making or holding investments;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agent and custodial fees;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derivatives and hedging;</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commissions and other compensation payable to brokers or dealers;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and governmental fees;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Trustee/Director fees and expenses;</w:t>
      </w:r>
    </w:p>
    <w:p>
      <w:pPr>
        <w:spacing w:after="0" w:line="130" w:lineRule="exact"/>
        <w:rPr>
          <w:rFonts w:ascii="Times New Roman" w:cs="Times New Roman" w:eastAsia="Times New Roman" w:hAnsi="Times New Roman"/>
          <w:sz w:val="18"/>
          <w:szCs w:val="18"/>
          <w:color w:val="auto"/>
        </w:rPr>
      </w:pPr>
    </w:p>
    <w:p>
      <w:pPr>
        <w:ind w:left="424" w:right="20" w:hanging="424"/>
        <w:spacing w:after="0" w:line="261" w:lineRule="auto"/>
        <w:tabs>
          <w:tab w:leader="none" w:pos="424"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the Company’s chief financial officer and chief compliance officer and their respective staffs;</w:t>
      </w:r>
    </w:p>
    <w:p>
      <w:pPr>
        <w:spacing w:after="0" w:line="85" w:lineRule="exact"/>
        <w:rPr>
          <w:rFonts w:ascii="Times New Roman" w:cs="Times New Roman" w:eastAsia="Times New Roman" w:hAnsi="Times New Roman"/>
          <w:sz w:val="18"/>
          <w:szCs w:val="18"/>
          <w:color w:val="auto"/>
        </w:rPr>
      </w:pPr>
    </w:p>
    <w:p>
      <w:pPr>
        <w:jc w:val="both"/>
        <w:ind w:left="424" w:right="100" w:hanging="424"/>
        <w:spacing w:after="0" w:line="282" w:lineRule="auto"/>
        <w:tabs>
          <w:tab w:leader="none" w:pos="424"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any reports, proxy statements or other notices to the Company’s shareholders (including printing and mailing costs), the costs of any shareholders’ meetings and the compensation of investor relations personnel responsible for the preparation of the foregoing and related matters;</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fidelity bond;</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trustee/director and officers/errors and omissions liability insurance, and any other insurance premiums;</w:t>
      </w:r>
    </w:p>
    <w:p>
      <w:pPr>
        <w:spacing w:after="0" w:line="130" w:lineRule="exact"/>
        <w:rPr>
          <w:rFonts w:ascii="Times New Roman" w:cs="Times New Roman" w:eastAsia="Times New Roman" w:hAnsi="Times New Roman"/>
          <w:sz w:val="18"/>
          <w:szCs w:val="18"/>
          <w:color w:val="auto"/>
        </w:rPr>
      </w:pPr>
    </w:p>
    <w:p>
      <w:pPr>
        <w:ind w:left="424" w:right="160" w:hanging="424"/>
        <w:spacing w:after="0" w:line="282" w:lineRule="auto"/>
        <w:tabs>
          <w:tab w:leader="none" w:pos="424"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technology and related costs, including costs related to software, hardware and other technological systems (including specialty and custom software);</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payments;</w:t>
      </w:r>
    </w:p>
    <w:p>
      <w:pPr>
        <w:spacing w:after="0" w:line="130" w:lineRule="exact"/>
        <w:rPr>
          <w:rFonts w:ascii="Times New Roman" w:cs="Times New Roman" w:eastAsia="Times New Roman" w:hAnsi="Times New Roman"/>
          <w:sz w:val="18"/>
          <w:szCs w:val="18"/>
          <w:color w:val="auto"/>
        </w:rPr>
      </w:pPr>
    </w:p>
    <w:p>
      <w:pPr>
        <w:ind w:left="424" w:right="20" w:hanging="424"/>
        <w:spacing w:after="0" w:line="282" w:lineRule="auto"/>
        <w:tabs>
          <w:tab w:leader="none" w:pos="424"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incurred in connection with any claim, litigation, arbitration, mediation, government investigation or dispute in connection with the business of the Company and the amount of any judgment or settlement paid in connection therewith;</w:t>
      </w:r>
    </w:p>
    <w:p>
      <w:pPr>
        <w:spacing w:after="0" w:line="67" w:lineRule="exact"/>
        <w:rPr>
          <w:rFonts w:ascii="Times New Roman" w:cs="Times New Roman" w:eastAsia="Times New Roman" w:hAnsi="Times New Roman"/>
          <w:sz w:val="18"/>
          <w:szCs w:val="18"/>
          <w:color w:val="auto"/>
        </w:rPr>
      </w:pPr>
    </w:p>
    <w:p>
      <w:pPr>
        <w:ind w:left="424" w:hanging="424"/>
        <w:spacing w:after="0" w:line="281" w:lineRule="auto"/>
        <w:tabs>
          <w:tab w:leader="none" w:pos="424" w:val="left"/>
        </w:tabs>
        <w:numPr>
          <w:ilvl w:val="0"/>
          <w:numId w:val="2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fees, costs and expenses, if any, incurred by or on behalf of the Company in developing, negotiating and structuring prospective or potential investments that are not ultimately made, including, without limitation any reverse termination fees and any liquidated damages, commitment fees that become payable in connection with any proposed investment that is not ultimately made, forfeited deposits or similar payments, including expenses relating to unconsummated investments that may have been attributable to co-investors had such investments been consummated;</w:t>
      </w:r>
    </w:p>
    <w:p>
      <w:pPr>
        <w:sectPr>
          <w:pgSz w:w="11900" w:h="16838" w:orient="portrait"/>
          <w:cols w:equalWidth="0" w:num="1">
            <w:col w:w="10964"/>
          </w:cols>
          <w:pgMar w:left="436" w:top="270" w:right="499" w:bottom="1440" w:gutter="0" w:footer="0" w:header="0"/>
        </w:sectPr>
      </w:pPr>
    </w:p>
    <w:bookmarkStart w:id="241" w:name="page242"/>
    <w:bookmarkEnd w:id="241"/>
    <w:p>
      <w:pPr>
        <w:ind w:left="424" w:right="80" w:hanging="424"/>
        <w:spacing w:after="0" w:line="256" w:lineRule="auto"/>
        <w:tabs>
          <w:tab w:leader="none" w:pos="424"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investment costs, including all fees, costs and expenses incurred in sourcing, evaluating, developing, negotiating, structuring, trading (including trading errors), settling, monitoring and holding prospective or actual investments or investment strategies including, without limitation, any financing, legal, filing, auditing, tax, accounting, compliance, loan administration, travel, meals, accommodations and entertainment, advisory, consulting, engineering, data-related and other professional fees, costs and expenses in connection therewith (to the extent the Adviser is not reimbursed by a prospective or actual issuer of the applicable investment or other third parties or capitalized as part of the acquisition price of the transaction);</w:t>
      </w:r>
    </w:p>
    <w:p>
      <w:pPr>
        <w:spacing w:after="0" w:line="92"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costs and expenses of administration, including audit, accounting, consulting and legal costs; and</w:t>
      </w:r>
    </w:p>
    <w:p>
      <w:pPr>
        <w:spacing w:after="0" w:line="252" w:lineRule="exact"/>
        <w:rPr>
          <w:sz w:val="20"/>
          <w:szCs w:val="20"/>
          <w:color w:val="auto"/>
        </w:rPr>
      </w:pPr>
    </w:p>
    <w:p>
      <w:pPr>
        <w:ind w:left="424" w:right="580" w:hanging="424"/>
        <w:spacing w:after="0" w:line="282" w:lineRule="auto"/>
        <w:tabs>
          <w:tab w:leader="none" w:pos="424"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expenses reasonably incurred by Company or the Adviser in connection with making investments, overseeing administrators, and administering the Company’s business not otherwise expressly payable by the Adviser pursuant to this Agreement or pursuant hereto.</w:t>
      </w:r>
    </w:p>
    <w:p>
      <w:pPr>
        <w:spacing w:after="0" w:line="162" w:lineRule="exact"/>
        <w:rPr>
          <w:sz w:val="20"/>
          <w:szCs w:val="20"/>
          <w:color w:val="auto"/>
        </w:rPr>
      </w:pPr>
    </w:p>
    <w:p>
      <w:pPr>
        <w:ind w:left="4" w:right="20"/>
        <w:spacing w:after="0" w:line="258" w:lineRule="auto"/>
        <w:rPr>
          <w:sz w:val="20"/>
          <w:szCs w:val="20"/>
          <w:color w:val="auto"/>
        </w:rPr>
      </w:pPr>
      <w:r>
        <w:rPr>
          <w:rFonts w:ascii="Times New Roman" w:cs="Times New Roman" w:eastAsia="Times New Roman" w:hAnsi="Times New Roman"/>
          <w:sz w:val="18"/>
          <w:szCs w:val="18"/>
          <w:color w:val="auto"/>
        </w:rPr>
        <w:t>Notwithstanding anything to the contrary contained herein, the Company shall reimburse the Adviser (or its affiliates) for an allocable portion of the compensation paid by the Adviser (or its affiliates) to the Company’s Chief Compliance Officer and Chief Financial Officer (based on a percentage of time such individuals devote, on an estimated basis, to the business affairs of the Company). For the avoidance of doubt, the Adviser shall be solely responsible for any placement or “finder’s” fees payable to placement agents engaged by the Company or its affiliates in connection with the offering of securities by the Company.</w:t>
      </w:r>
    </w:p>
    <w:p>
      <w:pPr>
        <w:spacing w:after="0" w:line="328" w:lineRule="exact"/>
        <w:rPr>
          <w:sz w:val="20"/>
          <w:szCs w:val="20"/>
          <w:color w:val="auto"/>
        </w:rPr>
      </w:pPr>
    </w:p>
    <w:p>
      <w:pPr>
        <w:ind w:left="424" w:hanging="424"/>
        <w:spacing w:after="0"/>
        <w:tabs>
          <w:tab w:leader="none" w:pos="424" w:val="left"/>
        </w:tabs>
        <w:numPr>
          <w:ilvl w:val="0"/>
          <w:numId w:val="2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Compensation of the Adviser</w:t>
      </w:r>
    </w:p>
    <w:p>
      <w:pPr>
        <w:spacing w:after="0" w:line="121"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color w:val="auto"/>
        </w:rPr>
        <w:t>The Company agrees to pay, and the Adviser agrees to accept, as compensation for the services provided by the Adviser hereunder, a base management fee (the “</w:t>
      </w:r>
      <w:r>
        <w:rPr>
          <w:rFonts w:ascii="Times New Roman" w:cs="Times New Roman" w:eastAsia="Times New Roman" w:hAnsi="Times New Roman"/>
          <w:sz w:val="18"/>
          <w:szCs w:val="18"/>
          <w:u w:val="single" w:color="auto"/>
          <w:color w:val="auto"/>
        </w:rPr>
        <w:t>Management Fee</w:t>
      </w:r>
      <w:r>
        <w:rPr>
          <w:rFonts w:ascii="Times New Roman" w:cs="Times New Roman" w:eastAsia="Times New Roman" w:hAnsi="Times New Roman"/>
          <w:sz w:val="18"/>
          <w:szCs w:val="18"/>
          <w:color w:val="auto"/>
        </w:rPr>
        <w:t>”) and an incentive fee (the “</w:t>
      </w:r>
      <w:r>
        <w:rPr>
          <w:rFonts w:ascii="Times New Roman" w:cs="Times New Roman" w:eastAsia="Times New Roman" w:hAnsi="Times New Roman"/>
          <w:sz w:val="18"/>
          <w:szCs w:val="18"/>
          <w:u w:val="single" w:color="auto"/>
          <w:color w:val="auto"/>
        </w:rPr>
        <w:t>Incentive Fee</w:t>
      </w:r>
      <w:r>
        <w:rPr>
          <w:rFonts w:ascii="Times New Roman" w:cs="Times New Roman" w:eastAsia="Times New Roman" w:hAnsi="Times New Roman"/>
          <w:sz w:val="18"/>
          <w:szCs w:val="18"/>
          <w:color w:val="auto"/>
        </w:rPr>
        <w:t>”) as hereinafter set forth. The Company shall make any payments due hereunder to the Adviser or to the Adviser’s designee as the Adviser may otherwise direct. To the extent permitted by applicable law, the Adviser may elect, or the Company may adopt, a deferred compensation plan pursuant to which the Adviser may elect to defer all or a portion of its fees hereunder for a specified period of time.</w:t>
      </w:r>
    </w:p>
    <w:p>
      <w:pPr>
        <w:spacing w:after="0" w:line="89" w:lineRule="exact"/>
        <w:rPr>
          <w:sz w:val="20"/>
          <w:szCs w:val="20"/>
          <w:color w:val="auto"/>
        </w:rPr>
      </w:pPr>
    </w:p>
    <w:p>
      <w:pPr>
        <w:ind w:left="424" w:right="100" w:hanging="424"/>
        <w:spacing w:after="0" w:line="261" w:lineRule="auto"/>
        <w:tabs>
          <w:tab w:leader="none" w:pos="424"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Management Fee shall be calculated at an annual rate of 1.25% of the Company’s gross assets.</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xml:space="preserve"> For services rendered under this Agreement, the Management Fee will be payable quarterly in arrears. The Management Fee will be calculated based on the average value of the Company’s gross assets at the end of the two most recently completed calendar quarters, and appropriately adjusted for any share issuances or repurchases during the current calendar quarter.</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 xml:space="preserve"> Management Fees for any partial month or quarter will be appropriately prorated.</w:t>
      </w:r>
    </w:p>
    <w:p>
      <w:pPr>
        <w:spacing w:after="0" w:line="85"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Incentive Fee shall consist of two parts, as follows:</w:t>
      </w:r>
    </w:p>
    <w:p>
      <w:pPr>
        <w:spacing w:after="0" w:line="130" w:lineRule="exact"/>
        <w:rPr>
          <w:rFonts w:ascii="Times New Roman" w:cs="Times New Roman" w:eastAsia="Times New Roman" w:hAnsi="Times New Roman"/>
          <w:sz w:val="18"/>
          <w:szCs w:val="18"/>
          <w:color w:val="auto"/>
        </w:rPr>
      </w:pPr>
    </w:p>
    <w:p>
      <w:pPr>
        <w:ind w:left="1424" w:right="20" w:hanging="439"/>
        <w:spacing w:after="0" w:line="255" w:lineRule="auto"/>
        <w:tabs>
          <w:tab w:leader="none" w:pos="1424"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part will be calculated and payable quarterly in arrears based on the pre-Incentive Fee net investment income for the immediately preceding calendar quarter. For this purpose, pre-Incentive Fee net investment income means dividends (including reinvested dividends), interest and fee income accrued by the Company during the calendar quarter, minus the Company’s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88265</wp:posOffset>
            </wp:positionV>
            <wp:extent cx="77152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2" w:lineRule="exact"/>
        <w:rPr>
          <w:sz w:val="20"/>
          <w:szCs w:val="20"/>
          <w:color w:val="auto"/>
        </w:rPr>
      </w:pPr>
    </w:p>
    <w:p>
      <w:pPr>
        <w:ind w:left="424" w:right="200" w:hanging="424"/>
        <w:spacing w:after="0" w:line="261" w:lineRule="auto"/>
        <w:tabs>
          <w:tab w:leader="none" w:pos="424" w:val="left"/>
        </w:tabs>
        <w:numPr>
          <w:ilvl w:val="0"/>
          <w:numId w:val="241"/>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For these purposes, “gross assets” means the Company’s total assets determined on a consolidated basis in accordance with generally accepted accounting principles in the United States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excluding undrawn commitments but including assets purchased with borrowed amounts.</w:t>
      </w:r>
    </w:p>
    <w:p>
      <w:pPr>
        <w:jc w:val="both"/>
        <w:ind w:left="424" w:right="280"/>
        <w:spacing w:after="0" w:line="249" w:lineRule="auto"/>
        <w:rPr>
          <w:sz w:val="20"/>
          <w:szCs w:val="20"/>
          <w:color w:val="auto"/>
        </w:rPr>
      </w:pPr>
      <w:r>
        <w:rPr>
          <w:rFonts w:ascii="Times New Roman" w:cs="Times New Roman" w:eastAsia="Times New Roman" w:hAnsi="Times New Roman"/>
          <w:sz w:val="18"/>
          <w:szCs w:val="18"/>
          <w:color w:val="auto"/>
        </w:rPr>
        <w:t>For the first calendar quarter in which the Company has operations, gross assets will be measured as the average of gross assets at the date that investors are required to fund capital contributions to purchase common shares (a “</w:t>
      </w:r>
      <w:r>
        <w:rPr>
          <w:rFonts w:ascii="Times New Roman" w:cs="Times New Roman" w:eastAsia="Times New Roman" w:hAnsi="Times New Roman"/>
          <w:sz w:val="18"/>
          <w:szCs w:val="18"/>
          <w:u w:val="single" w:color="auto"/>
          <w:color w:val="auto"/>
        </w:rPr>
        <w:t>Drawdown Purchase</w:t>
      </w:r>
      <w:r>
        <w:rPr>
          <w:rFonts w:ascii="Times New Roman" w:cs="Times New Roman" w:eastAsia="Times New Roman" w:hAnsi="Times New Roman"/>
          <w:sz w:val="18"/>
          <w:szCs w:val="18"/>
          <w:color w:val="auto"/>
        </w:rPr>
        <w:t>”) and at the end of such first calendar quarter.</w:t>
      </w:r>
    </w:p>
    <w:p>
      <w:pPr>
        <w:spacing w:after="0" w:line="2" w:lineRule="exact"/>
        <w:rPr>
          <w:sz w:val="20"/>
          <w:szCs w:val="20"/>
          <w:color w:val="auto"/>
        </w:rPr>
      </w:pPr>
    </w:p>
    <w:p>
      <w:pPr>
        <w:ind w:left="424" w:right="220" w:hanging="424"/>
        <w:spacing w:after="0" w:line="262" w:lineRule="auto"/>
        <w:tabs>
          <w:tab w:leader="none" w:pos="424" w:val="left"/>
        </w:tabs>
        <w:numPr>
          <w:ilvl w:val="0"/>
          <w:numId w:val="24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For each of the first two calendar quarters of the Company’s operations, the Management Fee shall be calculated based on the Company’s gross assets at the end of such calendar quarter, and appropriately adjusted for any share issuances or repurchases during such calendar quarter.</w:t>
      </w:r>
    </w:p>
    <w:p>
      <w:pPr>
        <w:sectPr>
          <w:pgSz w:w="11900" w:h="16838" w:orient="portrait"/>
          <w:cols w:equalWidth="0" w:num="1">
            <w:col w:w="10984"/>
          </w:cols>
          <w:pgMar w:left="436" w:top="270" w:right="479" w:bottom="1440" w:gutter="0" w:footer="0" w:header="0"/>
        </w:sectPr>
      </w:pPr>
    </w:p>
    <w:bookmarkStart w:id="242" w:name="page243"/>
    <w:bookmarkEnd w:id="242"/>
    <w:p>
      <w:pPr>
        <w:jc w:val="both"/>
        <w:ind w:left="1420" w:right="4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discount, debt instruments with pay-in-kind interest and zero coupon securities), accrued income that the Company has not yet received in cash. Pre-Incentive Fee net investment income does not include any realized capital gains, realized capital losses or unrealized capital appreciation or depreciation.</w:t>
      </w:r>
    </w:p>
    <w:p>
      <w:pPr>
        <w:spacing w:after="0" w:line="17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Prior to any quotation or listing of the Company’s securities on a national securities exchange (including through an initial public offering) or a sale of all or substantially all of the Company’s assets to, or a merger or other liquidity transaction with, an entity in which the Company’s shareholders receive shares of a publicly-traded company which continues to be managed by the Adviser or an affiliate thereof (“</w:t>
      </w:r>
      <w:r>
        <w:rPr>
          <w:rFonts w:ascii="Times New Roman" w:cs="Times New Roman" w:eastAsia="Times New Roman" w:hAnsi="Times New Roman"/>
          <w:sz w:val="18"/>
          <w:szCs w:val="18"/>
          <w:u w:val="single" w:color="auto"/>
          <w:color w:val="auto"/>
        </w:rPr>
        <w:t>Exchange Listing</w:t>
      </w:r>
      <w:r>
        <w:rPr>
          <w:rFonts w:ascii="Times New Roman" w:cs="Times New Roman" w:eastAsia="Times New Roman" w:hAnsi="Times New Roman"/>
          <w:sz w:val="18"/>
          <w:szCs w:val="18"/>
          <w:color w:val="auto"/>
        </w:rPr>
        <w:t>”) of the Company’s common shares that may occur, pre-Incentive Fee net investment income, expressed as a rate of return on the average daily Hurdle Calculation Value (as defined below) throughout the immediately preceding calendar quarter, will be compared to a “</w:t>
      </w:r>
      <w:r>
        <w:rPr>
          <w:rFonts w:ascii="Times New Roman" w:cs="Times New Roman" w:eastAsia="Times New Roman" w:hAnsi="Times New Roman"/>
          <w:sz w:val="18"/>
          <w:szCs w:val="18"/>
          <w:u w:val="single" w:color="auto"/>
          <w:color w:val="auto"/>
        </w:rPr>
        <w:t>hurdle rate</w:t>
      </w:r>
      <w:r>
        <w:rPr>
          <w:rFonts w:ascii="Times New Roman" w:cs="Times New Roman" w:eastAsia="Times New Roman" w:hAnsi="Times New Roman"/>
          <w:sz w:val="18"/>
          <w:szCs w:val="18"/>
          <w:color w:val="auto"/>
        </w:rPr>
        <w:t>” of 1.5% per quarter (6% annualized). “</w:t>
      </w:r>
      <w:r>
        <w:rPr>
          <w:rFonts w:ascii="Times New Roman" w:cs="Times New Roman" w:eastAsia="Times New Roman" w:hAnsi="Times New Roman"/>
          <w:sz w:val="18"/>
          <w:szCs w:val="18"/>
          <w:u w:val="single" w:color="auto"/>
          <w:color w:val="auto"/>
        </w:rPr>
        <w:t>Hurdle Calculation Value</w:t>
      </w:r>
      <w:r>
        <w:rPr>
          <w:rFonts w:ascii="Times New Roman" w:cs="Times New Roman" w:eastAsia="Times New Roman" w:hAnsi="Times New Roman"/>
          <w:sz w:val="18"/>
          <w:szCs w:val="18"/>
          <w:color w:val="auto"/>
        </w:rPr>
        <w:t>” means, on any given day, the sum of (x) the value of the Company’s net assets as of the end of the calendar quarter immediately preceding such day plus (y) the aggregate amount of capital drawn from investors (or reinvested in the Company pursuant to the Company’s dividend reinvestment plan) from the beginning of the current quarter to such day minus (z) the aggregate amount of distributions (including share repurchases) made by the Company from the beginning of the current quarter to such day (but only to the extent such distributions were not declared and accounted for on the books and records of the Company in a previous quarter).</w:t>
      </w:r>
    </w:p>
    <w:p>
      <w:pPr>
        <w:spacing w:after="0" w:line="194"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Following any Exchange Listing of the Company’s common shares that may occur, pre-Incentive Fee net investment income, expressed as a rate of return on the value of the Company’s net assets at the end of the immediately preceding calendar quarter, will be compared to a “hurdle rate” of 1.5 % per quarter (6% annualized).</w:t>
      </w:r>
    </w:p>
    <w:p>
      <w:pPr>
        <w:spacing w:after="0" w:line="17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Company’s net investment income used to calculate this part of the Incentive Fee is also included in the amount of its gross assets used to calculate the Management Fee.</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 will pay the Adviser an Incentive Fee with respect to the Company’s pre-Incentive Fee net investment income in each calendar quarter as follows:</w:t>
      </w:r>
    </w:p>
    <w:p>
      <w:pPr>
        <w:spacing w:after="0" w:line="67" w:lineRule="exact"/>
        <w:rPr>
          <w:sz w:val="20"/>
          <w:szCs w:val="20"/>
          <w:color w:val="auto"/>
        </w:rPr>
      </w:pPr>
    </w:p>
    <w:p>
      <w:pPr>
        <w:ind w:left="960" w:right="100" w:hanging="424"/>
        <w:spacing w:after="0" w:line="266" w:lineRule="auto"/>
        <w:tabs>
          <w:tab w:leader="none" w:pos="96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exception of the Capital Gains Fee (as defined and discussed in greater detail below), no Incentive Fee is payable to the Adviser in any calendar quarter in which the Company’s pre-Incentive Fee net investment income does not exceed the hurdle rate of 1.5% for such quarter.</w:t>
      </w:r>
    </w:p>
    <w:p>
      <w:pPr>
        <w:spacing w:after="0" w:line="81" w:lineRule="exact"/>
        <w:rPr>
          <w:rFonts w:ascii="Times New Roman" w:cs="Times New Roman" w:eastAsia="Times New Roman" w:hAnsi="Times New Roman"/>
          <w:sz w:val="18"/>
          <w:szCs w:val="18"/>
          <w:color w:val="auto"/>
        </w:rPr>
      </w:pPr>
    </w:p>
    <w:p>
      <w:pPr>
        <w:ind w:left="960" w:hanging="424"/>
        <w:spacing w:after="0" w:line="261" w:lineRule="auto"/>
        <w:tabs>
          <w:tab w:leader="none" w:pos="96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any Exchange Listing of the Company’s common shares that may occur, 100% of the Company’s pre-Incentive Fee net investment income with respect to that portion of such pre-Incentive Fee net investment income, if any, that exceeds the hurdle rate is payable to the Adviser until the Adviser has received 17.5% of the total pre-Incentive Fee net investment income for that fiscal quarter. The Company refers to this portion of the Company’s pre-Incentive Fee Net Investment Income as the “catch-up.”</w:t>
      </w:r>
    </w:p>
    <w:p>
      <w:pPr>
        <w:spacing w:after="0" w:line="85" w:lineRule="exact"/>
        <w:rPr>
          <w:rFonts w:ascii="Times New Roman" w:cs="Times New Roman" w:eastAsia="Times New Roman" w:hAnsi="Times New Roman"/>
          <w:sz w:val="18"/>
          <w:szCs w:val="18"/>
          <w:color w:val="auto"/>
        </w:rPr>
      </w:pPr>
    </w:p>
    <w:p>
      <w:pPr>
        <w:ind w:left="960" w:right="60" w:hanging="424"/>
        <w:spacing w:after="0" w:line="266" w:lineRule="auto"/>
        <w:tabs>
          <w:tab w:leader="none" w:pos="96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any Exchange Listing of the Company’s common shares that may occur, 100% of the Company’s pre-Incentive Fee net investment income with respect to that portion of such pre-Incentive Fee net investment income, if any, that exceeds the hurdle rate is payable to the Adviser until the Adviser has received 12.5% of the total pre-Incentive Fee net investment income for that fiscal quarter.</w:t>
      </w:r>
    </w:p>
    <w:p>
      <w:pPr>
        <w:spacing w:after="0" w:line="81" w:lineRule="exact"/>
        <w:rPr>
          <w:rFonts w:ascii="Times New Roman" w:cs="Times New Roman" w:eastAsia="Times New Roman" w:hAnsi="Times New Roman"/>
          <w:sz w:val="18"/>
          <w:szCs w:val="18"/>
          <w:color w:val="auto"/>
        </w:rPr>
      </w:pPr>
    </w:p>
    <w:p>
      <w:pPr>
        <w:ind w:left="960" w:right="740" w:hanging="424"/>
        <w:spacing w:after="0" w:line="282" w:lineRule="auto"/>
        <w:tabs>
          <w:tab w:leader="none" w:pos="96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any Exchange Listing of the Company’s common shares that may occur, once the hurdle is reached and the catch-up is achieved, 17.5% of all remaining pre-Incentive Fee net investment income for that fiscal quarter is payable to the Adviser.</w:t>
      </w:r>
    </w:p>
    <w:p>
      <w:pPr>
        <w:spacing w:after="0" w:line="67" w:lineRule="exact"/>
        <w:rPr>
          <w:rFonts w:ascii="Times New Roman" w:cs="Times New Roman" w:eastAsia="Times New Roman" w:hAnsi="Times New Roman"/>
          <w:sz w:val="18"/>
          <w:szCs w:val="18"/>
          <w:color w:val="auto"/>
        </w:rPr>
      </w:pPr>
    </w:p>
    <w:p>
      <w:pPr>
        <w:ind w:left="960" w:right="200" w:hanging="424"/>
        <w:spacing w:after="0" w:line="282" w:lineRule="auto"/>
        <w:tabs>
          <w:tab w:leader="none" w:pos="96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any Exchange Listing of the Company’s common shares that may occur, once the hurdle is reached and the catch-up is achieved, 12.5% of all remaining pre-Incentive Fee net investment income for that fiscal quarter is payable to the Adviser.</w:t>
      </w:r>
    </w:p>
    <w:p>
      <w:pPr>
        <w:spacing w:after="0" w:line="67" w:lineRule="exact"/>
        <w:rPr>
          <w:rFonts w:ascii="Times New Roman" w:cs="Times New Roman" w:eastAsia="Times New Roman" w:hAnsi="Times New Roman"/>
          <w:sz w:val="18"/>
          <w:szCs w:val="18"/>
          <w:color w:val="auto"/>
        </w:rPr>
      </w:pPr>
    </w:p>
    <w:p>
      <w:pPr>
        <w:ind w:left="960" w:right="760" w:hanging="424"/>
        <w:spacing w:after="0" w:line="282" w:lineRule="auto"/>
        <w:tabs>
          <w:tab w:leader="none" w:pos="96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calculations will be appropriately prorated for any period of less than three months and adjusted for any share issuances or repurchases during the relevant quarter.</w:t>
      </w:r>
    </w:p>
    <w:p>
      <w:pPr>
        <w:sectPr>
          <w:pgSz w:w="11900" w:h="16838" w:orient="portrait"/>
          <w:cols w:equalWidth="0" w:num="1">
            <w:col w:w="11020"/>
          </w:cols>
          <w:pgMar w:left="440" w:top="270" w:right="439" w:bottom="1440" w:gutter="0" w:footer="0" w:header="0"/>
        </w:sectPr>
      </w:pPr>
    </w:p>
    <w:bookmarkStart w:id="243" w:name="page244"/>
    <w:bookmarkEnd w:id="243"/>
    <w:p>
      <w:pPr>
        <w:ind w:left="1420" w:hanging="439"/>
        <w:spacing w:after="0" w:line="254" w:lineRule="auto"/>
        <w:tabs>
          <w:tab w:leader="none" w:pos="142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Following any Exchange Listing of the Company’s common shares that may occur, the second part of the Incentive Fee (the “</w:t>
      </w:r>
      <w:r>
        <w:rPr>
          <w:rFonts w:ascii="Times New Roman" w:cs="Times New Roman" w:eastAsia="Times New Roman" w:hAnsi="Times New Roman"/>
          <w:sz w:val="18"/>
          <w:szCs w:val="18"/>
          <w:u w:val="single" w:color="auto"/>
          <w:color w:val="auto"/>
        </w:rPr>
        <w:t>Capital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Gains Fee</w:t>
      </w:r>
      <w:r>
        <w:rPr>
          <w:rFonts w:ascii="Times New Roman" w:cs="Times New Roman" w:eastAsia="Times New Roman" w:hAnsi="Times New Roman"/>
          <w:sz w:val="18"/>
          <w:szCs w:val="18"/>
          <w:color w:val="auto"/>
        </w:rPr>
        <w:t>”) will be determined and payable in arrears as of the end of each fiscal year of the Company (or upon termination of this Agreement as set forth below), and will equal the Weighted Percentage (as defined below) of the Company’s realized capital gains, if any, on a cumulative basis from the inception of the Company to the end of such fiscal year, computed net of all realized capital losses and unrealized capital depreciation on a cumulative basis, minus the aggregate amount of any previously paid capital gain incentive fees for prior periods. The Weighted Percentage is intended to ensure that, for each fiscal year following an Exchange Listing of the Company’s common shares, the portion of the Company’s realized capital gains that accrued prior to an Exchange Listing will be subject to an incentive fee rate of 12.5% and the portion of the Company’s realized capital gains that accrued following an Exchange Listing will be subject to an incentive fee rate of 17.5%, and is determined as follows: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Weighted Percentage</w:t>
      </w:r>
      <w:r>
        <w:rPr>
          <w:rFonts w:ascii="Times New Roman" w:cs="Times New Roman" w:eastAsia="Times New Roman" w:hAnsi="Times New Roman"/>
          <w:sz w:val="18"/>
          <w:szCs w:val="18"/>
          <w:color w:val="auto"/>
        </w:rPr>
        <w:t>” means a percentage equal to the Pre-Exchange Listing Percentage plus the Post-Exchange Listing Percentage.</w:t>
      </w:r>
    </w:p>
    <w:p>
      <w:pPr>
        <w:spacing w:after="0" w:line="22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Pre-Exchange Listing Percentage</w:t>
      </w:r>
      <w:r>
        <w:rPr>
          <w:rFonts w:ascii="Times New Roman" w:cs="Times New Roman" w:eastAsia="Times New Roman" w:hAnsi="Times New Roman"/>
          <w:sz w:val="18"/>
          <w:szCs w:val="18"/>
          <w:color w:val="auto"/>
        </w:rPr>
        <w:t>” means a percentage determined by multiplying 12.5% by a fraction, the numerator of which is the Pre-Exchange Listing Gain Amount and the denominator of which is the Total Gain Amount, rounded to the nearest one hundredth percent.</w:t>
      </w:r>
    </w:p>
    <w:p>
      <w:pPr>
        <w:spacing w:after="0" w:line="1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Post-Exchange Listing Percentage</w:t>
      </w:r>
      <w:r>
        <w:rPr>
          <w:rFonts w:ascii="Times New Roman" w:cs="Times New Roman" w:eastAsia="Times New Roman" w:hAnsi="Times New Roman"/>
          <w:sz w:val="18"/>
          <w:szCs w:val="18"/>
          <w:color w:val="auto"/>
        </w:rPr>
        <w:t>” means a percentage determined by multiplying 17.5% by a fraction, the numerator of which is the Post-Exchange Listing Gain Amount and the denominator of which is the Total Gain Amount, rounded to the nearest one hundredth percent.</w:t>
      </w:r>
    </w:p>
    <w:p>
      <w:pPr>
        <w:spacing w:after="0" w:line="16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Gain Amount</w:t>
      </w:r>
      <w:r>
        <w:rPr>
          <w:rFonts w:ascii="Times New Roman" w:cs="Times New Roman" w:eastAsia="Times New Roman" w:hAnsi="Times New Roman"/>
          <w:sz w:val="18"/>
          <w:szCs w:val="18"/>
          <w:color w:val="auto"/>
        </w:rPr>
        <w:t>” means, for any fiscal year, the aggregate dollar amount of the Company’s realized capital gains on a cumulative basis from the inception of the Company to the end of such fiscal year.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Pre-Exchange Listing Gain Amount</w:t>
      </w:r>
      <w:r>
        <w:rPr>
          <w:rFonts w:ascii="Times New Roman" w:cs="Times New Roman" w:eastAsia="Times New Roman" w:hAnsi="Times New Roman"/>
          <w:sz w:val="18"/>
          <w:szCs w:val="18"/>
          <w:color w:val="auto"/>
        </w:rPr>
        <w:t>” means the aggregate dollar amount equal to sum of the following:</w:t>
      </w:r>
    </w:p>
    <w:p>
      <w:pPr>
        <w:spacing w:after="0" w:line="131" w:lineRule="exact"/>
        <w:rPr>
          <w:sz w:val="20"/>
          <w:szCs w:val="20"/>
          <w:color w:val="auto"/>
        </w:rPr>
      </w:pPr>
    </w:p>
    <w:p>
      <w:pPr>
        <w:ind w:left="960" w:right="80" w:hanging="532"/>
        <w:spacing w:after="0" w:line="282" w:lineRule="auto"/>
        <w:tabs>
          <w:tab w:leader="none" w:pos="96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each capital gain of the Company realized prior to the occurrence of any Exchange Listing, a dollar amount equal to 100% of such capital gain; and</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each capital gain of the Company realized following the occurrence of an Exchange Listing:</w:t>
      </w:r>
    </w:p>
    <w:p>
      <w:pPr>
        <w:spacing w:after="0" w:line="130" w:lineRule="exact"/>
        <w:rPr>
          <w:rFonts w:ascii="Times New Roman" w:cs="Times New Roman" w:eastAsia="Times New Roman" w:hAnsi="Times New Roman"/>
          <w:sz w:val="18"/>
          <w:szCs w:val="18"/>
          <w:color w:val="auto"/>
        </w:rPr>
      </w:pPr>
    </w:p>
    <w:p>
      <w:pPr>
        <w:ind w:left="1960" w:right="100" w:hanging="533"/>
        <w:spacing w:after="0" w:line="256" w:lineRule="auto"/>
        <w:tabs>
          <w:tab w:leader="none" w:pos="1960"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investment giving rise to such capital gain was made by the Company prior to the occurrence of an Exchange Listing, a dollar amount equal to the portion of such capital gain, if any, that had accrued on the books of the Company as of the date of any Exchange Listing (the “Marked Amount”); provided, however, if the Marked Amount for such capital gain exceeds the disposition proceeds realized in respect of the such capital gain, the dollar amount to be included in this paragraph (B)(I) in respect of such capital gain shall equal (x) the disposition proceeds realized in respect of such capital gain minus (y) the cost basis of such capital gain; or</w:t>
      </w:r>
    </w:p>
    <w:p>
      <w:pPr>
        <w:spacing w:after="0" w:line="93" w:lineRule="exact"/>
        <w:rPr>
          <w:sz w:val="20"/>
          <w:szCs w:val="20"/>
          <w:color w:val="auto"/>
        </w:rPr>
      </w:pPr>
    </w:p>
    <w:p>
      <w:pPr>
        <w:ind w:left="1960" w:right="280" w:hanging="533"/>
        <w:spacing w:after="0" w:line="282" w:lineRule="auto"/>
        <w:tabs>
          <w:tab w:leader="none" w:pos="196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investment giving rise to such capital gain was made by the Company following the occurrence of an Exchange Listing, zero.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Post-Exchange Listing Gain Amount</w:t>
      </w:r>
      <w:r>
        <w:rPr>
          <w:rFonts w:ascii="Times New Roman" w:cs="Times New Roman" w:eastAsia="Times New Roman" w:hAnsi="Times New Roman"/>
          <w:sz w:val="18"/>
          <w:szCs w:val="18"/>
          <w:color w:val="auto"/>
        </w:rPr>
        <w:t>” means the aggregate dollar amount equal to the sum of the following:</w:t>
      </w:r>
    </w:p>
    <w:p>
      <w:pPr>
        <w:spacing w:after="0" w:line="131" w:lineRule="exact"/>
        <w:rPr>
          <w:sz w:val="20"/>
          <w:szCs w:val="20"/>
          <w:color w:val="auto"/>
        </w:rPr>
      </w:pPr>
    </w:p>
    <w:p>
      <w:pPr>
        <w:ind w:left="960" w:hanging="532"/>
        <w:spacing w:after="0"/>
        <w:tabs>
          <w:tab w:leader="none" w:pos="96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each capital gain of the Company realized prior to the occurrence of an Exchange Listing, zero; and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each capital gain of the Company realized following the occurrence of an Exchange Listing:</w:t>
      </w:r>
    </w:p>
    <w:p>
      <w:pPr>
        <w:spacing w:after="0" w:line="130" w:lineRule="exact"/>
        <w:rPr>
          <w:rFonts w:ascii="Times New Roman" w:cs="Times New Roman" w:eastAsia="Times New Roman" w:hAnsi="Times New Roman"/>
          <w:sz w:val="18"/>
          <w:szCs w:val="18"/>
          <w:color w:val="auto"/>
        </w:rPr>
      </w:pPr>
    </w:p>
    <w:p>
      <w:pPr>
        <w:ind w:left="1960" w:right="120" w:hanging="533"/>
        <w:spacing w:after="0" w:line="261" w:lineRule="auto"/>
        <w:tabs>
          <w:tab w:leader="none" w:pos="1960"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investment giving rise to such capital gain was made by the Company prior to the occurrence of an Exchange Listing, a dollar amount equal to (x) disposition proceeds realized in respect of such capital gain minus (y) the Marked Amount in respect of such capital gain; provided, however, if the Marked Amount for such capital gain exceeds the disposition</w:t>
      </w:r>
    </w:p>
    <w:p>
      <w:pPr>
        <w:sectPr>
          <w:pgSz w:w="11900" w:h="16838" w:orient="portrait"/>
          <w:cols w:equalWidth="0" w:num="1">
            <w:col w:w="11000"/>
          </w:cols>
          <w:pgMar w:left="440" w:top="270" w:right="459" w:bottom="1440" w:gutter="0" w:footer="0" w:header="0"/>
        </w:sectPr>
      </w:pPr>
    </w:p>
    <w:bookmarkStart w:id="244" w:name="page245"/>
    <w:bookmarkEnd w:id="244"/>
    <w:p>
      <w:pPr>
        <w:ind w:left="1964" w:right="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proceeds realized in respect of such capital gain, the amount to be included in this paragraph (B)(I) in respect of such capital gain shall be zero; provided, further, if the investment giving rise to such capital gain was reflected as an unrealized capital loss on the books of the Company as of the date of an Exchange Listing, the dollar amount to be included in this paragraph (B)(I) shall equal 100% of such capital gain; or</w:t>
      </w:r>
    </w:p>
    <w:p>
      <w:pPr>
        <w:spacing w:after="0" w:line="85" w:lineRule="exact"/>
        <w:rPr>
          <w:sz w:val="20"/>
          <w:szCs w:val="20"/>
          <w:color w:val="auto"/>
        </w:rPr>
      </w:pPr>
    </w:p>
    <w:p>
      <w:pPr>
        <w:ind w:left="1964" w:right="280" w:hanging="533"/>
        <w:spacing w:after="0" w:line="282" w:lineRule="auto"/>
        <w:tabs>
          <w:tab w:leader="none" w:pos="1964"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investment giving rise to such capital gain was made by the Company following the occurrence of an Exchange Listing, a dollar amount equal to 100% of such capital gain.</w:t>
      </w:r>
    </w:p>
    <w:p>
      <w:pPr>
        <w:spacing w:after="0" w:line="162" w:lineRule="exact"/>
        <w:rPr>
          <w:sz w:val="20"/>
          <w:szCs w:val="20"/>
          <w:color w:val="auto"/>
        </w:rPr>
      </w:pPr>
    </w:p>
    <w:p>
      <w:pPr>
        <w:ind w:left="4" w:right="180"/>
        <w:spacing w:after="0" w:line="255" w:lineRule="auto"/>
        <w:rPr>
          <w:sz w:val="20"/>
          <w:szCs w:val="20"/>
          <w:color w:val="auto"/>
        </w:rPr>
      </w:pPr>
      <w:r>
        <w:rPr>
          <w:rFonts w:ascii="Times New Roman" w:cs="Times New Roman" w:eastAsia="Times New Roman" w:hAnsi="Times New Roman"/>
          <w:sz w:val="18"/>
          <w:szCs w:val="18"/>
          <w:color w:val="auto"/>
        </w:rPr>
        <w:t>Prior to any Exchange Listing of the Company’s common shares that may occur, the Capital Gains Fee will equal 12.5% of the Company’s realized capital gains, if any, on a cumulative basis from the inception of the Company to the end of such fiscal year, computed net of all realized capital losses and unrealized capital depreciation on a cumulative basis, minus the aggregate amount of any previously paid capital gain incentive fees for prior period; provided that the Capital Gains Fee may initially be calculated for a period of shorter than twelve calendar months to take into account any realized capital gains computed net of all realized capital losses and unrealized capital depreciation from inception. In the event that this Agreement shall terminate as of a date that is not a fiscal year end, the termination date shall be treated as though it were a fiscal year end for purposes of calculating and paying a Capital Gains Fee.</w:t>
      </w:r>
    </w:p>
    <w:p>
      <w:pPr>
        <w:spacing w:after="0" w:line="189" w:lineRule="exact"/>
        <w:rPr>
          <w:sz w:val="20"/>
          <w:szCs w:val="20"/>
          <w:color w:val="auto"/>
        </w:rPr>
      </w:pPr>
    </w:p>
    <w:p>
      <w:pPr>
        <w:jc w:val="both"/>
        <w:ind w:left="4" w:hanging="4"/>
        <w:spacing w:after="0" w:line="261" w:lineRule="auto"/>
        <w:tabs>
          <w:tab w:leader="none" w:pos="249"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any Exchange Listing that may occur, the Adviser will waive its right to receive management fees in excess of the sum of 1.00% of the Company’s average aggregate drawn capital (including capital drawn to pay Company expenses) as of the end of the two most recently completed calendar quarters, appropriately adjusted for any share issuances or repurchases during the relevant calendar quarter. The fee waiver will terminate if and when the Company consummates an Exchange Listing.</w:t>
      </w:r>
    </w:p>
    <w:p>
      <w:pPr>
        <w:spacing w:after="0" w:line="179" w:lineRule="exact"/>
        <w:rPr>
          <w:rFonts w:ascii="Times New Roman" w:cs="Times New Roman" w:eastAsia="Times New Roman" w:hAnsi="Times New Roman"/>
          <w:sz w:val="18"/>
          <w:szCs w:val="18"/>
          <w:color w:val="auto"/>
        </w:rPr>
      </w:pPr>
    </w:p>
    <w:p>
      <w:pPr>
        <w:ind w:left="4" w:right="20" w:hanging="4"/>
        <w:spacing w:after="0" w:line="256" w:lineRule="auto"/>
        <w:tabs>
          <w:tab w:leader="none" w:pos="259"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loan origination, advisory or similar fees (“Transaction Fees”) received in connection with the Company’s activities or the Adviser’s activities as they relate to the Company shall be the property of the Company. The parties agree that any Transaction Fees paid to the members, managers, partners or employees of the Company, the Adviser or their respective affiliates in connection with the Company’s activities or the Adviser’s activities as they relate to the Company shall be promptly remitted to the Company; provided, however, Transaction Fees received in respect of an investment opportunity in which the Company and one or more entities (including affiliates of the Adviser) participate shall be allocated to each of the Company and such entities pro rata in accordance with their respective investments or proposed investments in such investment opportunity.</w:t>
      </w:r>
    </w:p>
    <w:p>
      <w:pPr>
        <w:spacing w:after="0" w:line="187" w:lineRule="exact"/>
        <w:rPr>
          <w:rFonts w:ascii="Times New Roman" w:cs="Times New Roman" w:eastAsia="Times New Roman" w:hAnsi="Times New Roman"/>
          <w:sz w:val="18"/>
          <w:szCs w:val="18"/>
          <w:color w:val="auto"/>
        </w:rPr>
      </w:pPr>
    </w:p>
    <w:p>
      <w:pPr>
        <w:ind w:left="4" w:right="40" w:hanging="4"/>
        <w:spacing w:after="0" w:line="258" w:lineRule="auto"/>
        <w:tabs>
          <w:tab w:leader="none" w:pos="249"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this Agreement, the Company and the Adviser acknowledge and agree that the provisions of this Section 3 shall be of no force and effect unless and until this Agreement has been approved by the vote of a majority of the Company’s directors who are not parties to this Agreement or “interested persons” (as such term is defined in Section 2(a)(19) of the Investment Company Act) of any such party, in accordance with the requirements of the Investment Company Act (the “Approval Date”). For the avoidance of doubt, the Adviser shall receive no compensation with respect to services provided hereunder prior to the Approval Date.</w:t>
      </w:r>
    </w:p>
    <w:p>
      <w:pPr>
        <w:spacing w:after="0" w:line="328" w:lineRule="exact"/>
        <w:rPr>
          <w:sz w:val="20"/>
          <w:szCs w:val="20"/>
          <w:color w:val="auto"/>
        </w:rPr>
      </w:pPr>
    </w:p>
    <w:p>
      <w:pPr>
        <w:ind w:left="424" w:hanging="424"/>
        <w:spacing w:after="0"/>
        <w:tabs>
          <w:tab w:leader="none" w:pos="424" w:val="left"/>
        </w:tabs>
        <w:numPr>
          <w:ilvl w:val="0"/>
          <w:numId w:val="2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Covenants of the Adviser</w:t>
      </w:r>
    </w:p>
    <w:p>
      <w:pPr>
        <w:spacing w:after="0" w:line="121" w:lineRule="exact"/>
        <w:rPr>
          <w:sz w:val="20"/>
          <w:szCs w:val="20"/>
          <w:color w:val="auto"/>
        </w:rPr>
      </w:pPr>
    </w:p>
    <w:p>
      <w:pPr>
        <w:ind w:left="4" w:right="320"/>
        <w:spacing w:after="0" w:line="282" w:lineRule="auto"/>
        <w:rPr>
          <w:sz w:val="20"/>
          <w:szCs w:val="20"/>
          <w:color w:val="auto"/>
        </w:rPr>
      </w:pPr>
      <w:r>
        <w:rPr>
          <w:rFonts w:ascii="Times New Roman" w:cs="Times New Roman" w:eastAsia="Times New Roman" w:hAnsi="Times New Roman"/>
          <w:sz w:val="18"/>
          <w:szCs w:val="18"/>
          <w:color w:val="auto"/>
        </w:rPr>
        <w:t>The Adviser agrees that its activities will at all times be in compliance in all material respects with all applicable federal and state laws governing its operations and investments.</w:t>
      </w:r>
    </w:p>
    <w:p>
      <w:pPr>
        <w:spacing w:after="0" w:line="306" w:lineRule="exact"/>
        <w:rPr>
          <w:sz w:val="20"/>
          <w:szCs w:val="20"/>
          <w:color w:val="auto"/>
        </w:rPr>
      </w:pPr>
    </w:p>
    <w:p>
      <w:pPr>
        <w:ind w:left="424" w:hanging="424"/>
        <w:spacing w:after="0"/>
        <w:tabs>
          <w:tab w:leader="none" w:pos="424" w:val="left"/>
        </w:tabs>
        <w:numPr>
          <w:ilvl w:val="0"/>
          <w:numId w:val="2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Excess Brokerage Commissions</w:t>
      </w:r>
    </w:p>
    <w:p>
      <w:pPr>
        <w:spacing w:after="0" w:line="121" w:lineRule="exact"/>
        <w:rPr>
          <w:sz w:val="20"/>
          <w:szCs w:val="20"/>
          <w:color w:val="auto"/>
        </w:rPr>
      </w:pPr>
    </w:p>
    <w:p>
      <w:pPr>
        <w:ind w:left="4" w:right="40"/>
        <w:spacing w:after="0" w:line="261" w:lineRule="auto"/>
        <w:rPr>
          <w:sz w:val="20"/>
          <w:szCs w:val="20"/>
          <w:color w:val="auto"/>
        </w:rPr>
      </w:pPr>
      <w:r>
        <w:rPr>
          <w:rFonts w:ascii="Times New Roman" w:cs="Times New Roman" w:eastAsia="Times New Roman" w:hAnsi="Times New Roman"/>
          <w:sz w:val="18"/>
          <w:szCs w:val="18"/>
          <w:color w:val="auto"/>
        </w:rPr>
        <w:t>The Adviser is hereby authorized, to the fullest extent now or hereafter permitted by law, to cause the Company to pay a member of a national securities exchange, broker or dealer an amount of commission for effecting a securities transaction in excess of the amount of commission another member of such exchange, broker or dealer would have charged for effecting that transaction, if the Adviser determines in good faith, taking into account such factors as price (including the applicable brokerage commission or dealer spread), size of order, difficulty of execution, and</w:t>
      </w:r>
    </w:p>
    <w:p>
      <w:pPr>
        <w:sectPr>
          <w:pgSz w:w="11900" w:h="16838" w:orient="portrait"/>
          <w:cols w:equalWidth="0" w:num="1">
            <w:col w:w="11004"/>
          </w:cols>
          <w:pgMar w:left="436" w:top="270" w:right="459" w:bottom="1440" w:gutter="0" w:footer="0" w:header="0"/>
        </w:sectPr>
      </w:pPr>
    </w:p>
    <w:bookmarkStart w:id="245" w:name="page246"/>
    <w:bookmarkEnd w:id="245"/>
    <w:p>
      <w:pPr>
        <w:jc w:val="both"/>
        <w:ind w:left="4"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operational facilities of the firm and the firm’s risk and skill in positioning blocks of securities, that such amount of commission is reasonable in relation to the value of the brokerage and/or research services provided by such member, broker or dealer, viewed in terms of either that particular transaction or its overall responsibilities with respect to the Company’s portfolio, and constitutes the best net results for the Company.</w:t>
      </w:r>
    </w:p>
    <w:p>
      <w:pPr>
        <w:spacing w:after="0" w:line="320" w:lineRule="exact"/>
        <w:rPr>
          <w:sz w:val="20"/>
          <w:szCs w:val="20"/>
          <w:color w:val="auto"/>
        </w:rPr>
      </w:pPr>
    </w:p>
    <w:p>
      <w:pPr>
        <w:ind w:left="424" w:hanging="424"/>
        <w:spacing w:after="0"/>
        <w:tabs>
          <w:tab w:leader="none" w:pos="424" w:val="left"/>
        </w:tabs>
        <w:numPr>
          <w:ilvl w:val="0"/>
          <w:numId w:val="2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Investment Team</w:t>
      </w:r>
    </w:p>
    <w:p>
      <w:pPr>
        <w:spacing w:after="0" w:line="121" w:lineRule="exact"/>
        <w:rPr>
          <w:sz w:val="20"/>
          <w:szCs w:val="20"/>
          <w:color w:val="auto"/>
        </w:rPr>
      </w:pPr>
    </w:p>
    <w:p>
      <w:pPr>
        <w:ind w:left="4" w:right="120"/>
        <w:spacing w:after="0" w:line="261" w:lineRule="auto"/>
        <w:rPr>
          <w:sz w:val="20"/>
          <w:szCs w:val="20"/>
          <w:color w:val="auto"/>
        </w:rPr>
      </w:pPr>
      <w:r>
        <w:rPr>
          <w:rFonts w:ascii="Times New Roman" w:cs="Times New Roman" w:eastAsia="Times New Roman" w:hAnsi="Times New Roman"/>
          <w:sz w:val="18"/>
          <w:szCs w:val="18"/>
          <w:color w:val="auto"/>
        </w:rPr>
        <w:t>The Adviser sources and manages the Company’s portfolio through a team of investment professionals (the “Investment Team”). The Company’s investment decisions are made by the Company’s Investment Review Committee, which includes senior personnel of the Adviser and its affiliates. The Investment Team shall be comprised of senior personnel of the Adviser, supported by and with access to the investment professionals, analytical capabilities and support personnel of the Company and the Adviser’s affiliates.</w:t>
      </w:r>
    </w:p>
    <w:p>
      <w:pPr>
        <w:spacing w:after="0" w:line="324" w:lineRule="exact"/>
        <w:rPr>
          <w:sz w:val="20"/>
          <w:szCs w:val="20"/>
          <w:color w:val="auto"/>
        </w:rPr>
      </w:pPr>
    </w:p>
    <w:p>
      <w:pPr>
        <w:ind w:left="424" w:hanging="424"/>
        <w:spacing w:after="0"/>
        <w:tabs>
          <w:tab w:leader="none" w:pos="424" w:val="left"/>
        </w:tabs>
        <w:numPr>
          <w:ilvl w:val="0"/>
          <w:numId w:val="2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Limitations on the Employment of the Adviser</w:t>
      </w:r>
    </w:p>
    <w:p>
      <w:pPr>
        <w:spacing w:after="0" w:line="121" w:lineRule="exact"/>
        <w:rPr>
          <w:sz w:val="20"/>
          <w:szCs w:val="20"/>
          <w:color w:val="auto"/>
        </w:rPr>
      </w:pPr>
    </w:p>
    <w:p>
      <w:pPr>
        <w:ind w:left="4"/>
        <w:spacing w:after="0" w:line="253" w:lineRule="auto"/>
        <w:rPr>
          <w:sz w:val="20"/>
          <w:szCs w:val="20"/>
          <w:color w:val="auto"/>
        </w:rPr>
      </w:pPr>
      <w:r>
        <w:rPr>
          <w:rFonts w:ascii="Times New Roman" w:cs="Times New Roman" w:eastAsia="Times New Roman" w:hAnsi="Times New Roman"/>
          <w:sz w:val="18"/>
          <w:szCs w:val="18"/>
          <w:color w:val="auto"/>
        </w:rPr>
        <w:t>The services of the Adviser to the Company are not exclusive, and the Adviser may engage in any other business or render similar or different services to others including, without limitation, the direct or indirect sponsorship or management of other investment-based accounts or commingled pools of capital, however structured, having investment objectives similar to those of the Company, and nothing in this Agreement shall limit or restrict the right of any manager, partner, officer or employee of the Adviser to engage in any other business or to devote his or her time and attention in part to any other business, whether of a similar or dissimilar nature, or to receive any fees or compensation in connection therewith (including fees for serving as a director of, or providing consulting services to, one or more of the Company’s portfolio companies, subject to applicable law). So long as this Agreement or any extension, renewal or amendment remains in effect, the Adviser shall be the only investment adviser for the Company, subject to the Adviser’s right to enter into sub-advisory agreements at set forth herein. The Adviser assumes no responsibility under this Agreement other than to render the services called for hereunder. It is understood that trustees/directors, officers, employees and shareholders of the Company are or may become interested in the Adviser and its affiliates, as directors, officers, employees, partners, shareholders, members, managers or otherwise, and that the Adviser and directors, officers, employees, partners, shareholders, members and managers of the Adviser and its affiliates are or may become similarly interested in the Company as shareholders or otherwise.</w:t>
      </w:r>
    </w:p>
    <w:p>
      <w:pPr>
        <w:spacing w:after="0" w:line="334" w:lineRule="exact"/>
        <w:rPr>
          <w:sz w:val="20"/>
          <w:szCs w:val="20"/>
          <w:color w:val="auto"/>
        </w:rPr>
      </w:pPr>
    </w:p>
    <w:p>
      <w:pPr>
        <w:ind w:left="424" w:hanging="424"/>
        <w:spacing w:after="0"/>
        <w:tabs>
          <w:tab w:leader="none" w:pos="424" w:val="left"/>
        </w:tabs>
        <w:numPr>
          <w:ilvl w:val="0"/>
          <w:numId w:val="2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Responsibility of Dual Trustees/Directors, Officers and/or Employees</w:t>
      </w:r>
    </w:p>
    <w:p>
      <w:pPr>
        <w:spacing w:after="0" w:line="121"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If any person who is a manager, partner, officer or employee of the Adviser or the Administrator is or becomes a trustee/director, officer and/or employee of the Company and acts as such in any business of the Company, then such manager, partner, officer and/or employee of the Adviser or the Administrator shall be deemed to be acting in such capacity solely for the Company, and not as a manager, partner, officer or employee of the Adviser or the Administrator or under the control or direction of the Adviser or the Administrator, even if paid by the Adviser or the Administrator.</w:t>
      </w:r>
    </w:p>
    <w:p>
      <w:pPr>
        <w:spacing w:after="0" w:line="324" w:lineRule="exact"/>
        <w:rPr>
          <w:sz w:val="20"/>
          <w:szCs w:val="20"/>
          <w:color w:val="auto"/>
        </w:rPr>
      </w:pPr>
    </w:p>
    <w:p>
      <w:pPr>
        <w:ind w:left="424" w:hanging="424"/>
        <w:spacing w:after="0"/>
        <w:tabs>
          <w:tab w:leader="none" w:pos="424" w:val="left"/>
        </w:tabs>
        <w:numPr>
          <w:ilvl w:val="0"/>
          <w:numId w:val="2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Conflicts of Interest</w:t>
      </w:r>
    </w:p>
    <w:p>
      <w:pPr>
        <w:spacing w:after="0" w:line="121" w:lineRule="exact"/>
        <w:rPr>
          <w:sz w:val="20"/>
          <w:szCs w:val="20"/>
          <w:color w:val="auto"/>
        </w:rPr>
      </w:pPr>
    </w:p>
    <w:p>
      <w:pPr>
        <w:ind w:left="4" w:right="20"/>
        <w:spacing w:after="0" w:line="254" w:lineRule="auto"/>
        <w:rPr>
          <w:sz w:val="20"/>
          <w:szCs w:val="20"/>
          <w:color w:val="auto"/>
        </w:rPr>
      </w:pPr>
      <w:r>
        <w:rPr>
          <w:rFonts w:ascii="Times New Roman" w:cs="Times New Roman" w:eastAsia="Times New Roman" w:hAnsi="Times New Roman"/>
          <w:sz w:val="18"/>
          <w:szCs w:val="18"/>
          <w:color w:val="auto"/>
        </w:rPr>
        <w:t xml:space="preserve">The Adviser agrees that it shall submit to the Board a description of any potential or actual conflict of interest that the Adviser determines to be material in any transaction or relationship between the Company and any entity controlled by it, on the one hand, and the Adviser or any of its affiliates or their respective employees, partners, members, officers or directors, on the other hand;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any transaction that is (i) conducted on an arm’s length basis and generates Transaction Fees one hundred percent (100%) of which are paid or remitted to the Company in accordance with Section 3(d) or (ii) made pursuant to an exemptive order obtained by the Company or the Adviser under the Investment Company Act shall not, in either case, constitute a conflict of interest for the purposes of this Section 9. Any transaction or relationship required to be submitted to the Board pursuant to the previous sentence shall promptly be reviewed and approved or disapproved by the Board, and the Adviser shall supply the Board with all information and data reasonably requested by the Board to enable it to reach an informed decision with respect thereto.</w:t>
      </w:r>
    </w:p>
    <w:p>
      <w:pPr>
        <w:sectPr>
          <w:pgSz w:w="11900" w:h="16838" w:orient="portrait"/>
          <w:cols w:equalWidth="0" w:num="1">
            <w:col w:w="11004"/>
          </w:cols>
          <w:pgMar w:left="436" w:top="270" w:right="459" w:bottom="1440" w:gutter="0" w:footer="0" w:header="0"/>
        </w:sectPr>
      </w:pPr>
    </w:p>
    <w:bookmarkStart w:id="246" w:name="page247"/>
    <w:bookmarkEnd w:id="246"/>
    <w:p>
      <w:pPr>
        <w:ind w:left="424" w:hanging="424"/>
        <w:spacing w:after="0"/>
        <w:tabs>
          <w:tab w:leader="none" w:pos="424" w:val="left"/>
        </w:tabs>
        <w:numPr>
          <w:ilvl w:val="0"/>
          <w:numId w:val="2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Limitation of Liability of the Adviser; Indemnification</w:t>
      </w:r>
    </w:p>
    <w:p>
      <w:pPr>
        <w:spacing w:after="0" w:line="121" w:lineRule="exact"/>
        <w:rPr>
          <w:sz w:val="20"/>
          <w:szCs w:val="20"/>
          <w:color w:val="auto"/>
        </w:rPr>
      </w:pPr>
    </w:p>
    <w:p>
      <w:pPr>
        <w:ind w:left="4" w:right="60"/>
        <w:spacing w:after="0" w:line="253" w:lineRule="auto"/>
        <w:rPr>
          <w:sz w:val="20"/>
          <w:szCs w:val="20"/>
          <w:color w:val="auto"/>
        </w:rPr>
      </w:pPr>
      <w:r>
        <w:rPr>
          <w:rFonts w:ascii="Times New Roman" w:cs="Times New Roman" w:eastAsia="Times New Roman" w:hAnsi="Times New Roman"/>
          <w:sz w:val="18"/>
          <w:szCs w:val="18"/>
          <w:color w:val="auto"/>
        </w:rPr>
        <w:t>The Adviser (and its members, managers, officers, employees, agents, controlling persons and any other person or entity affiliated with it) shall not be liable to the Company for any action taken or omitted to be taken by the Adviser in connection with the performance of any of its duties or obligations under this Agreement or otherwise as an investment adviser of the Company (except to the extent specified in Section 36(b) of the Investment Company Act concerning loss resulting from a breach of fiduciary duty (as the same is finally determined by judicial proceedings) with respect to the receipt of compensation for services). As permitted by the Company’s organizational documents, the Company shall,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by reason of the fact that he/she is or was a member, manager, officer, employee, agent, controlling person or any other person or entity affiliated with the Adviser, including without limitation the Administrator, or is or was a member of the Adviser’s Investment Review Committee (each such person hereinafter an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xml:space="preserve">”), on the same general terms set forth in the Company’s organizational documents, the terms of which are incorporated herein </w:t>
      </w:r>
      <w:r>
        <w:rPr>
          <w:rFonts w:ascii="Times New Roman" w:cs="Times New Roman" w:eastAsia="Times New Roman" w:hAnsi="Times New Roman"/>
          <w:sz w:val="18"/>
          <w:szCs w:val="18"/>
          <w:i w:val="1"/>
          <w:iCs w:val="1"/>
          <w:color w:val="auto"/>
        </w:rPr>
        <w:t>mutatis mutandi</w:t>
      </w:r>
      <w:r>
        <w:rPr>
          <w:rFonts w:ascii="Times New Roman" w:cs="Times New Roman" w:eastAsia="Times New Roman" w:hAnsi="Times New Roman"/>
          <w:sz w:val="18"/>
          <w:szCs w:val="18"/>
          <w:color w:val="auto"/>
        </w:rPr>
        <w:t xml:space="preserve"> as applied to the Indemnitees.</w:t>
      </w:r>
    </w:p>
    <w:p>
      <w:pPr>
        <w:spacing w:after="0" w:line="336" w:lineRule="exact"/>
        <w:rPr>
          <w:sz w:val="20"/>
          <w:szCs w:val="20"/>
          <w:color w:val="auto"/>
        </w:rPr>
      </w:pPr>
    </w:p>
    <w:p>
      <w:pPr>
        <w:ind w:left="424" w:hanging="424"/>
        <w:spacing w:after="0"/>
        <w:tabs>
          <w:tab w:leader="none" w:pos="424" w:val="left"/>
        </w:tabs>
        <w:numPr>
          <w:ilvl w:val="0"/>
          <w:numId w:val="2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Effectiveness, Duration and Termination of Agreement</w:t>
      </w:r>
    </w:p>
    <w:p>
      <w:pPr>
        <w:spacing w:after="0" w:line="121" w:lineRule="exact"/>
        <w:rPr>
          <w:sz w:val="20"/>
          <w:szCs w:val="20"/>
          <w:color w:val="auto"/>
        </w:rPr>
      </w:pPr>
    </w:p>
    <w:p>
      <w:pPr>
        <w:ind w:left="4" w:hanging="4"/>
        <w:spacing w:after="0" w:line="256" w:lineRule="auto"/>
        <w:tabs>
          <w:tab w:leader="none" w:pos="249"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become effective as of the first date above written. This Agreement may be terminated at any time, without the payment of any penalty, upon not more than 60 days’ written notice, by the vote of a majority of the outstanding voting securities of the Company or by the vote of the Board or by the Adviser. The provisions of Section 10 of this Agreement shall remain in full force and effect, and the Adviser shall remain entitled to the benefits thereof, notwithstanding any termination of this Agreement. Further, notwithstanding the termination or expiration of this Agreement as aforesaid, the Adviser shall be entitled to any amounts owed under Section 3 through the date of termination or expiration, and Section 10 shall continue in force and effect and apply to the Adviser and its representatives as and to the extent applicable.</w:t>
      </w:r>
    </w:p>
    <w:p>
      <w:pPr>
        <w:spacing w:after="0" w:line="187" w:lineRule="exact"/>
        <w:rPr>
          <w:rFonts w:ascii="Times New Roman" w:cs="Times New Roman" w:eastAsia="Times New Roman" w:hAnsi="Times New Roman"/>
          <w:sz w:val="18"/>
          <w:szCs w:val="18"/>
          <w:color w:val="auto"/>
        </w:rPr>
      </w:pPr>
    </w:p>
    <w:p>
      <w:pPr>
        <w:ind w:left="4" w:right="40" w:hanging="4"/>
        <w:spacing w:after="0" w:line="256" w:lineRule="auto"/>
        <w:tabs>
          <w:tab w:leader="none" w:pos="259"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continue in effect for two years from the date hereof, or to the extent consistent with the requirements of the Investment Company Act, from the date of the Company’s election to be regulated as a BDC under the Investment Company Act, and thereafter shall continue automatically for successive annual periods, provided that such continuance is specifically approved at least annually by (A) the vote of the Board, or by the vote of a majority of the outstanding voting securities of the Company and (B) the vote of a majority of the Company’s directors who are not parties to this Agreement or “interested persons” (as such term is defined in Section 2(a)(19) of the Investment Company Act) of any such party, in accordance with the requirements of the Investment Company Act.</w:t>
      </w:r>
    </w:p>
    <w:p>
      <w:pPr>
        <w:spacing w:after="0" w:line="187" w:lineRule="exact"/>
        <w:rPr>
          <w:rFonts w:ascii="Times New Roman" w:cs="Times New Roman" w:eastAsia="Times New Roman" w:hAnsi="Times New Roman"/>
          <w:sz w:val="18"/>
          <w:szCs w:val="18"/>
          <w:color w:val="auto"/>
        </w:rPr>
      </w:pPr>
    </w:p>
    <w:p>
      <w:pPr>
        <w:ind w:left="4" w:right="660" w:hanging="4"/>
        <w:spacing w:after="0" w:line="282" w:lineRule="auto"/>
        <w:tabs>
          <w:tab w:leader="none" w:pos="249"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will automatically terminate in the event of its “assignment” (as such term is defined for purposes of Section 15(a)(4) of the Investment Company Act).</w:t>
      </w:r>
    </w:p>
    <w:p>
      <w:pPr>
        <w:spacing w:after="0" w:line="306" w:lineRule="exact"/>
        <w:rPr>
          <w:sz w:val="20"/>
          <w:szCs w:val="20"/>
          <w:color w:val="auto"/>
        </w:rPr>
      </w:pPr>
    </w:p>
    <w:p>
      <w:pPr>
        <w:ind w:left="424" w:hanging="424"/>
        <w:spacing w:after="0"/>
        <w:tabs>
          <w:tab w:leader="none" w:pos="424" w:val="left"/>
        </w:tabs>
        <w:numPr>
          <w:ilvl w:val="0"/>
          <w:numId w:val="2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Notices</w:t>
      </w:r>
    </w:p>
    <w:p>
      <w:pPr>
        <w:spacing w:after="0" w:line="121" w:lineRule="exact"/>
        <w:rPr>
          <w:sz w:val="20"/>
          <w:szCs w:val="20"/>
          <w:color w:val="auto"/>
        </w:rPr>
      </w:pPr>
    </w:p>
    <w:p>
      <w:pPr>
        <w:ind w:left="4" w:right="160"/>
        <w:spacing w:after="0" w:line="282" w:lineRule="auto"/>
        <w:rPr>
          <w:sz w:val="20"/>
          <w:szCs w:val="20"/>
          <w:color w:val="auto"/>
        </w:rPr>
      </w:pPr>
      <w:r>
        <w:rPr>
          <w:rFonts w:ascii="Times New Roman" w:cs="Times New Roman" w:eastAsia="Times New Roman" w:hAnsi="Times New Roman"/>
          <w:sz w:val="18"/>
          <w:szCs w:val="18"/>
          <w:color w:val="auto"/>
        </w:rPr>
        <w:t>Any notice under this Agreement shall be given in writing, addressed and delivered or mailed, postage prepaid, to the other party at its principal office, or alternatively shall be given by e-mail to the chief legal officer or chief compliance officer of the respective party.</w:t>
      </w:r>
    </w:p>
    <w:p>
      <w:pPr>
        <w:spacing w:after="0" w:line="306" w:lineRule="exact"/>
        <w:rPr>
          <w:sz w:val="20"/>
          <w:szCs w:val="20"/>
          <w:color w:val="auto"/>
        </w:rPr>
      </w:pPr>
    </w:p>
    <w:p>
      <w:pPr>
        <w:ind w:left="424" w:hanging="424"/>
        <w:spacing w:after="0"/>
        <w:tabs>
          <w:tab w:leader="none" w:pos="424" w:val="left"/>
        </w:tabs>
        <w:numPr>
          <w:ilvl w:val="0"/>
          <w:numId w:val="2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Amendments</w:t>
      </w:r>
    </w:p>
    <w:p>
      <w:pPr>
        <w:spacing w:after="0" w:line="121" w:lineRule="exact"/>
        <w:rPr>
          <w:sz w:val="20"/>
          <w:szCs w:val="20"/>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This Agreement may be amended by mutual consent, but the consent of the Company must be obtained in conformity with the requirements of the Investment Company Act.</w:t>
      </w:r>
    </w:p>
    <w:p>
      <w:pPr>
        <w:sectPr>
          <w:pgSz w:w="11900" w:h="16838" w:orient="portrait"/>
          <w:cols w:equalWidth="0" w:num="1">
            <w:col w:w="11024"/>
          </w:cols>
          <w:pgMar w:left="436" w:top="266" w:right="439" w:bottom="1440" w:gutter="0" w:footer="0" w:header="0"/>
        </w:sectPr>
      </w:pPr>
    </w:p>
    <w:bookmarkStart w:id="247" w:name="page248"/>
    <w:bookmarkEnd w:id="247"/>
    <w:p>
      <w:pPr>
        <w:ind w:left="424" w:hanging="424"/>
        <w:spacing w:after="0"/>
        <w:tabs>
          <w:tab w:leader="none" w:pos="424" w:val="left"/>
        </w:tabs>
        <w:numPr>
          <w:ilvl w:val="0"/>
          <w:numId w:val="2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Entire Agreement; Governing Law</w:t>
      </w:r>
    </w:p>
    <w:p>
      <w:pPr>
        <w:spacing w:after="0" w:line="31" w:lineRule="exact"/>
        <w:rPr>
          <w:sz w:val="20"/>
          <w:szCs w:val="20"/>
          <w:color w:val="auto"/>
        </w:rPr>
      </w:pPr>
    </w:p>
    <w:p>
      <w:pPr>
        <w:ind w:left="4" w:right="180"/>
        <w:spacing w:after="0" w:line="253" w:lineRule="auto"/>
        <w:rPr>
          <w:sz w:val="20"/>
          <w:szCs w:val="20"/>
          <w:color w:val="auto"/>
        </w:rPr>
      </w:pPr>
      <w:r>
        <w:rPr>
          <w:rFonts w:ascii="Times New Roman" w:cs="Times New Roman" w:eastAsia="Times New Roman" w:hAnsi="Times New Roman"/>
          <w:sz w:val="18"/>
          <w:szCs w:val="18"/>
          <w:color w:val="auto"/>
        </w:rPr>
        <w:t>This Agreement contains the entire agreement of the parties and supersedes all prior agreements, understandings and arrangements with respect to the subject matter hereof. This Agreement shall be construed in accordance with the laws of the State of New York and in accordance with the applicable provisions of the Investment Company Act. In such case, to the extent the applicable laws of the State of New York, or any of the provisions herein, conflict with the provisions of the Investment Company Act, the latter shall control.</w:t>
      </w:r>
    </w:p>
    <w:p>
      <w:pPr>
        <w:spacing w:after="0" w:line="333" w:lineRule="exact"/>
        <w:rPr>
          <w:sz w:val="20"/>
          <w:szCs w:val="20"/>
          <w:color w:val="auto"/>
        </w:rPr>
      </w:pPr>
    </w:p>
    <w:p>
      <w:pPr>
        <w:ind w:left="424" w:hanging="424"/>
        <w:spacing w:after="0"/>
        <w:tabs>
          <w:tab w:leader="none" w:pos="424" w:val="left"/>
        </w:tabs>
        <w:numPr>
          <w:ilvl w:val="0"/>
          <w:numId w:val="2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Counterparts</w:t>
      </w:r>
    </w:p>
    <w:p>
      <w:pPr>
        <w:spacing w:after="0" w:line="121"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This Agreement may be executed in two or more counterparts, each of which shall be deemed to be an original, but all of which together shall constitute one and the same instrument.</w:t>
      </w:r>
    </w:p>
    <w:p>
      <w:pPr>
        <w:spacing w:after="0" w:line="37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[Remainder of page intentionally left blank.]</w:t>
      </w:r>
    </w:p>
    <w:p>
      <w:pPr>
        <w:spacing w:after="0" w:line="229"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 * *</w:t>
      </w:r>
    </w:p>
    <w:p>
      <w:pPr>
        <w:sectPr>
          <w:pgSz w:w="11900" w:h="16838" w:orient="portrait"/>
          <w:cols w:equalWidth="0" w:num="1">
            <w:col w:w="10964"/>
          </w:cols>
          <w:pgMar w:left="436" w:top="266" w:right="49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Agreement to be duly executed on the date above written.</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SIXTH STREET LENDING PARTNERS</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Ian Simmonds</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4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b w:val="1"/>
          <w:bCs w:val="1"/>
          <w:color w:val="auto"/>
        </w:rPr>
        <w:t>SIXTH STREET LENDING PARTNERS ADVISERS,</w:t>
      </w:r>
    </w:p>
    <w:p>
      <w:pPr>
        <w:spacing w:after="0" w:line="4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LLC</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Ian Simmonds</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Vice President</w:t>
      </w:r>
    </w:p>
    <w:p>
      <w:pPr>
        <w:sectPr>
          <w:pgSz w:w="11900" w:h="16838" w:orient="portrait"/>
          <w:cols w:equalWidth="0" w:num="1">
            <w:col w:w="10800"/>
          </w:cols>
          <w:pgMar w:left="440" w:top="270" w:right="659" w:bottom="1440" w:gutter="0" w:footer="0" w:header="0"/>
        </w:sectPr>
      </w:pPr>
    </w:p>
    <w:bookmarkStart w:id="249" w:name="page250"/>
    <w:bookmarkEnd w:id="249"/>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OF ADMINISTRATION AGREEMENT</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117"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SIXTH STREET LENDING PARTNERS</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SIXTH STREET LENDING PARTNERS ADVISERS, LLC</w:t>
      </w:r>
    </w:p>
    <w:p>
      <w:pPr>
        <w:spacing w:after="0" w:line="229" w:lineRule="exact"/>
        <w:rPr>
          <w:sz w:val="20"/>
          <w:szCs w:val="20"/>
          <w:color w:val="auto"/>
        </w:rPr>
      </w:pPr>
    </w:p>
    <w:p>
      <w:pPr>
        <w:ind w:left="4" w:right="80"/>
        <w:spacing w:after="0" w:line="282" w:lineRule="auto"/>
        <w:rPr>
          <w:sz w:val="20"/>
          <w:szCs w:val="20"/>
          <w:color w:val="auto"/>
        </w:rPr>
      </w:pPr>
      <w:r>
        <w:rPr>
          <w:rFonts w:ascii="Times New Roman" w:cs="Times New Roman" w:eastAsia="Times New Roman" w:hAnsi="Times New Roman"/>
          <w:sz w:val="18"/>
          <w:szCs w:val="18"/>
          <w:color w:val="auto"/>
        </w:rPr>
        <w:t>This Agreement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as of June 28</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2022 by and between SIXTH STREET LENDING PARTNERS, a Delaware statutory trust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SIXTH STREET LENDING PARTNERS ADVISERS, LLC, a Delaware limited liability company (the “</w:t>
      </w:r>
      <w:r>
        <w:rPr>
          <w:rFonts w:ascii="Times New Roman" w:cs="Times New Roman" w:eastAsia="Times New Roman" w:hAnsi="Times New Roman"/>
          <w:sz w:val="18"/>
          <w:szCs w:val="18"/>
          <w:u w:val="single" w:color="auto"/>
          <w:color w:val="auto"/>
        </w:rPr>
        <w:t>Administrator</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 w:right="440"/>
        <w:spacing w:after="0" w:line="282" w:lineRule="auto"/>
        <w:rPr>
          <w:sz w:val="20"/>
          <w:szCs w:val="20"/>
          <w:color w:val="auto"/>
        </w:rPr>
      </w:pPr>
      <w:r>
        <w:rPr>
          <w:rFonts w:ascii="Times New Roman" w:cs="Times New Roman" w:eastAsia="Times New Roman" w:hAnsi="Times New Roman"/>
          <w:sz w:val="18"/>
          <w:szCs w:val="18"/>
          <w:color w:val="auto"/>
        </w:rPr>
        <w:t>WHEREAS, the Company is a closed-end management investment company that intends to elect to be treated as a business development company (“</w:t>
      </w:r>
      <w:r>
        <w:rPr>
          <w:rFonts w:ascii="Times New Roman" w:cs="Times New Roman" w:eastAsia="Times New Roman" w:hAnsi="Times New Roman"/>
          <w:sz w:val="18"/>
          <w:szCs w:val="18"/>
          <w:u w:val="single" w:color="auto"/>
          <w:color w:val="auto"/>
        </w:rPr>
        <w:t>BDC</w:t>
      </w:r>
      <w:r>
        <w:rPr>
          <w:rFonts w:ascii="Times New Roman" w:cs="Times New Roman" w:eastAsia="Times New Roman" w:hAnsi="Times New Roman"/>
          <w:sz w:val="18"/>
          <w:szCs w:val="18"/>
          <w:color w:val="auto"/>
        </w:rPr>
        <w:t>”) under the Investment Company Act of 1940, as amended (the “</w:t>
      </w: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 w:right="660"/>
        <w:spacing w:after="0" w:line="282" w:lineRule="auto"/>
        <w:rPr>
          <w:sz w:val="20"/>
          <w:szCs w:val="20"/>
          <w:color w:val="auto"/>
        </w:rPr>
      </w:pPr>
      <w:r>
        <w:rPr>
          <w:rFonts w:ascii="Times New Roman" w:cs="Times New Roman" w:eastAsia="Times New Roman" w:hAnsi="Times New Roman"/>
          <w:sz w:val="18"/>
          <w:szCs w:val="18"/>
          <w:color w:val="auto"/>
        </w:rPr>
        <w:t>WHEREAS, the Company desires to retain the Administrator to provide administrative services to the Company in the manner and on the terms hereinafter set forth; and</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WHEREAS, the Administrator is willing to provide administrative services to the Company on the terms and conditions hereafter set forth;</w:t>
      </w:r>
    </w:p>
    <w:p>
      <w:pPr>
        <w:spacing w:after="0" w:line="225" w:lineRule="exact"/>
        <w:rPr>
          <w:sz w:val="20"/>
          <w:szCs w:val="20"/>
          <w:color w:val="auto"/>
        </w:rPr>
      </w:pPr>
    </w:p>
    <w:p>
      <w:pPr>
        <w:ind w:left="4" w:right="640"/>
        <w:spacing w:after="0" w:line="282" w:lineRule="auto"/>
        <w:rPr>
          <w:sz w:val="20"/>
          <w:szCs w:val="20"/>
          <w:color w:val="auto"/>
        </w:rPr>
      </w:pPr>
      <w:r>
        <w:rPr>
          <w:rFonts w:ascii="Times New Roman" w:cs="Times New Roman" w:eastAsia="Times New Roman" w:hAnsi="Times New Roman"/>
          <w:sz w:val="18"/>
          <w:szCs w:val="18"/>
          <w:color w:val="auto"/>
        </w:rPr>
        <w:t>WHEREAS, the Company has entered into an Investment Advisory and Management Agreement by and between the Company and Sixth Street Lending Partners Advisers, LLC (the “</w:t>
      </w:r>
      <w:r>
        <w:rPr>
          <w:rFonts w:ascii="Times New Roman" w:cs="Times New Roman" w:eastAsia="Times New Roman" w:hAnsi="Times New Roman"/>
          <w:sz w:val="18"/>
          <w:szCs w:val="18"/>
          <w:u w:val="single" w:color="auto"/>
          <w:color w:val="auto"/>
        </w:rPr>
        <w:t>Adviser</w:t>
      </w:r>
      <w:r>
        <w:rPr>
          <w:rFonts w:ascii="Times New Roman" w:cs="Times New Roman" w:eastAsia="Times New Roman" w:hAnsi="Times New Roman"/>
          <w:sz w:val="18"/>
          <w:szCs w:val="18"/>
          <w:color w:val="auto"/>
        </w:rPr>
        <w:t>”), as amended from time to time (the “</w:t>
      </w:r>
      <w:r>
        <w:rPr>
          <w:rFonts w:ascii="Times New Roman" w:cs="Times New Roman" w:eastAsia="Times New Roman" w:hAnsi="Times New Roman"/>
          <w:sz w:val="18"/>
          <w:szCs w:val="18"/>
          <w:u w:val="single" w:color="auto"/>
          <w:color w:val="auto"/>
        </w:rPr>
        <w:t>Advisory Agreement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 w:right="160"/>
        <w:spacing w:after="0" w:line="282" w:lineRule="auto"/>
        <w:rPr>
          <w:sz w:val="20"/>
          <w:szCs w:val="20"/>
          <w:color w:val="auto"/>
        </w:rPr>
      </w:pPr>
      <w:r>
        <w:rPr>
          <w:rFonts w:ascii="Times New Roman" w:cs="Times New Roman" w:eastAsia="Times New Roman" w:hAnsi="Times New Roman"/>
          <w:sz w:val="18"/>
          <w:szCs w:val="18"/>
          <w:color w:val="auto"/>
        </w:rPr>
        <w:t>WHEREAS, the Company bears all costs and expenses incurred in its operation, administration and transactions which are not specifically assumed by the Adviser pursuant to the Advisory Agreement or this Agreement; and</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WHEREAS, the Advisory Agreement and this Agreement each set forth a non-exclusive list of expenses to be borne by the Company.</w:t>
      </w:r>
    </w:p>
    <w:p>
      <w:pPr>
        <w:spacing w:after="0" w:line="225" w:lineRule="exact"/>
        <w:rPr>
          <w:sz w:val="20"/>
          <w:szCs w:val="20"/>
          <w:color w:val="auto"/>
        </w:rPr>
      </w:pPr>
    </w:p>
    <w:p>
      <w:pPr>
        <w:ind w:left="4" w:right="52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the covenants hereinafter contained and for other good and valuable consideration, the receipt and adequacy of which is hereby acknowledged, the Company and the Administrator hereby agree as follows:</w:t>
      </w:r>
    </w:p>
    <w:p>
      <w:pPr>
        <w:spacing w:after="0" w:line="50" w:lineRule="exact"/>
        <w:rPr>
          <w:sz w:val="20"/>
          <w:szCs w:val="20"/>
          <w:color w:val="auto"/>
        </w:rPr>
      </w:pPr>
    </w:p>
    <w:p>
      <w:pPr>
        <w:ind w:left="184" w:hanging="184"/>
        <w:spacing w:after="0"/>
        <w:tabs>
          <w:tab w:leader="none" w:pos="184" w:val="left"/>
        </w:tabs>
        <w:numPr>
          <w:ilvl w:val="0"/>
          <w:numId w:val="2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Duties of the Administrator</w:t>
      </w:r>
    </w:p>
    <w:p>
      <w:pPr>
        <w:spacing w:after="0" w:line="121" w:lineRule="exact"/>
        <w:rPr>
          <w:sz w:val="20"/>
          <w:szCs w:val="20"/>
          <w:color w:val="auto"/>
        </w:rPr>
      </w:pPr>
    </w:p>
    <w:p>
      <w:pPr>
        <w:ind w:left="4" w:right="60" w:hanging="4"/>
        <w:spacing w:after="0" w:line="255" w:lineRule="auto"/>
        <w:tabs>
          <w:tab w:leader="none" w:pos="248"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Employment of Administrator.</w:t>
      </w:r>
      <w:r>
        <w:rPr>
          <w:rFonts w:ascii="Times New Roman" w:cs="Times New Roman" w:eastAsia="Times New Roman" w:hAnsi="Times New Roman"/>
          <w:sz w:val="18"/>
          <w:szCs w:val="18"/>
          <w:color w:val="auto"/>
        </w:rPr>
        <w:t xml:space="preserve"> The Company hereby employs the Administrator to act as administrator of the Company, and to furnish, or arrange for others to furnish, the administrative services, personnel and facilities described below, subject to review by and the overall control of the Board of Trustees or Directors, as applicable, of the Company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for the period and on the terms and conditions set forth in this Agreement. The Administrator hereby accepts such employment and agrees during such period to render, or arrange for the rendering of, such services and to assume the obligations herein set forth subject to the reimbursement of costs and expenses provided for below. The Administrator and such others shall for all purposes herein be deemed to be independent contractors and shall, unless otherwise expressly provided or authorized herein, have no authority to act for or represent the Company in any way or otherwise be deemed agents of the Company.</w:t>
      </w:r>
    </w:p>
    <w:p>
      <w:pPr>
        <w:spacing w:after="0" w:line="188" w:lineRule="exact"/>
        <w:rPr>
          <w:rFonts w:ascii="Times New Roman" w:cs="Times New Roman" w:eastAsia="Times New Roman" w:hAnsi="Times New Roman"/>
          <w:sz w:val="18"/>
          <w:szCs w:val="18"/>
          <w:color w:val="auto"/>
        </w:rPr>
      </w:pPr>
    </w:p>
    <w:p>
      <w:pPr>
        <w:jc w:val="both"/>
        <w:ind w:left="4" w:right="160" w:hanging="4"/>
        <w:spacing w:after="0" w:line="289" w:lineRule="auto"/>
        <w:tabs>
          <w:tab w:leader="none" w:pos="259" w:val="left"/>
        </w:tabs>
        <w:numPr>
          <w:ilvl w:val="0"/>
          <w:numId w:val="2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Services.</w:t>
      </w:r>
      <w:r>
        <w:rPr>
          <w:rFonts w:ascii="Times New Roman" w:cs="Times New Roman" w:eastAsia="Times New Roman" w:hAnsi="Times New Roman"/>
          <w:sz w:val="17"/>
          <w:szCs w:val="17"/>
          <w:color w:val="auto"/>
        </w:rPr>
        <w:t xml:space="preserve"> The Administrator shall perform (or oversee, or arrange for, the performance of) the administrative services necessary for the operation of the Company. Without limiting the generality of the foregoing, the Administrator shall provide the Company with office facilities, equipment, clerical, bookkeeping and record keeping services at such facilities and such other services as the Administrator, subject to review by the Board, shall from</w:t>
      </w:r>
    </w:p>
    <w:p>
      <w:pPr>
        <w:sectPr>
          <w:pgSz w:w="11900" w:h="16838" w:orient="portrait"/>
          <w:cols w:equalWidth="0" w:num="1">
            <w:col w:w="11024"/>
          </w:cols>
          <w:pgMar w:left="436" w:top="117" w:right="439" w:bottom="1440" w:gutter="0" w:footer="0" w:header="0"/>
        </w:sectPr>
      </w:pPr>
    </w:p>
    <w:bookmarkStart w:id="250" w:name="page251"/>
    <w:bookmarkEnd w:id="250"/>
    <w:p>
      <w:pPr>
        <w:ind w:left="4"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time to time determine to be necessary or useful to perform its obligations under this Agreement. The Administrator shall also, on behalf of the Company, conduct relations with custodians, depositories, transfer agents, dividend disbursing agents, other stockholder servicing agents, accountants, attorneys, underwriters, brokers and dealers, corporate fiduciaries, insurers, banks and such other persons in any such other capacity deemed to be necessary or desirable. The Administrator shall make reports to the Board of its performance of obligations hereunder and furnish advice and recommendations with respect to such other aspects of the business and affairs of the Company as it shall determine to be desirable;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herein shall be construed to require the Administrator to, and the Administrator shall not, in its capacity as Administrator pursuant to this Agreement, provide any advice or recommendation relating to the securities and other assets that the Company should purchase, retain or sell or any other investment advisory services to the Company. The Administrator shall be responsible for the financial and other records that the Company is required to maintain and shall prepare, print and disseminate reports to stockholders, and reports and other materials filed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The Administrator will provide on the Company’s behalf significant managerial assistance to those portfolio companies that request such assistance. In addition, the Administrator will assist the Company in determining and publishing (as necessary or appropriate) the Company’s net asset value, overseeing the preparation and filing of the Company’s tax returns, and generally overseeing the payment of the Company’s expenses and the performance of administrative and professional services rendered to the Company by others.</w:t>
      </w:r>
    </w:p>
    <w:p>
      <w:pPr>
        <w:spacing w:after="0" w:line="291" w:lineRule="exact"/>
        <w:rPr>
          <w:sz w:val="20"/>
          <w:szCs w:val="20"/>
          <w:color w:val="auto"/>
        </w:rPr>
      </w:pPr>
    </w:p>
    <w:p>
      <w:pPr>
        <w:ind w:left="184" w:hanging="184"/>
        <w:spacing w:after="0"/>
        <w:tabs>
          <w:tab w:leader="none" w:pos="184" w:val="left"/>
        </w:tabs>
        <w:numPr>
          <w:ilvl w:val="0"/>
          <w:numId w:val="2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Records</w:t>
      </w:r>
    </w:p>
    <w:p>
      <w:pPr>
        <w:spacing w:after="0" w:line="121" w:lineRule="exact"/>
        <w:rPr>
          <w:sz w:val="20"/>
          <w:szCs w:val="20"/>
          <w:color w:val="auto"/>
        </w:rPr>
      </w:pPr>
    </w:p>
    <w:p>
      <w:pPr>
        <w:ind w:left="4" w:right="80"/>
        <w:spacing w:after="0" w:line="254" w:lineRule="auto"/>
        <w:rPr>
          <w:sz w:val="20"/>
          <w:szCs w:val="20"/>
          <w:color w:val="auto"/>
        </w:rPr>
      </w:pPr>
      <w:r>
        <w:rPr>
          <w:rFonts w:ascii="Times New Roman" w:cs="Times New Roman" w:eastAsia="Times New Roman" w:hAnsi="Times New Roman"/>
          <w:sz w:val="18"/>
          <w:szCs w:val="18"/>
          <w:color w:val="auto"/>
        </w:rPr>
        <w:t>The Administrator agrees to maintain and keep all books, accounts and other records of the Company that relate to activities performed by the Administrator hereunder and will maintain and keep such books, accounts and records in accordance with the Investment Company Act. In compliance with the requirements of Rule 31a-3 under the Investment Company Act, the Administrator agrees that all records which it maintains for the Company shall at all times remain the property of the Company, shall be readily accessible during normal business hours, and shall be promptly surrendered upon the termination of the Agreement or otherwise on written request. The Administrator further agrees that all records which it maintains for the Company pursuant to Rule 31a-1 under the Investment Company Act will be preserved for the periods prescribed by Rule 31a-2 under the Investment Company Act unless any such records are earlier surrendered as provided above. Records shall be surrendered in usable machine-readable form. The Administrator shall have the right to retain copies of such records subject to observance of its confidentiality obligations under this Agreement.</w:t>
      </w:r>
    </w:p>
    <w:p>
      <w:pPr>
        <w:spacing w:after="0" w:line="296" w:lineRule="exact"/>
        <w:rPr>
          <w:sz w:val="20"/>
          <w:szCs w:val="20"/>
          <w:color w:val="auto"/>
        </w:rPr>
      </w:pPr>
    </w:p>
    <w:p>
      <w:pPr>
        <w:ind w:left="184" w:hanging="184"/>
        <w:spacing w:after="0"/>
        <w:tabs>
          <w:tab w:leader="none" w:pos="184" w:val="left"/>
        </w:tabs>
        <w:numPr>
          <w:ilvl w:val="0"/>
          <w:numId w:val="2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Confidentiality</w:t>
      </w:r>
    </w:p>
    <w:p>
      <w:pPr>
        <w:spacing w:after="0" w:line="121" w:lineRule="exact"/>
        <w:rPr>
          <w:sz w:val="20"/>
          <w:szCs w:val="20"/>
          <w:color w:val="auto"/>
        </w:rPr>
      </w:pPr>
    </w:p>
    <w:p>
      <w:pPr>
        <w:ind w:left="4" w:right="20"/>
        <w:spacing w:after="0" w:line="255" w:lineRule="auto"/>
        <w:rPr>
          <w:sz w:val="20"/>
          <w:szCs w:val="20"/>
          <w:color w:val="auto"/>
        </w:rPr>
      </w:pPr>
      <w:r>
        <w:rPr>
          <w:rFonts w:ascii="Times New Roman" w:cs="Times New Roman" w:eastAsia="Times New Roman" w:hAnsi="Times New Roman"/>
          <w:sz w:val="18"/>
          <w:szCs w:val="18"/>
          <w:color w:val="auto"/>
        </w:rPr>
        <w:t>The parties hereto agree that each shall treat confidentially the terms and conditions of this Agreement and all information provided by each party to the other regarding its business and operations. All confidential information provided by a party hereto, including nonpublic personal information (regulated pursuant to Regulation S-P of the SEC), shall be used by any other party hereto solely for the purpose of rendering services pursuant to this Agreement and, except as may be required in carrying out this Agreement, shall not be disclosed to any third party, without the prior consent of such providing party. The foregoing shall not be applicable to any information that is publicly available when provided or thereafter becomes publicly available other than through a breach of this Agreement, or that is required to be disclosed by any regulatory authority, any authority or legal counsel of the parties hereto, by judicial or administrative process or otherwise by applicable law or regulation.</w:t>
      </w:r>
    </w:p>
    <w:p>
      <w:pPr>
        <w:spacing w:after="0" w:line="293" w:lineRule="exact"/>
        <w:rPr>
          <w:sz w:val="20"/>
          <w:szCs w:val="20"/>
          <w:color w:val="auto"/>
        </w:rPr>
      </w:pPr>
    </w:p>
    <w:p>
      <w:pPr>
        <w:ind w:left="184" w:hanging="184"/>
        <w:spacing w:after="0"/>
        <w:tabs>
          <w:tab w:leader="none" w:pos="184" w:val="left"/>
        </w:tabs>
        <w:numPr>
          <w:ilvl w:val="0"/>
          <w:numId w:val="2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Compensation; Allocation of Costs and Expenses</w:t>
      </w:r>
    </w:p>
    <w:p>
      <w:pPr>
        <w:spacing w:after="0" w:line="121" w:lineRule="exact"/>
        <w:rPr>
          <w:sz w:val="20"/>
          <w:szCs w:val="20"/>
          <w:color w:val="auto"/>
        </w:rPr>
      </w:pPr>
    </w:p>
    <w:p>
      <w:pPr>
        <w:ind w:left="4"/>
        <w:spacing w:after="0" w:line="274" w:lineRule="auto"/>
        <w:rPr>
          <w:sz w:val="20"/>
          <w:szCs w:val="20"/>
          <w:color w:val="auto"/>
        </w:rPr>
      </w:pPr>
      <w:r>
        <w:rPr>
          <w:rFonts w:ascii="Times New Roman" w:cs="Times New Roman" w:eastAsia="Times New Roman" w:hAnsi="Times New Roman"/>
          <w:sz w:val="17"/>
          <w:szCs w:val="17"/>
          <w:color w:val="auto"/>
        </w:rPr>
        <w:t>In full consideration of the provision of the services of the Administrator, the Company shall reimburse the Administrator for the costs and expenses incurred by the Administrator in performing its obligations and providing personnel and facilities hereunder, it being understood and agreed that, except as otherwise provided herein or in the Advisory Agreement, the Administrator shall be solely responsible for the compensation of its investment professionals and its allocable portion of the compensation of any personnel that provide it operational or administrative services, as well as the allocable portion of overhead expenses (including rent, office equipment and utilities) attributable thereto. The Company will bear all costs and expenses that are incurred in its operation, administration and transactions and not specifically assumed by the Adviser pursuant to the Advisory Agreement.</w:t>
      </w:r>
    </w:p>
    <w:p>
      <w:pPr>
        <w:sectPr>
          <w:pgSz w:w="11900" w:h="16838" w:orient="portrait"/>
          <w:cols w:equalWidth="0" w:num="1">
            <w:col w:w="11004"/>
          </w:cols>
          <w:pgMar w:left="436" w:top="270" w:right="459" w:bottom="1440" w:gutter="0" w:footer="0" w:header="0"/>
        </w:sectPr>
      </w:pPr>
    </w:p>
    <w:bookmarkStart w:id="251" w:name="page252"/>
    <w:bookmarkEnd w:id="25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Costs and expenses to be borne by the Company include, but are not limited to, those relating to:</w:t>
      </w:r>
    </w:p>
    <w:p>
      <w:pPr>
        <w:spacing w:after="0" w:line="131" w:lineRule="exact"/>
        <w:rPr>
          <w:sz w:val="20"/>
          <w:szCs w:val="20"/>
          <w:color w:val="auto"/>
        </w:rPr>
      </w:pPr>
    </w:p>
    <w:p>
      <w:pPr>
        <w:ind w:left="424" w:right="360" w:hanging="424"/>
        <w:spacing w:after="0" w:line="266" w:lineRule="auto"/>
        <w:tabs>
          <w:tab w:leader="none" w:pos="424"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organizational and offering expenses related to the Company’s initial private offering of its common shares (the “</w:t>
      </w:r>
      <w:r>
        <w:rPr>
          <w:rFonts w:ascii="Times New Roman" w:cs="Times New Roman" w:eastAsia="Times New Roman" w:hAnsi="Times New Roman"/>
          <w:sz w:val="18"/>
          <w:szCs w:val="18"/>
          <w:u w:val="single" w:color="auto"/>
          <w:color w:val="auto"/>
        </w:rPr>
        <w:t>Common Shares</w:t>
      </w:r>
      <w:r>
        <w:rPr>
          <w:rFonts w:ascii="Times New Roman" w:cs="Times New Roman" w:eastAsia="Times New Roman" w:hAnsi="Times New Roman"/>
          <w:sz w:val="18"/>
          <w:szCs w:val="18"/>
          <w:color w:val="auto"/>
        </w:rPr>
        <w:t>”) (up to an aggregate of 0.10% of total capital commitments to the Company, it being understood and agreed that the Adviser shall bear all such organizational and offering expenses related to the Company’s initial private offering of the Common Shares in excess of such amount);</w:t>
      </w:r>
    </w:p>
    <w:p>
      <w:pPr>
        <w:spacing w:after="0" w:line="8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calculating individual asset values and the Company’s net asset value (including the cost and expenses of any independent valuation firms);</w:t>
      </w:r>
    </w:p>
    <w:p>
      <w:pPr>
        <w:spacing w:after="0" w:line="130" w:lineRule="exact"/>
        <w:rPr>
          <w:rFonts w:ascii="Times New Roman" w:cs="Times New Roman" w:eastAsia="Times New Roman" w:hAnsi="Times New Roman"/>
          <w:sz w:val="18"/>
          <w:szCs w:val="18"/>
          <w:color w:val="auto"/>
        </w:rPr>
      </w:pPr>
    </w:p>
    <w:p>
      <w:pPr>
        <w:ind w:left="424" w:right="260" w:hanging="424"/>
        <w:spacing w:after="0" w:line="258" w:lineRule="auto"/>
        <w:tabs>
          <w:tab w:leader="none" w:pos="424"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including travel expenses, incurred by the Adviser, or the Company’s team of investment professionals (the “</w:t>
      </w:r>
      <w:r>
        <w:rPr>
          <w:rFonts w:ascii="Times New Roman" w:cs="Times New Roman" w:eastAsia="Times New Roman" w:hAnsi="Times New Roman"/>
          <w:sz w:val="18"/>
          <w:szCs w:val="18"/>
          <w:u w:val="single" w:color="auto"/>
          <w:color w:val="auto"/>
        </w:rPr>
        <w:t>Investment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Team</w:t>
      </w:r>
      <w:r>
        <w:rPr>
          <w:rFonts w:ascii="Times New Roman" w:cs="Times New Roman" w:eastAsia="Times New Roman" w:hAnsi="Times New Roman"/>
          <w:sz w:val="18"/>
          <w:szCs w:val="18"/>
          <w:color w:val="auto"/>
        </w:rPr>
        <w:t>”), or payable to third parties, in respect of due diligence on prospective portfolio companies and, if necessary, in respect of enforcing the Company’s rights with respect to investments in existing portfolio companies, including, among others, professional fees (including, without limitation, the fees and expenses of consultants and experts) and fees and expenses relating to, or associated with, evaluating, monitoring, researching and performing due diligence on investments and prospective investments;</w:t>
      </w:r>
    </w:p>
    <w:p>
      <w:pPr>
        <w:spacing w:after="0" w:line="88" w:lineRule="exact"/>
        <w:rPr>
          <w:rFonts w:ascii="Times New Roman" w:cs="Times New Roman" w:eastAsia="Times New Roman" w:hAnsi="Times New Roman"/>
          <w:sz w:val="18"/>
          <w:szCs w:val="18"/>
          <w:color w:val="auto"/>
        </w:rPr>
      </w:pPr>
    </w:p>
    <w:p>
      <w:pPr>
        <w:ind w:left="424" w:hanging="424"/>
        <w:spacing w:after="0" w:line="282" w:lineRule="auto"/>
        <w:tabs>
          <w:tab w:leader="none" w:pos="424"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diligence and research expenses (including an allocable portion of any research or other service that may deemed to be bundled for the benefit of the Company), as well as the information technology systems used to obtain such research and other information;</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any public offerings of the Common Shares or the Company’s other securities, including registration and listing fees;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management fee and any incentive fee;</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costs and expenses relating to distributions paid on the Common Shares;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administration fees payable under this Agreement;</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service and other costs of borrowings or other financing arrangements;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Adviser’s allocable share of costs incurred in providing significant managerial assistance to those portfolio companies that request it;</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payable to third parties relating to, or associated with, making or holding investments;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agent and custodial fees;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derivatives and hedging;</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commissions and other compensation payable to brokers or dealers;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and governmental fees;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Trustee/Director (as defined below) fees and expenses;</w:t>
      </w:r>
    </w:p>
    <w:p>
      <w:pPr>
        <w:spacing w:after="0" w:line="130" w:lineRule="exact"/>
        <w:rPr>
          <w:rFonts w:ascii="Times New Roman" w:cs="Times New Roman" w:eastAsia="Times New Roman" w:hAnsi="Times New Roman"/>
          <w:sz w:val="18"/>
          <w:szCs w:val="18"/>
          <w:color w:val="auto"/>
        </w:rPr>
      </w:pPr>
    </w:p>
    <w:p>
      <w:pPr>
        <w:ind w:left="424" w:right="20" w:hanging="424"/>
        <w:spacing w:after="0" w:line="261" w:lineRule="auto"/>
        <w:tabs>
          <w:tab w:leader="none" w:pos="424"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the Company’s chief financial officer and chief compliance officer and their respective staffs;</w:t>
      </w:r>
    </w:p>
    <w:p>
      <w:pPr>
        <w:spacing w:after="0" w:line="85" w:lineRule="exact"/>
        <w:rPr>
          <w:rFonts w:ascii="Times New Roman" w:cs="Times New Roman" w:eastAsia="Times New Roman" w:hAnsi="Times New Roman"/>
          <w:sz w:val="18"/>
          <w:szCs w:val="18"/>
          <w:color w:val="auto"/>
        </w:rPr>
      </w:pPr>
    </w:p>
    <w:p>
      <w:pPr>
        <w:jc w:val="both"/>
        <w:ind w:left="424" w:right="80" w:hanging="424"/>
        <w:spacing w:after="0" w:line="282" w:lineRule="auto"/>
        <w:tabs>
          <w:tab w:leader="none" w:pos="424"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any reports, proxy statements or other notices to the Company’s Shareholders (including printing and mailing costs), the costs of any Shareholders’ meetings and the compensation of investor relations personnel responsible for the preparation of the foregoing and related matters;</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fidelity bond;</w:t>
      </w:r>
    </w:p>
    <w:p>
      <w:pPr>
        <w:sectPr>
          <w:pgSz w:w="11900" w:h="16838" w:orient="portrait"/>
          <w:cols w:equalWidth="0" w:num="1">
            <w:col w:w="10964"/>
          </w:cols>
          <w:pgMar w:left="436" w:top="270" w:right="499" w:bottom="1440" w:gutter="0" w:footer="0" w:header="0"/>
        </w:sectPr>
      </w:pPr>
    </w:p>
    <w:bookmarkStart w:id="252" w:name="page253"/>
    <w:bookmarkEnd w:id="252"/>
    <w:p>
      <w:pPr>
        <w:ind w:left="424" w:hanging="424"/>
        <w:spacing w:after="0"/>
        <w:tabs>
          <w:tab w:leader="none" w:pos="424"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trustee/director and officers/errors and omissions liability insurance, and any other insurance premiums;</w:t>
      </w:r>
    </w:p>
    <w:p>
      <w:pPr>
        <w:spacing w:after="0" w:line="130" w:lineRule="exact"/>
        <w:rPr>
          <w:rFonts w:ascii="Times New Roman" w:cs="Times New Roman" w:eastAsia="Times New Roman" w:hAnsi="Times New Roman"/>
          <w:sz w:val="18"/>
          <w:szCs w:val="18"/>
          <w:color w:val="auto"/>
        </w:rPr>
      </w:pPr>
    </w:p>
    <w:p>
      <w:pPr>
        <w:ind w:left="424" w:right="200" w:hanging="424"/>
        <w:spacing w:after="0" w:line="282" w:lineRule="auto"/>
        <w:tabs>
          <w:tab w:leader="none" w:pos="424"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technology and related costs, including costs related to software, hardware and other technological systems (including specialty and custom software);</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payments;</w:t>
      </w:r>
    </w:p>
    <w:p>
      <w:pPr>
        <w:spacing w:after="0" w:line="130" w:lineRule="exact"/>
        <w:rPr>
          <w:rFonts w:ascii="Times New Roman" w:cs="Times New Roman" w:eastAsia="Times New Roman" w:hAnsi="Times New Roman"/>
          <w:sz w:val="18"/>
          <w:szCs w:val="18"/>
          <w:color w:val="auto"/>
        </w:rPr>
      </w:pPr>
    </w:p>
    <w:p>
      <w:pPr>
        <w:ind w:left="424" w:right="60" w:hanging="424"/>
        <w:spacing w:after="0" w:line="282" w:lineRule="auto"/>
        <w:tabs>
          <w:tab w:leader="none" w:pos="424"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incurred in connection with any claim, litigation, arbitration, mediation, government investigation or dispute in connection with the business of the Company and the amount of any judgment or settlement paid in connection therewith;</w:t>
      </w:r>
    </w:p>
    <w:p>
      <w:pPr>
        <w:spacing w:after="0" w:line="67" w:lineRule="exact"/>
        <w:rPr>
          <w:rFonts w:ascii="Times New Roman" w:cs="Times New Roman" w:eastAsia="Times New Roman" w:hAnsi="Times New Roman"/>
          <w:sz w:val="18"/>
          <w:szCs w:val="18"/>
          <w:color w:val="auto"/>
        </w:rPr>
      </w:pPr>
    </w:p>
    <w:p>
      <w:pPr>
        <w:ind w:left="424" w:right="40" w:hanging="424"/>
        <w:spacing w:after="0" w:line="281" w:lineRule="auto"/>
        <w:tabs>
          <w:tab w:leader="none" w:pos="424" w:val="left"/>
        </w:tabs>
        <w:numPr>
          <w:ilvl w:val="0"/>
          <w:numId w:val="2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fees, costs and expenses, if any, incurred by or on behalf of the Company in developing, negotiating and structuring prospective or potential investments that are not ultimately made, including, without limitation any reverse termination fees and any liquidated damages, commitment fees that become payable in connection with any proposed investment that is not ultimately made, forfeited deposits or similar payments, including expenses relating to unconsummated investments that may have been attributable to co-investors had such investments been consummated;</w:t>
      </w:r>
    </w:p>
    <w:p>
      <w:pPr>
        <w:spacing w:after="0" w:line="69" w:lineRule="exact"/>
        <w:rPr>
          <w:rFonts w:ascii="Times New Roman" w:cs="Times New Roman" w:eastAsia="Times New Roman" w:hAnsi="Times New Roman"/>
          <w:sz w:val="17"/>
          <w:szCs w:val="17"/>
          <w:color w:val="auto"/>
        </w:rPr>
      </w:pPr>
    </w:p>
    <w:p>
      <w:pPr>
        <w:ind w:left="424" w:right="100" w:hanging="424"/>
        <w:spacing w:after="0" w:line="256" w:lineRule="auto"/>
        <w:tabs>
          <w:tab w:leader="none" w:pos="424"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costs, including all fees, costs and expenses incurred in sourcing, evaluating, developing, negotiating, structuring, trading (including trading errors), settling, monitoring and holding prospective or actual investments or investment strategies including, without limitation, any financing, legal, filing, auditing, tax, accounting, compliance, loan administration, travel, meals, accommodations and entertainment, advisory, consulting, engineering, data-related and other professional fees, costs and expenses in connection therewith (to the extent the Adviser is not reimbursed by a prospective or actual issuer of the applicable investment or other third parties or capitalized as part of the acquisition price of the transaction);</w:t>
      </w:r>
    </w:p>
    <w:p>
      <w:pPr>
        <w:spacing w:after="0" w:line="92"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costs and expenses of administration, including audit, accounting, consulting and legal costs; and</w:t>
      </w:r>
    </w:p>
    <w:p>
      <w:pPr>
        <w:spacing w:after="0" w:line="131" w:lineRule="exact"/>
        <w:rPr>
          <w:sz w:val="20"/>
          <w:szCs w:val="20"/>
          <w:color w:val="auto"/>
        </w:rPr>
      </w:pPr>
    </w:p>
    <w:p>
      <w:pPr>
        <w:ind w:left="424" w:right="160" w:hanging="424"/>
        <w:spacing w:after="0" w:line="282" w:lineRule="auto"/>
        <w:tabs>
          <w:tab w:leader="none" w:pos="424"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expenses reasonably incurred by Company or the Administrator in connection with making investments, overseeing administrators, and administering the Company’s business not otherwise expressly payable by the Administrator pursuant to this Agreement or pursuant hereto.</w:t>
      </w:r>
    </w:p>
    <w:p>
      <w:pPr>
        <w:spacing w:after="0" w:line="162" w:lineRule="exact"/>
        <w:rPr>
          <w:sz w:val="20"/>
          <w:szCs w:val="20"/>
          <w:color w:val="auto"/>
        </w:rPr>
      </w:pPr>
    </w:p>
    <w:p>
      <w:pPr>
        <w:ind w:left="4"/>
        <w:spacing w:after="0" w:line="255" w:lineRule="auto"/>
        <w:rPr>
          <w:sz w:val="20"/>
          <w:szCs w:val="20"/>
          <w:color w:val="auto"/>
        </w:rPr>
      </w:pPr>
      <w:r>
        <w:rPr>
          <w:rFonts w:ascii="Times New Roman" w:cs="Times New Roman" w:eastAsia="Times New Roman" w:hAnsi="Times New Roman"/>
          <w:sz w:val="18"/>
          <w:szCs w:val="18"/>
          <w:color w:val="auto"/>
        </w:rPr>
        <w:t>For the avoidance of doubt, the Company will bear its allocable portion of the costs of the compensation, benefits, and related administrative expenses (including travel expenses) of the Company’s officers who provide operational and administrative services hereunder, their respective staffs and other professionals who provide services to the Company (including, in each case, employees of the Administrator or an affiliate) who assist with the preparation, coordination, and administration of the foregoing or provide other “back office” or “middle office” financial or operational services to the Company. Notwithstanding anything to the contrary contained herein, the Company shall reimburse the Adviser (or its affiliates) for an allocable portion of the compensation paid by the Adviser (or its affiliates) to such individuals (based on a percentage of time such individuals devote, on an estimated basis, to the business and affairs of the Company and in acting on behalf of the Company).</w:t>
      </w:r>
    </w:p>
    <w:p>
      <w:pPr>
        <w:spacing w:after="0" w:line="293" w:lineRule="exact"/>
        <w:rPr>
          <w:sz w:val="20"/>
          <w:szCs w:val="20"/>
          <w:color w:val="auto"/>
        </w:rPr>
      </w:pPr>
    </w:p>
    <w:p>
      <w:pPr>
        <w:ind w:left="184" w:hanging="184"/>
        <w:spacing w:after="0"/>
        <w:tabs>
          <w:tab w:leader="none" w:pos="184" w:val="left"/>
        </w:tabs>
        <w:numPr>
          <w:ilvl w:val="0"/>
          <w:numId w:val="2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Limitation of Liability of the Administrator; Indemnification</w:t>
      </w:r>
    </w:p>
    <w:p>
      <w:pPr>
        <w:spacing w:after="0" w:line="121" w:lineRule="exact"/>
        <w:rPr>
          <w:sz w:val="20"/>
          <w:szCs w:val="20"/>
          <w:color w:val="auto"/>
        </w:rPr>
      </w:pPr>
    </w:p>
    <w:p>
      <w:pPr>
        <w:ind w:left="4"/>
        <w:spacing w:after="0" w:line="254" w:lineRule="auto"/>
        <w:rPr>
          <w:sz w:val="20"/>
          <w:szCs w:val="20"/>
          <w:color w:val="auto"/>
        </w:rPr>
      </w:pPr>
      <w:r>
        <w:rPr>
          <w:rFonts w:ascii="Times New Roman" w:cs="Times New Roman" w:eastAsia="Times New Roman" w:hAnsi="Times New Roman"/>
          <w:sz w:val="18"/>
          <w:szCs w:val="18"/>
          <w:color w:val="auto"/>
        </w:rPr>
        <w:t>The Administrator (and its members, managers, officers, employees, agents, controlling persons and any other person or entity affiliated with it) shall not be liable to the Company for any action taken or omitted to be taken by the Administrator in connection with the performance of any of its duties or obligations under this Agreement or otherwise as administrator for the Company. As permitted by the Company’s organizational documents, the Company shall,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by reason of the fact that he/she is or was a member, manager, officer, employee, agent, controlling person or any other person or entity affiliated with the Administrator (each such person hereinafter an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xml:space="preserve">”), on the same general terms set forth in the Company’s organizational documents, the terms of which are incorporated herein </w:t>
      </w:r>
      <w:r>
        <w:rPr>
          <w:rFonts w:ascii="Times New Roman" w:cs="Times New Roman" w:eastAsia="Times New Roman" w:hAnsi="Times New Roman"/>
          <w:sz w:val="18"/>
          <w:szCs w:val="18"/>
          <w:i w:val="1"/>
          <w:iCs w:val="1"/>
          <w:color w:val="auto"/>
        </w:rPr>
        <w:t>mutatis mutandi</w:t>
      </w:r>
      <w:r>
        <w:rPr>
          <w:rFonts w:ascii="Times New Roman" w:cs="Times New Roman" w:eastAsia="Times New Roman" w:hAnsi="Times New Roman"/>
          <w:sz w:val="18"/>
          <w:szCs w:val="18"/>
          <w:color w:val="auto"/>
        </w:rPr>
        <w:t xml:space="preserve"> as applied to the Indemnitees.</w:t>
      </w:r>
    </w:p>
    <w:p>
      <w:pPr>
        <w:sectPr>
          <w:pgSz w:w="11900" w:h="16838" w:orient="portrait"/>
          <w:cols w:equalWidth="0" w:num="1">
            <w:col w:w="11004"/>
          </w:cols>
          <w:pgMar w:left="436" w:top="270" w:right="459" w:bottom="1440" w:gutter="0" w:footer="0" w:header="0"/>
        </w:sectPr>
      </w:pPr>
    </w:p>
    <w:bookmarkStart w:id="253" w:name="page254"/>
    <w:bookmarkEnd w:id="253"/>
    <w:p>
      <w:pPr>
        <w:ind w:left="184" w:hanging="184"/>
        <w:spacing w:after="0"/>
        <w:tabs>
          <w:tab w:leader="none" w:pos="184" w:val="left"/>
        </w:tabs>
        <w:numPr>
          <w:ilvl w:val="0"/>
          <w:numId w:val="2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Activities of the Administrator</w:t>
      </w:r>
    </w:p>
    <w:p>
      <w:pPr>
        <w:spacing w:after="0" w:line="121" w:lineRule="exact"/>
        <w:rPr>
          <w:sz w:val="20"/>
          <w:szCs w:val="20"/>
          <w:color w:val="auto"/>
        </w:rPr>
      </w:pPr>
    </w:p>
    <w:p>
      <w:pPr>
        <w:ind w:left="4" w:right="240"/>
        <w:spacing w:after="0" w:line="258" w:lineRule="auto"/>
        <w:rPr>
          <w:sz w:val="20"/>
          <w:szCs w:val="20"/>
          <w:color w:val="auto"/>
        </w:rPr>
      </w:pPr>
      <w:r>
        <w:rPr>
          <w:rFonts w:ascii="Times New Roman" w:cs="Times New Roman" w:eastAsia="Times New Roman" w:hAnsi="Times New Roman"/>
          <w:sz w:val="18"/>
          <w:szCs w:val="18"/>
          <w:color w:val="auto"/>
        </w:rPr>
        <w:t>The services of the Administrator to the Company are not to be deemed to be exclusive, and the Administrator and each affiliate is free to render services to others. It is understood that directors, officers, employees and stockholders of the Company are or may become interested in the Administrator and its affiliates, as directors, officers, members, managers, employees, partners, stockholders or otherwise, and that the Administrator and directors, officers, members, managers, employees, partners and stockholders of the Administrator and its affiliates are or may become similarly interested in the Company as stockholders or otherwise.</w:t>
      </w:r>
    </w:p>
    <w:p>
      <w:pPr>
        <w:spacing w:after="0" w:line="287" w:lineRule="exact"/>
        <w:rPr>
          <w:sz w:val="20"/>
          <w:szCs w:val="20"/>
          <w:color w:val="auto"/>
        </w:rPr>
      </w:pPr>
    </w:p>
    <w:p>
      <w:pPr>
        <w:ind w:left="184" w:hanging="184"/>
        <w:spacing w:after="0"/>
        <w:tabs>
          <w:tab w:leader="none" w:pos="184" w:val="left"/>
        </w:tabs>
        <w:numPr>
          <w:ilvl w:val="0"/>
          <w:numId w:val="2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Duration and Termination of this Agreement</w:t>
      </w:r>
    </w:p>
    <w:p>
      <w:pPr>
        <w:spacing w:after="0" w:line="121" w:lineRule="exact"/>
        <w:rPr>
          <w:sz w:val="20"/>
          <w:szCs w:val="20"/>
          <w:color w:val="auto"/>
        </w:rPr>
      </w:pPr>
    </w:p>
    <w:p>
      <w:pPr>
        <w:ind w:left="4" w:hanging="4"/>
        <w:spacing w:after="0" w:line="282" w:lineRule="auto"/>
        <w:tabs>
          <w:tab w:leader="none" w:pos="245"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continue in effect for two years from the date hereof, and thereafter shall continue automatically for successive annual periods, provided that such continuance is specifically approved at least annually by:</w:t>
      </w:r>
    </w:p>
    <w:p>
      <w:pPr>
        <w:spacing w:after="0" w:line="53" w:lineRule="exact"/>
        <w:rPr>
          <w:rFonts w:ascii="Times New Roman" w:cs="Times New Roman" w:eastAsia="Times New Roman" w:hAnsi="Times New Roman"/>
          <w:sz w:val="18"/>
          <w:szCs w:val="18"/>
          <w:color w:val="auto"/>
        </w:rPr>
      </w:pPr>
    </w:p>
    <w:p>
      <w:pPr>
        <w:ind w:left="664" w:hanging="224"/>
        <w:spacing w:after="0"/>
        <w:tabs>
          <w:tab w:leader="none" w:pos="664"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vote of the Board, or by the vote of a majority of the outstanding voting securities of the Company; and</w:t>
      </w:r>
    </w:p>
    <w:p>
      <w:pPr>
        <w:spacing w:after="0" w:line="117" w:lineRule="exact"/>
        <w:rPr>
          <w:rFonts w:ascii="Times New Roman" w:cs="Times New Roman" w:eastAsia="Times New Roman" w:hAnsi="Times New Roman"/>
          <w:sz w:val="18"/>
          <w:szCs w:val="18"/>
          <w:color w:val="auto"/>
        </w:rPr>
      </w:pPr>
    </w:p>
    <w:p>
      <w:pPr>
        <w:ind w:left="444" w:right="320" w:hanging="4"/>
        <w:spacing w:after="0" w:line="266" w:lineRule="auto"/>
        <w:tabs>
          <w:tab w:leader="none" w:pos="709"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vote of a majority of the Company’s trustees/directors who are not parties to this Agreement or “interested persons” (as such term is defined in Section 2(a)(19) of the Investment Company Act) (the “</w:t>
      </w:r>
      <w:r>
        <w:rPr>
          <w:rFonts w:ascii="Times New Roman" w:cs="Times New Roman" w:eastAsia="Times New Roman" w:hAnsi="Times New Roman"/>
          <w:sz w:val="18"/>
          <w:szCs w:val="18"/>
          <w:u w:val="single" w:color="auto"/>
          <w:color w:val="auto"/>
        </w:rPr>
        <w:t>Independent Trustees/Directors</w:t>
      </w:r>
      <w:r>
        <w:rPr>
          <w:rFonts w:ascii="Times New Roman" w:cs="Times New Roman" w:eastAsia="Times New Roman" w:hAnsi="Times New Roman"/>
          <w:sz w:val="18"/>
          <w:szCs w:val="18"/>
          <w:color w:val="auto"/>
        </w:rPr>
        <w:t>”) of any such party, in accordance with the requirements of the Investment Company Act.</w:t>
      </w:r>
    </w:p>
    <w:p>
      <w:pPr>
        <w:spacing w:after="0" w:line="175" w:lineRule="exact"/>
        <w:rPr>
          <w:rFonts w:ascii="Times New Roman" w:cs="Times New Roman" w:eastAsia="Times New Roman" w:hAnsi="Times New Roman"/>
          <w:sz w:val="18"/>
          <w:szCs w:val="18"/>
          <w:color w:val="auto"/>
        </w:rPr>
      </w:pPr>
    </w:p>
    <w:p>
      <w:pPr>
        <w:ind w:left="4" w:right="320" w:hanging="4"/>
        <w:spacing w:after="0" w:line="282" w:lineRule="auto"/>
        <w:tabs>
          <w:tab w:leader="none" w:pos="259"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 may be terminated at any time, without the payment of any penalty, upon not more than 60 days’ written notice, by the vote of a majority of the outstanding voting securities of the Company, or by the vote of the Board or by the Administrator.</w:t>
      </w:r>
    </w:p>
    <w:p>
      <w:pPr>
        <w:spacing w:after="0" w:line="161" w:lineRule="exact"/>
        <w:rPr>
          <w:rFonts w:ascii="Times New Roman" w:cs="Times New Roman" w:eastAsia="Times New Roman" w:hAnsi="Times New Roman"/>
          <w:sz w:val="18"/>
          <w:szCs w:val="18"/>
          <w:color w:val="auto"/>
        </w:rPr>
      </w:pPr>
    </w:p>
    <w:p>
      <w:pPr>
        <w:ind w:left="4" w:right="200" w:hanging="4"/>
        <w:spacing w:after="0" w:line="256" w:lineRule="auto"/>
        <w:tabs>
          <w:tab w:leader="none" w:pos="249"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may not be assigned by a party without the consent of the other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rights and obligations of the Company under this Agreement shall not be deemed to be assigned to a newly formed entity in the event of the merger of the Company into, or conveyance of all of the assets of the Company to, such newly formed entity;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sole purpose of that merger or conveyance is to effect a mere change in the Company’s legal form into another limited liability entity. The provisions of Section 5 of this Agreement shall remain in full force and effect, and the Administrator shall remain entitled to the benefits thereof, notwithstanding any termination of this Agreement.</w:t>
      </w:r>
    </w:p>
    <w:p>
      <w:pPr>
        <w:spacing w:after="0" w:line="291" w:lineRule="exact"/>
        <w:rPr>
          <w:sz w:val="20"/>
          <w:szCs w:val="20"/>
          <w:color w:val="auto"/>
        </w:rPr>
      </w:pPr>
    </w:p>
    <w:p>
      <w:pPr>
        <w:ind w:left="184" w:hanging="184"/>
        <w:spacing w:after="0"/>
        <w:tabs>
          <w:tab w:leader="none" w:pos="184" w:val="left"/>
        </w:tabs>
        <w:numPr>
          <w:ilvl w:val="0"/>
          <w:numId w:val="2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Amendments of this Agreement</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This Agreement may be amended pursuant to a written instrument by mutual consent of the parties.</w:t>
      </w:r>
    </w:p>
    <w:p>
      <w:pPr>
        <w:spacing w:after="0" w:line="329" w:lineRule="exact"/>
        <w:rPr>
          <w:sz w:val="20"/>
          <w:szCs w:val="20"/>
          <w:color w:val="auto"/>
        </w:rPr>
      </w:pPr>
    </w:p>
    <w:p>
      <w:pPr>
        <w:ind w:left="184" w:hanging="184"/>
        <w:spacing w:after="0"/>
        <w:tabs>
          <w:tab w:leader="none" w:pos="184" w:val="left"/>
        </w:tabs>
        <w:numPr>
          <w:ilvl w:val="0"/>
          <w:numId w:val="2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Governing Law</w:t>
      </w:r>
    </w:p>
    <w:p>
      <w:pPr>
        <w:spacing w:after="0" w:line="121" w:lineRule="exact"/>
        <w:rPr>
          <w:sz w:val="20"/>
          <w:szCs w:val="20"/>
          <w:color w:val="auto"/>
        </w:rPr>
      </w:pPr>
    </w:p>
    <w:p>
      <w:pPr>
        <w:ind w:left="4" w:right="20"/>
        <w:spacing w:after="0" w:line="266" w:lineRule="auto"/>
        <w:rPr>
          <w:sz w:val="20"/>
          <w:szCs w:val="20"/>
          <w:color w:val="auto"/>
        </w:rPr>
      </w:pPr>
      <w:r>
        <w:rPr>
          <w:rFonts w:ascii="Times New Roman" w:cs="Times New Roman" w:eastAsia="Times New Roman" w:hAnsi="Times New Roman"/>
          <w:sz w:val="18"/>
          <w:szCs w:val="18"/>
          <w:color w:val="auto"/>
        </w:rPr>
        <w:t>This Agreement shall be construed in accordance with the laws of the State of New York and the applicable provisions of the Investment Company Act, if any. In such case, to the extent the applicable laws of the State of New York, or any of the provisions herein, conflict with the provisions of the Investment Company Act, the latter shall control.</w:t>
      </w:r>
    </w:p>
    <w:p>
      <w:pPr>
        <w:spacing w:after="0" w:line="280" w:lineRule="exact"/>
        <w:rPr>
          <w:sz w:val="20"/>
          <w:szCs w:val="20"/>
          <w:color w:val="auto"/>
        </w:rPr>
      </w:pPr>
    </w:p>
    <w:p>
      <w:pPr>
        <w:ind w:left="264" w:hanging="264"/>
        <w:spacing w:after="0"/>
        <w:tabs>
          <w:tab w:leader="none" w:pos="264" w:val="left"/>
        </w:tabs>
        <w:numPr>
          <w:ilvl w:val="0"/>
          <w:numId w:val="2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Entire Agreement</w:t>
      </w:r>
    </w:p>
    <w:p>
      <w:pPr>
        <w:spacing w:after="0" w:line="121" w:lineRule="exact"/>
        <w:rPr>
          <w:sz w:val="20"/>
          <w:szCs w:val="20"/>
          <w:color w:val="auto"/>
        </w:rPr>
      </w:pPr>
    </w:p>
    <w:p>
      <w:pPr>
        <w:ind w:left="4" w:right="180"/>
        <w:spacing w:after="0" w:line="282" w:lineRule="auto"/>
        <w:rPr>
          <w:sz w:val="20"/>
          <w:szCs w:val="20"/>
          <w:color w:val="auto"/>
        </w:rPr>
      </w:pPr>
      <w:r>
        <w:rPr>
          <w:rFonts w:ascii="Times New Roman" w:cs="Times New Roman" w:eastAsia="Times New Roman" w:hAnsi="Times New Roman"/>
          <w:sz w:val="18"/>
          <w:szCs w:val="18"/>
          <w:color w:val="auto"/>
        </w:rPr>
        <w:t>This Agreement contains the entire agreement of the parties and supersedes all prior agreements, understandings and arrangements with respect to the subject matter hereof.</w:t>
      </w:r>
    </w:p>
    <w:p>
      <w:pPr>
        <w:spacing w:after="0" w:line="266" w:lineRule="exact"/>
        <w:rPr>
          <w:sz w:val="20"/>
          <w:szCs w:val="20"/>
          <w:color w:val="auto"/>
        </w:rPr>
      </w:pPr>
    </w:p>
    <w:p>
      <w:pPr>
        <w:ind w:left="264" w:hanging="264"/>
        <w:spacing w:after="0"/>
        <w:tabs>
          <w:tab w:leader="none" w:pos="264" w:val="left"/>
        </w:tabs>
        <w:numPr>
          <w:ilvl w:val="0"/>
          <w:numId w:val="2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Notices</w:t>
      </w:r>
    </w:p>
    <w:p>
      <w:pPr>
        <w:spacing w:after="0" w:line="121" w:lineRule="exact"/>
        <w:rPr>
          <w:sz w:val="20"/>
          <w:szCs w:val="20"/>
          <w:color w:val="auto"/>
        </w:rPr>
      </w:pPr>
    </w:p>
    <w:p>
      <w:pPr>
        <w:ind w:left="4" w:right="100"/>
        <w:spacing w:after="0" w:line="282" w:lineRule="auto"/>
        <w:rPr>
          <w:sz w:val="20"/>
          <w:szCs w:val="20"/>
          <w:color w:val="auto"/>
        </w:rPr>
      </w:pPr>
      <w:r>
        <w:rPr>
          <w:rFonts w:ascii="Times New Roman" w:cs="Times New Roman" w:eastAsia="Times New Roman" w:hAnsi="Times New Roman"/>
          <w:sz w:val="18"/>
          <w:szCs w:val="18"/>
          <w:color w:val="auto"/>
        </w:rPr>
        <w:t>Any notice under this Agreement shall be given in writing, addressed and delivered or mailed, postage prepaid, to the other party at its principal office, or alternatively shall be given by email to the chief legal officer or chief compliance officer of the respective party.</w:t>
      </w:r>
    </w:p>
    <w:p>
      <w:pPr>
        <w:spacing w:after="0" w:line="158"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i w:val="1"/>
          <w:iCs w:val="1"/>
          <w:color w:val="auto"/>
        </w:rPr>
        <w:t>Remainder of Page Intentionally Left Blank</w:t>
      </w:r>
    </w:p>
    <w:p>
      <w:pPr>
        <w:sectPr>
          <w:pgSz w:w="11900" w:h="16838" w:orient="portrait"/>
          <w:cols w:equalWidth="0" w:num="1">
            <w:col w:w="10964"/>
          </w:cols>
          <w:pgMar w:left="436" w:top="266" w:right="49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executed and delivered this Agreement as of the date first above written.</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SIXTH STREET LENDING PARTNERS</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Ian Simmonds</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3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b w:val="1"/>
          <w:bCs w:val="1"/>
          <w:color w:val="auto"/>
        </w:rPr>
        <w:t>SIXTH STREET LENDING PARTNERS ADVISERS,</w:t>
      </w:r>
    </w:p>
    <w:p>
      <w:pPr>
        <w:spacing w:after="0" w:line="4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LLC</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Ian Simmonds</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Vice President</w:t>
      </w:r>
    </w:p>
    <w:p>
      <w:pPr>
        <w:sectPr>
          <w:pgSz w:w="11900" w:h="16838" w:orient="portrait"/>
          <w:cols w:equalWidth="0" w:num="1">
            <w:col w:w="10800"/>
          </w:cols>
          <w:pgMar w:left="440" w:top="270" w:right="659" w:bottom="1440" w:gutter="0" w:footer="0" w:header="0"/>
        </w:sectPr>
      </w:pPr>
    </w:p>
    <w:bookmarkStart w:id="255" w:name="page256"/>
    <w:bookmarkEnd w:id="255"/>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TRADEMARK LICENSE AGREEMENT</w:t>
      </w:r>
    </w:p>
    <w:p>
      <w:pPr>
        <w:spacing w:after="0" w:line="229" w:lineRule="exact"/>
        <w:rPr>
          <w:sz w:val="20"/>
          <w:szCs w:val="20"/>
          <w:color w:val="auto"/>
        </w:rPr>
      </w:pPr>
    </w:p>
    <w:p>
      <w:pPr>
        <w:jc w:val="both"/>
        <w:ind w:right="380" w:firstLine="440"/>
        <w:spacing w:after="0" w:line="266" w:lineRule="auto"/>
        <w:rPr>
          <w:sz w:val="20"/>
          <w:szCs w:val="20"/>
          <w:color w:val="auto"/>
        </w:rPr>
      </w:pPr>
      <w:r>
        <w:rPr>
          <w:rFonts w:ascii="Times New Roman" w:cs="Times New Roman" w:eastAsia="Times New Roman" w:hAnsi="Times New Roman"/>
          <w:sz w:val="18"/>
          <w:szCs w:val="18"/>
          <w:color w:val="auto"/>
        </w:rPr>
        <w:t>This TRADEMARK LICENSE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effective as of June 28</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2022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by and between Austin IP, LLC, a Delaware limited liability company (“</w:t>
      </w:r>
      <w:r>
        <w:rPr>
          <w:rFonts w:ascii="Times New Roman" w:cs="Times New Roman" w:eastAsia="Times New Roman" w:hAnsi="Times New Roman"/>
          <w:sz w:val="18"/>
          <w:szCs w:val="18"/>
          <w:u w:val="single" w:color="auto"/>
          <w:color w:val="auto"/>
        </w:rPr>
        <w:t>Licensor</w:t>
      </w:r>
      <w:r>
        <w:rPr>
          <w:rFonts w:ascii="Times New Roman" w:cs="Times New Roman" w:eastAsia="Times New Roman" w:hAnsi="Times New Roman"/>
          <w:sz w:val="18"/>
          <w:szCs w:val="18"/>
          <w:color w:val="auto"/>
        </w:rPr>
        <w:t>”), and Sixth Street Lending Partners, a Delaware statutory trust, and any wholly-owned subsidiary thereof (“</w:t>
      </w:r>
      <w:r>
        <w:rPr>
          <w:rFonts w:ascii="Times New Roman" w:cs="Times New Roman" w:eastAsia="Times New Roman" w:hAnsi="Times New Roman"/>
          <w:sz w:val="18"/>
          <w:szCs w:val="18"/>
          <w:u w:val="single" w:color="auto"/>
          <w:color w:val="auto"/>
        </w:rPr>
        <w:t>Licensee</w:t>
      </w:r>
      <w:r>
        <w:rPr>
          <w:rFonts w:ascii="Times New Roman" w:cs="Times New Roman" w:eastAsia="Times New Roman" w:hAnsi="Times New Roman"/>
          <w:sz w:val="18"/>
          <w:szCs w:val="18"/>
          <w:color w:val="auto"/>
        </w:rPr>
        <w:t>”) (each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9"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WHEREAS, Licensee is a newly formed, closed-end non-diversified management investment company that plans to file a notice with the Securities and Exchange Commission that it has elected to be treated as a business development company under the Investment Company Act of 1940, as amended (the “</w:t>
      </w:r>
      <w:r>
        <w:rPr>
          <w:rFonts w:ascii="Times New Roman" w:cs="Times New Roman" w:eastAsia="Times New Roman" w:hAnsi="Times New Roman"/>
          <w:sz w:val="18"/>
          <w:szCs w:val="18"/>
          <w:u w:val="single" w:color="auto"/>
          <w:color w:val="auto"/>
        </w:rPr>
        <w:t>1940 Act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WHEREAS, Licensor and its affiliates have used the mark “Sixth Street” and any derivative thereof (the “</w:t>
      </w:r>
      <w:r>
        <w:rPr>
          <w:rFonts w:ascii="Times New Roman" w:cs="Times New Roman" w:eastAsia="Times New Roman" w:hAnsi="Times New Roman"/>
          <w:sz w:val="18"/>
          <w:szCs w:val="18"/>
          <w:u w:val="single" w:color="auto"/>
          <w:color w:val="auto"/>
        </w:rPr>
        <w:t>Licensed Mark</w:t>
      </w:r>
      <w:r>
        <w:rPr>
          <w:rFonts w:ascii="Times New Roman" w:cs="Times New Roman" w:eastAsia="Times New Roman" w:hAnsi="Times New Roman"/>
          <w:sz w:val="18"/>
          <w:szCs w:val="18"/>
          <w:color w:val="auto"/>
        </w:rPr>
        <w:t>”) in connection with the investment management, investment consultation and investment advisory services they provide;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Licensor is an affiliate of Sixth Street Lending Partners Advisers, LLC, a Delaware limited liability company (the “</w:t>
      </w:r>
      <w:r>
        <w:rPr>
          <w:rFonts w:ascii="Times New Roman" w:cs="Times New Roman" w:eastAsia="Times New Roman" w:hAnsi="Times New Roman"/>
          <w:sz w:val="18"/>
          <w:szCs w:val="18"/>
          <w:u w:val="single" w:color="auto"/>
          <w:color w:val="auto"/>
        </w:rPr>
        <w:t>Adviser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WHEREAS, Licensee is entering into an investment advisory and management agreement with the Adviser (the “</w:t>
      </w:r>
      <w:r>
        <w:rPr>
          <w:rFonts w:ascii="Times New Roman" w:cs="Times New Roman" w:eastAsia="Times New Roman" w:hAnsi="Times New Roman"/>
          <w:sz w:val="18"/>
          <w:szCs w:val="18"/>
          <w:u w:val="single" w:color="auto"/>
          <w:color w:val="auto"/>
        </w:rPr>
        <w:t>Advisory Agreement</w:t>
      </w:r>
      <w:r>
        <w:rPr>
          <w:rFonts w:ascii="Times New Roman" w:cs="Times New Roman" w:eastAsia="Times New Roman" w:hAnsi="Times New Roman"/>
          <w:sz w:val="18"/>
          <w:szCs w:val="18"/>
          <w:color w:val="auto"/>
        </w:rPr>
        <w:t>”), wherein Licensee shall engage the Adviser to act as the investment adviser to Licensee;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it is intended that the Adviser be a third party beneficiary of this Agreement; and</w:t>
      </w:r>
    </w:p>
    <w:p>
      <w:pPr>
        <w:spacing w:after="0" w:line="225"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WHEREAS, Licensee desires to use the Licensed Mark as part of its corporate name and in connection with the operation of its business, and Licensor is willing to grant Licensee a license to use the Licensed Mark, subject to the terms and conditions of this Agreement.</w:t>
      </w:r>
    </w:p>
    <w:p>
      <w:pPr>
        <w:spacing w:after="0" w:line="162"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and agreements set forth herein, and for other good and valuable consideration, the receipt and sufficiency of which are hereby acknowledged, the parties agree as follows: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LICENSE GRANT</w:t>
      </w:r>
    </w:p>
    <w:p>
      <w:pPr>
        <w:spacing w:after="0" w:line="207" w:lineRule="exact"/>
        <w:rPr>
          <w:sz w:val="20"/>
          <w:szCs w:val="20"/>
          <w:color w:val="auto"/>
        </w:rPr>
      </w:pPr>
    </w:p>
    <w:p>
      <w:pPr>
        <w:ind w:right="2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License</w:t>
      </w:r>
      <w:r>
        <w:rPr>
          <w:rFonts w:ascii="Times New Roman" w:cs="Times New Roman" w:eastAsia="Times New Roman" w:hAnsi="Times New Roman"/>
          <w:sz w:val="18"/>
          <w:szCs w:val="18"/>
          <w:color w:val="auto"/>
        </w:rPr>
        <w:t>. Subject to the terms and conditions of this Agreement, Licensor hereby grants to Licensee, and Licensee hereby accepts from Licensor, a personal, non-exclusive, royalty-free right and license to use the Licensed Mark solely and exclusively as a component of Licensee’s own corporate name and in connection with marketing the investment management, investment consultation and investment advisory services that the Adviser may provide to Licensee. During the term of this Agreement, Licensee shall use the Licensed Mark only to the extent permitted under this License, and, except as provided</w:t>
      </w:r>
    </w:p>
    <w:p>
      <w:pPr>
        <w:sectPr>
          <w:pgSz w:w="11900" w:h="16838" w:orient="portrait"/>
          <w:cols w:equalWidth="0" w:num="1">
            <w:col w:w="11020"/>
          </w:cols>
          <w:pgMar w:left="440" w:top="117" w:right="439" w:bottom="1440" w:gutter="0" w:footer="0" w:header="0"/>
        </w:sectPr>
      </w:pPr>
    </w:p>
    <w:bookmarkStart w:id="256" w:name="page257"/>
    <w:bookmarkEnd w:id="256"/>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above, neither Licensee nor any affiliate, owner, member, manager, director, officer, employee or agent thereof shall otherwise use the Licensed Mark or any derivative thereof without the prior express written consent of Licensor, which consent Licensor may grant or withhold in its sole and absolute discretion, and shall not use the Licensed Mark for any purpose. All rights not expressly granted to Licensee hereunder shall remain the exclusive property of Licensor.</w:t>
      </w:r>
    </w:p>
    <w:p>
      <w:pPr>
        <w:spacing w:after="0" w:line="180" w:lineRule="exact"/>
        <w:rPr>
          <w:sz w:val="20"/>
          <w:szCs w:val="20"/>
          <w:color w:val="auto"/>
        </w:rPr>
      </w:pPr>
    </w:p>
    <w:p>
      <w:pPr>
        <w:ind w:right="600" w:firstLine="440"/>
        <w:spacing w:after="0" w:line="282" w:lineRule="auto"/>
        <w:rPr>
          <w:sz w:val="20"/>
          <w:szCs w:val="20"/>
          <w:color w:val="auto"/>
        </w:rPr>
      </w:pPr>
      <w:r>
        <w:rPr>
          <w:rFonts w:ascii="Times New Roman" w:cs="Times New Roman" w:eastAsia="Times New Roman" w:hAnsi="Times New Roman"/>
          <w:sz w:val="18"/>
          <w:szCs w:val="18"/>
          <w:color w:val="auto"/>
        </w:rPr>
        <w:t>1.2. Nothing in this Agreement shall preclude Licensor or any of its successors or assigns from using or permitting other entities to use the Licensed Mark, whether or not such entity directly or indirectly competes or conflicts with Licensee’s business in any manner.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COMPLIANCE</w:t>
      </w:r>
    </w:p>
    <w:p>
      <w:pPr>
        <w:spacing w:after="0" w:line="207"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Quality Control</w:t>
      </w:r>
      <w:r>
        <w:rPr>
          <w:rFonts w:ascii="Times New Roman" w:cs="Times New Roman" w:eastAsia="Times New Roman" w:hAnsi="Times New Roman"/>
          <w:sz w:val="18"/>
          <w:szCs w:val="18"/>
          <w:color w:val="auto"/>
        </w:rPr>
        <w:t>. In order to preserve the inherent value of the Licensed Mark, Licensee agrees to use reasonable efforts to ensure that it maintains the quality of Licensee’s business and the operation thereof equal to the standards prevailing in the operation of Licensee’s business as of the date of this Agreement. Licensee further agrees to use the Licensed Mark in accordance with such quality standards as may be reasonably established by Licensor and communicated to Licensee from time to time in writing, or as may be agreed to by Licensor and Licensee from time to time in writing.</w:t>
      </w:r>
    </w:p>
    <w:p>
      <w:pPr>
        <w:spacing w:after="0" w:line="180"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Licensee agrees that the business operated by it in connection with the Licensed Mark shall comply with all laws, rules, regulations and requirements of any governmental body as may be applicable to the operation, marketing, and promotion of the business and shall notify Licensor of any action that must be taken by Licensee to comply with such laws, rules, regulations or requirements.</w:t>
      </w:r>
    </w:p>
    <w:p>
      <w:pPr>
        <w:spacing w:after="0" w:line="176"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Notification of Infringement</w:t>
      </w:r>
      <w:r>
        <w:rPr>
          <w:rFonts w:ascii="Times New Roman" w:cs="Times New Roman" w:eastAsia="Times New Roman" w:hAnsi="Times New Roman"/>
          <w:sz w:val="18"/>
          <w:szCs w:val="18"/>
          <w:color w:val="auto"/>
        </w:rPr>
        <w:t>. Each party shall immediately notify the other party and provide to the other party all relevant background facts upon becoming aware of: (a) any registrations of, or applications for registration of, marks that do or may conflict with Licensor’s rights in the Licensed Mark or the rights granted to Licensee under this Agreement, (b) any infringements or misuse of the Licensed Mark by any third party (“</w:t>
      </w:r>
      <w:r>
        <w:rPr>
          <w:rFonts w:ascii="Times New Roman" w:cs="Times New Roman" w:eastAsia="Times New Roman" w:hAnsi="Times New Roman"/>
          <w:sz w:val="18"/>
          <w:szCs w:val="18"/>
          <w:u w:val="single" w:color="auto"/>
          <w:color w:val="auto"/>
        </w:rPr>
        <w:t>Third 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Infringement</w:t>
      </w:r>
      <w:r>
        <w:rPr>
          <w:rFonts w:ascii="Times New Roman" w:cs="Times New Roman" w:eastAsia="Times New Roman" w:hAnsi="Times New Roman"/>
          <w:sz w:val="18"/>
          <w:szCs w:val="18"/>
          <w:color w:val="auto"/>
        </w:rPr>
        <w:t>”) or (c) any claim that Licensee’s use of the Licensed Mark infringes the intellectual property rights of any third party (“</w:t>
      </w:r>
      <w:r>
        <w:rPr>
          <w:rFonts w:ascii="Times New Roman" w:cs="Times New Roman" w:eastAsia="Times New Roman" w:hAnsi="Times New Roman"/>
          <w:sz w:val="18"/>
          <w:szCs w:val="18"/>
          <w:u w:val="single" w:color="auto"/>
          <w:color w:val="auto"/>
        </w:rPr>
        <w:t>Third 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Claim</w:t>
      </w:r>
      <w:r>
        <w:rPr>
          <w:rFonts w:ascii="Times New Roman" w:cs="Times New Roman" w:eastAsia="Times New Roman" w:hAnsi="Times New Roman"/>
          <w:sz w:val="18"/>
          <w:szCs w:val="18"/>
          <w:color w:val="auto"/>
        </w:rPr>
        <w:t>”). Licensor shall have the exclusive right, but not the obligation, to prosecute, defend and/or settle, in its sole discretion, all actions, proceedings and claims involving any Third Party Infringement or Third Party Claim, and to take any other action that it deems necessary or proper for the protection and preservation of its rights in the Licensed Mark. Licensee shall cooperate with Licensor in the prosecution, defense or settlement of such actions, proceedings or claims.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- 2 -</w:t>
      </w:r>
    </w:p>
    <w:p>
      <w:pPr>
        <w:sectPr>
          <w:pgSz w:w="11900" w:h="16838" w:orient="portrait"/>
          <w:cols w:equalWidth="0" w:num="1">
            <w:col w:w="11000"/>
          </w:cols>
          <w:pgMar w:left="440" w:top="270" w:right="459" w:bottom="1440" w:gutter="0" w:footer="0" w:header="0"/>
        </w:sectPr>
      </w:pPr>
    </w:p>
    <w:bookmarkStart w:id="257" w:name="page258"/>
    <w:bookmarkEnd w:id="257"/>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3.</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REPRESENTATIONS AND WARRANTIES</w:t>
      </w:r>
    </w:p>
    <w:p>
      <w:pPr>
        <w:spacing w:after="0" w:line="207"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3.1. Licensee accepts this license on an “as is” basis. Licensee acknowledges that Licensor makes no explicit or implicit representation or warranty as to the registrability, validity, enforceability or ownership of the Licensed Mark, or as to Licensee’s ability to use the Licensed Mark without infringing or otherwise violating the rights of others, and Licensor has no obligation to indemnify Licensee with respect to any claims arising from Licensee’s use of the Licensed Mark, including, without limitation, any Third Party Claim.</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Mutual Representations</w:t>
      </w:r>
      <w:r>
        <w:rPr>
          <w:rFonts w:ascii="Times New Roman" w:cs="Times New Roman" w:eastAsia="Times New Roman" w:hAnsi="Times New Roman"/>
          <w:sz w:val="18"/>
          <w:szCs w:val="18"/>
          <w:color w:val="auto"/>
        </w:rPr>
        <w:t>. Each party hereby represents and warrants to the other party as follows:</w:t>
      </w:r>
    </w:p>
    <w:p>
      <w:pPr>
        <w:spacing w:after="0" w:line="225" w:lineRule="exact"/>
        <w:rPr>
          <w:sz w:val="20"/>
          <w:szCs w:val="20"/>
          <w:color w:val="auto"/>
        </w:rPr>
      </w:pPr>
    </w:p>
    <w:p>
      <w:pPr>
        <w:ind w:right="120" w:firstLine="987"/>
        <w:spacing w:after="0" w:line="266" w:lineRule="auto"/>
        <w:tabs>
          <w:tab w:leader="none" w:pos="1236"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Due Authorization</w:t>
      </w:r>
      <w:r>
        <w:rPr>
          <w:rFonts w:ascii="Times New Roman" w:cs="Times New Roman" w:eastAsia="Times New Roman" w:hAnsi="Times New Roman"/>
          <w:sz w:val="18"/>
          <w:szCs w:val="18"/>
          <w:color w:val="auto"/>
        </w:rPr>
        <w:t>. Such party is a limited liability company, limited partnership, statutory trust or corporation, as applicable, duly formed and in good standing as of the Effective Date in its jurisdiction of formation, and the execution, delivery and performance of this Agreement by such party have been duly authorized by all necessary action on the part of such party.</w:t>
      </w:r>
    </w:p>
    <w:p>
      <w:pPr>
        <w:spacing w:after="0" w:line="175" w:lineRule="exact"/>
        <w:rPr>
          <w:rFonts w:ascii="Times New Roman" w:cs="Times New Roman" w:eastAsia="Times New Roman" w:hAnsi="Times New Roman"/>
          <w:sz w:val="18"/>
          <w:szCs w:val="18"/>
          <w:color w:val="auto"/>
        </w:rPr>
      </w:pPr>
    </w:p>
    <w:p>
      <w:pPr>
        <w:ind w:right="520" w:firstLine="987"/>
        <w:spacing w:after="0" w:line="266" w:lineRule="auto"/>
        <w:tabs>
          <w:tab w:leader="none" w:pos="1246"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Due Execution</w:t>
      </w:r>
      <w:r>
        <w:rPr>
          <w:rFonts w:ascii="Times New Roman" w:cs="Times New Roman" w:eastAsia="Times New Roman" w:hAnsi="Times New Roman"/>
          <w:sz w:val="18"/>
          <w:szCs w:val="18"/>
          <w:color w:val="auto"/>
        </w:rPr>
        <w:t>. This Agreement has been duly executed and delivered by such party and, upon due authorization, execution and delivery of this Agreement by the other party, constitutes a legal, valid and binding obligation of such party, enforceable against such party in accordance with its terms.</w:t>
      </w:r>
    </w:p>
    <w:p>
      <w:pPr>
        <w:spacing w:after="0" w:line="175" w:lineRule="exact"/>
        <w:rPr>
          <w:rFonts w:ascii="Times New Roman" w:cs="Times New Roman" w:eastAsia="Times New Roman" w:hAnsi="Times New Roman"/>
          <w:sz w:val="18"/>
          <w:szCs w:val="18"/>
          <w:color w:val="auto"/>
        </w:rPr>
      </w:pPr>
    </w:p>
    <w:p>
      <w:pPr>
        <w:ind w:firstLine="987"/>
        <w:spacing w:after="0" w:line="255" w:lineRule="auto"/>
        <w:tabs>
          <w:tab w:leader="none" w:pos="1236"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w:t>
      </w:r>
      <w:r>
        <w:rPr>
          <w:rFonts w:ascii="Times New Roman" w:cs="Times New Roman" w:eastAsia="Times New Roman" w:hAnsi="Times New Roman"/>
          <w:sz w:val="18"/>
          <w:szCs w:val="18"/>
          <w:color w:val="auto"/>
        </w:rPr>
        <w:t>. Such party’s execution, delivery and performance of this Agreement do not: (i) violate, conflict with or result in the breach of any provision of the certificate of trust, declaration of trust, limited liability company operating agreement, certificate of limited partnership or limited partnership agreement (or similar organizational documents) of such party; (ii) conflict with or violate any governmental order applicable to such party or any of its assets, properties or businesses; or (iii) conflict with, result in any breach of, constitute a default (or event which with the giving of notice or lapse of time, or both, would become a default) under, require any consent under, or give to others any rights of termination, amendment, acceleration, suspension, revocation or cancellation of any contract, agreement, lease, sublease, license, permit, franchise or other instrument or arrangement to which it is a party.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4.</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TERM AND TERMINATION</w:t>
      </w:r>
    </w:p>
    <w:p>
      <w:pPr>
        <w:spacing w:after="0" w:line="207"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This Agreement shall expire if the Adviser or one of its affiliates ceases to serve as investment adviser to Licensee. This Agreement shall be terminable by Licensor, at any time and in its sole discretion, in the event that Licensor or Licensee receives notice of any Third Party Claim arising out of Licensee’s use of the Licensed Mark; by Licensor or Licensee upon sixty (60) days’ prior written notice to the other party; or by Licensor at any time in the event Licensee assigns or attempts to assign or sublicense this Agreement or any of Licensee’s rights or duties hereunder without the prior written consent of Licensor.</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- 3 -</w:t>
      </w:r>
    </w:p>
    <w:p>
      <w:pPr>
        <w:sectPr>
          <w:pgSz w:w="11900" w:h="16838" w:orient="portrait"/>
          <w:cols w:equalWidth="0" w:num="1">
            <w:col w:w="11000"/>
          </w:cols>
          <w:pgMar w:left="440" w:top="270" w:right="459" w:bottom="1440" w:gutter="0" w:footer="0" w:header="0"/>
        </w:sectPr>
      </w:pPr>
    </w:p>
    <w:bookmarkStart w:id="258" w:name="page259"/>
    <w:bookmarkEnd w:id="258"/>
    <w:p>
      <w:pPr>
        <w:ind w:right="40" w:firstLine="440"/>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4.2. </w:t>
      </w:r>
      <w:r>
        <w:rPr>
          <w:rFonts w:ascii="Times New Roman" w:cs="Times New Roman" w:eastAsia="Times New Roman" w:hAnsi="Times New Roman"/>
          <w:sz w:val="17"/>
          <w:szCs w:val="17"/>
          <w:u w:val="single" w:color="auto"/>
          <w:color w:val="auto"/>
        </w:rPr>
        <w:t>Upon Termination</w:t>
      </w:r>
      <w:r>
        <w:rPr>
          <w:rFonts w:ascii="Times New Roman" w:cs="Times New Roman" w:eastAsia="Times New Roman" w:hAnsi="Times New Roman"/>
          <w:sz w:val="17"/>
          <w:szCs w:val="17"/>
          <w:color w:val="auto"/>
        </w:rPr>
        <w:t>. Upon expiration or termination of this Agreement, all rights granted to Licensee under this Agreement with respect to the Licensed Mark shall cease, and Licensee shall immediately delete the term “Sixth Street” from its corporate name and shall discontinue all other use of the Licensed Mark. For twenty-four (24) months following termination of this Agreement, Licensee shall specify on all public-facing materials in a prominent place and in prominent typeface that Licensee is no longer operating under the Licensed Mark, is no longer associated with Licensor, or such other notice as may be deemed necessary by Licensor, in its sole discretion, in its prosecution, defense, and/or settlement of any Third Party Claim.</w:t>
      </w:r>
    </w:p>
    <w:p>
      <w:pPr>
        <w:spacing w:after="0" w:line="3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5.</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MISCELLANEOUS</w:t>
      </w:r>
    </w:p>
    <w:p>
      <w:pPr>
        <w:spacing w:after="0" w:line="207"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Third Party Beneficiaries</w:t>
      </w:r>
      <w:r>
        <w:rPr>
          <w:rFonts w:ascii="Times New Roman" w:cs="Times New Roman" w:eastAsia="Times New Roman" w:hAnsi="Times New Roman"/>
          <w:sz w:val="18"/>
          <w:szCs w:val="18"/>
          <w:color w:val="auto"/>
        </w:rPr>
        <w:t>. The parties agree that the Adviser shall be a third party beneficiary of this Agreement, and shall have the rights and protections provided to Licensee under this Agreement. Nothing in this Agreement, either express or implied, is intended to or shall confer upon any third party, other than the Adviser, any legal or equitable right, benefit or remedy of any nature whatsoever under or by reason of this Agreement.</w:t>
      </w:r>
    </w:p>
    <w:p>
      <w:pPr>
        <w:spacing w:after="0" w:line="176"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xml:space="preserve">. Licensee shall not sublicense, assign, pledge, grant or otherwise encumber or transfer to any third party all or any part of its rights or duties under this Agreement, in whole or in part, without the prior written consent of Licensor, which consent Licensor may grant or withhold in its sole and absolute discretion. Any purported transfer without such consent shall be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Independent Contractor</w:t>
      </w:r>
      <w:r>
        <w:rPr>
          <w:rFonts w:ascii="Times New Roman" w:cs="Times New Roman" w:eastAsia="Times New Roman" w:hAnsi="Times New Roman"/>
          <w:sz w:val="18"/>
          <w:szCs w:val="18"/>
          <w:color w:val="auto"/>
        </w:rPr>
        <w:t>. Neither party shall have, or shall represent that it has, any power, right or authority to bind the other party to any obligation or liability, or to assume or create any obligation or liability on behalf of the other party.</w:t>
      </w:r>
    </w:p>
    <w:p>
      <w:pPr>
        <w:spacing w:after="0" w:line="162"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claims, demands and other communications hereunder shall be in writing and shall be given or made (and shall be deemed to have been duly given or made upon receipt) by delivery in person, by overnight courier service (with signature required), by electronic mail, or by registered or certified mail (postage prepaid, return receipt requested) to the respective parties at the following addresses (or such other address as the parties may provide to each other by written Notice):</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- 4 -</w:t>
      </w:r>
    </w:p>
    <w:p>
      <w:pPr>
        <w:sectPr>
          <w:pgSz w:w="11900" w:h="16838" w:orient="portrait"/>
          <w:cols w:equalWidth="0" w:num="1">
            <w:col w:w="10960"/>
          </w:cols>
          <w:pgMar w:left="440" w:top="270" w:right="49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7"/>
          <w:szCs w:val="17"/>
          <w:color w:val="auto"/>
        </w:rPr>
        <w:t>If to Licensor: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If to Licensee: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-206375</wp:posOffset>
            </wp:positionV>
            <wp:extent cx="71748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80" w:space="720"/>
            <w:col w:w="7780"/>
          </w:cols>
          <w:pgMar w:left="440" w:top="270" w:right="479" w:bottom="1440" w:gutter="0" w:footer="0" w:header="0"/>
        </w:sectPr>
      </w:pP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Austin IP,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2100 McKinney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1500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TX 75201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No.: (469) 621-3001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Attn: Chief Executive Officer</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Lending Partners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2100 McKinney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1500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TX 75201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No.: (469) 621-3001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Attn: Chief Executive Officer</w:t>
      </w:r>
    </w:p>
    <w:p>
      <w:pPr>
        <w:spacing w:after="0" w:line="200" w:lineRule="exact"/>
        <w:rPr>
          <w:sz w:val="20"/>
          <w:szCs w:val="20"/>
          <w:color w:val="auto"/>
        </w:rPr>
      </w:pPr>
    </w:p>
    <w:p>
      <w:pPr>
        <w:sectPr>
          <w:pgSz w:w="11900" w:h="16838" w:orient="portrait"/>
          <w:cols w:equalWidth="0" w:num="2">
            <w:col w:w="2480" w:space="720"/>
            <w:col w:w="7780"/>
          </w:cols>
          <w:pgMar w:left="440" w:top="270" w:right="479" w:bottom="1440" w:gutter="0" w:footer="0" w:header="0"/>
          <w:type w:val="continuous"/>
        </w:sectPr>
      </w:pPr>
    </w:p>
    <w:p>
      <w:pPr>
        <w:spacing w:after="0" w:line="32"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laws of the State of New York. The parties unconditionally and irrevocably consent to the exclusive jurisdiction of the courts located in the State of New York and waive any objection with respect thereto, for the purpose of any action, suit or proceeding arising out of or relating to this Agreement or the transactions contemplated hereby.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Agreement may not be amended or modified except by an instrument in writing signed by each party hereto.</w:t>
      </w:r>
    </w:p>
    <w:p>
      <w:pPr>
        <w:spacing w:after="0" w:line="225"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No Waiver</w:t>
      </w:r>
      <w:r>
        <w:rPr>
          <w:rFonts w:ascii="Times New Roman" w:cs="Times New Roman" w:eastAsia="Times New Roman" w:hAnsi="Times New Roman"/>
          <w:sz w:val="18"/>
          <w:szCs w:val="18"/>
          <w:color w:val="auto"/>
        </w:rPr>
        <w:t>. The failure of either party to enforce at any time for any period the provisions of, or any rights deriving from, this Agreement shall not be construed to be a waiver of such provisions or rights or the right of such party thereafter to enforce such provisions, and no waiver shall be binding unless executed in writing by all parties hereto.</w:t>
      </w:r>
    </w:p>
    <w:p>
      <w:pPr>
        <w:spacing w:after="0" w:line="176"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or other provision of this Agreement is invalid, illegal or incapable of being enforced by any law or public policy, all other terms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an acceptable manner in order that the transactions contemplated hereby are consummated as originally contemplated to the greatest extent possible.</w:t>
      </w:r>
    </w:p>
    <w:p>
      <w:pPr>
        <w:spacing w:after="0" w:line="187"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descriptive headings contained in this Agreement are for convenience of reference only and shall not affect in any way the meaning or interpretation of this Agreement.</w:t>
      </w:r>
    </w:p>
    <w:p>
      <w:pPr>
        <w:spacing w:after="0" w:line="162"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one or more counterparts, each of which when executed shall be deemed to be an original instrument and all of which taken together shall constitute one and the same agreement. Facsimile or portable document format (PDF) counterpart signatures to this Agreement shall be acceptable and binding.</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- 5 -</w:t>
      </w:r>
    </w:p>
    <w:p>
      <w:pPr>
        <w:sectPr>
          <w:pgSz w:w="11900" w:h="16838" w:orient="portrait"/>
          <w:cols w:equalWidth="0" w:num="1">
            <w:col w:w="10980"/>
          </w:cols>
          <w:pgMar w:left="440" w:top="270" w:right="479" w:bottom="1440" w:gutter="0" w:footer="0" w:header="0"/>
          <w:type w:val="continuous"/>
        </w:sectPr>
      </w:pPr>
    </w:p>
    <w:bookmarkStart w:id="260" w:name="page261"/>
    <w:bookmarkEnd w:id="260"/>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5.11.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constitutes the entire agreement of the parties with respect to the subject matter hereof and supersedes all prior agreements and undertakings, both written and oral, between the parties with respect to such subject matter.</w:t>
      </w: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[The remainder of this page intentionally left blank]</w:t>
      </w: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- 6 -</w:t>
      </w:r>
    </w:p>
    <w:p>
      <w:pPr>
        <w:sectPr>
          <w:pgSz w:w="11900" w:h="16838" w:orient="portrait"/>
          <w:cols w:equalWidth="0" w:num="1">
            <w:col w:w="10980"/>
          </w:cols>
          <w:pgMar w:left="440" w:top="270" w:right="479" w:bottom="1440" w:gutter="0" w:footer="0" w:header="0"/>
        </w:sectPr>
      </w:pPr>
    </w:p>
    <w:bookmarkStart w:id="261" w:name="page262"/>
    <w:bookmarkEnd w:id="261"/>
    <w:p>
      <w:pPr>
        <w:ind w:left="4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each party has caused this Agreement to be executed as of the Effective Date by its duly authorized officer.</w:t>
      </w:r>
    </w:p>
    <w:p>
      <w:pPr>
        <w:spacing w:after="0" w:line="26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LICENSOR:</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AUSTIN IP, LLC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3"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23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LICENSEE:</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SIXTH STREET LENDING PARTNERS</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3"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ACKNOWLEDGED AND AGREED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28, 2022</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SIXTH STREET LENDING PARTNERS ADVISERS,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LLC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Joshua Peck</w:t>
      </w:r>
    </w:p>
    <w:p>
      <w:pPr>
        <w:spacing w:after="0" w:line="23"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200" w:lineRule="exact"/>
        <w:rPr>
          <w:sz w:val="20"/>
          <w:szCs w:val="20"/>
          <w:color w:val="auto"/>
        </w:rPr>
      </w:pPr>
    </w:p>
    <w:p>
      <w:pPr>
        <w:spacing w:after="0" w:line="22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for Trademark License Agreement</w:t>
      </w:r>
      <w:r>
        <w:rPr>
          <w:rFonts w:ascii="Times New Roman" w:cs="Times New Roman" w:eastAsia="Times New Roman" w:hAnsi="Times New Roman"/>
          <w:sz w:val="18"/>
          <w:szCs w:val="18"/>
          <w:color w:val="auto"/>
        </w:rPr>
        <w:t>]</w:t>
      </w:r>
    </w:p>
    <w:p>
      <w:pPr>
        <w:sectPr>
          <w:pgSz w:w="11900" w:h="16838" w:orient="portrait"/>
          <w:cols w:equalWidth="0" w:num="1">
            <w:col w:w="10140"/>
          </w:cols>
          <w:pgMar w:left="440" w:top="270" w:right="1319" w:bottom="1440" w:gutter="0" w:footer="0" w:header="0"/>
        </w:sectPr>
      </w:pPr>
    </w:p>
    <w:bookmarkStart w:id="262" w:name="page263"/>
    <w:bookmarkEnd w:id="262"/>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2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DIVIDEND REINVESTMENT PLAN</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OF</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SIXTH STREET LENDING PARTNERS</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Effective as of June 28, 2022</w:t>
      </w:r>
    </w:p>
    <w:p>
      <w:pPr>
        <w:spacing w:after="0" w:line="225" w:lineRule="exact"/>
        <w:rPr>
          <w:sz w:val="20"/>
          <w:szCs w:val="20"/>
          <w:color w:val="auto"/>
        </w:rPr>
      </w:pPr>
    </w:p>
    <w:p>
      <w:pPr>
        <w:ind w:left="4" w:right="80"/>
        <w:spacing w:after="0" w:line="266" w:lineRule="auto"/>
        <w:rPr>
          <w:sz w:val="20"/>
          <w:szCs w:val="20"/>
          <w:color w:val="auto"/>
        </w:rPr>
      </w:pPr>
      <w:r>
        <w:rPr>
          <w:rFonts w:ascii="Times New Roman" w:cs="Times New Roman" w:eastAsia="Times New Roman" w:hAnsi="Times New Roman"/>
          <w:sz w:val="18"/>
          <w:szCs w:val="18"/>
          <w:color w:val="auto"/>
        </w:rPr>
        <w:t>Sixth Street Lending Partners, a Delaware statutory trust (the “Company”), hereby adopts the following plan (the “Plan”) with respect to cash dividends or distributions declared by its Board of Trustees (the “Board of Trustees”) on the Company’s shares of beneficial interest, par value $0.001 per share (the “Common Shares”).</w:t>
      </w:r>
    </w:p>
    <w:p>
      <w:pPr>
        <w:spacing w:after="0" w:line="176" w:lineRule="exact"/>
        <w:rPr>
          <w:sz w:val="20"/>
          <w:szCs w:val="20"/>
          <w:color w:val="auto"/>
        </w:rPr>
      </w:pPr>
    </w:p>
    <w:p>
      <w:pPr>
        <w:ind w:left="4" w:right="560" w:hanging="4"/>
        <w:spacing w:after="0" w:line="266" w:lineRule="auto"/>
        <w:tabs>
          <w:tab w:leader="none" w:pos="184"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 shareholder specifically elects to receive cash pursuant to paragraph 4 below, all cash dividends or distributions, net of any applicable withholding tax, hereafter declared by the Company’s Board of Trustees shall be reinvested by the Company in Common Shares on behalf each shareholder, and no action shall be required on such shareholder’s part to receive such Common Shares.</w:t>
      </w:r>
    </w:p>
    <w:p>
      <w:pPr>
        <w:spacing w:after="0" w:line="175" w:lineRule="exact"/>
        <w:rPr>
          <w:rFonts w:ascii="Times New Roman" w:cs="Times New Roman" w:eastAsia="Times New Roman" w:hAnsi="Times New Roman"/>
          <w:sz w:val="18"/>
          <w:szCs w:val="18"/>
          <w:color w:val="auto"/>
        </w:rPr>
      </w:pPr>
    </w:p>
    <w:p>
      <w:pPr>
        <w:ind w:left="4" w:right="140" w:hanging="4"/>
        <w:spacing w:after="0" w:line="266" w:lineRule="auto"/>
        <w:tabs>
          <w:tab w:leader="none" w:pos="184"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cash dividends or distributions shall be payable on such date or dates (each, a “Payment Date”) as may be fixed from time to time by the Board of Trustees to shareholders of record at the close of business on the record date(s) established by the Board of Trustees for the cash dividend or distribution involved.</w:t>
      </w:r>
    </w:p>
    <w:p>
      <w:pPr>
        <w:spacing w:after="0" w:line="175" w:lineRule="exact"/>
        <w:rPr>
          <w:rFonts w:ascii="Times New Roman" w:cs="Times New Roman" w:eastAsia="Times New Roman" w:hAnsi="Times New Roman"/>
          <w:sz w:val="18"/>
          <w:szCs w:val="18"/>
          <w:color w:val="auto"/>
        </w:rPr>
      </w:pPr>
    </w:p>
    <w:p>
      <w:pPr>
        <w:ind w:left="4" w:right="20" w:hanging="4"/>
        <w:spacing w:after="0" w:line="251" w:lineRule="auto"/>
        <w:tabs>
          <w:tab w:leader="none" w:pos="184"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declare all income dividends and/or capital gains distributions (collectively, “Distributions”) payable in Common Shares (or, as discussed below, at the option of shareholders solely upon an affirmative election, in cash). Prior to a quotation or listing of the Company’s securities on a national securities exchange (including through an initial public offering) or a sale of all or substantially all of the Company’s assets to, or a merger or other liquidity transaction with, an entity in which Shareholders receive shares of a publicly-traded company that continues to be managed by the Company’s investment adviser or an affiliate thereof (an “Exchange Listing”), to the extent that a Participant reinvests Distributions in additional Common Shares, the Participant will receive an amount of Common Shares equal to the amount of the Distribution on that shareholder’s Common Shares divided by the most recent fiscal quarter-end net asset value per share that is available on the date such Distribution was paid (unless the Board of Trustees determines to use the net asset value per share as of another time) (the “Reference NAV”). Shareholders receiving Distributions in the form of additional Common Shares will be treated for tax purposes as receiving a Distribution in the amount of cash that they would have received if they had elected to receive the Distribution in cash, unless the Company issues additional Common Shares with a fair market value equal to or greater than the Reference NAV, in which case such shareholders will be treated as receiving a Distribution in the amount of the fair market value of the distributed Common Shares. Following an Exchange Listing, to the extent that a Participant reinvests Distributions in additional Common Shares, the Participant will receive an amount of Common Shares equal to the amount of the Distribution on that Participant’s Common Shares divided by the market price per Common Share at the close of regular trading on the applicable stock exchange on the date of such Distribution, subject to the adjustments described below. With respect to each cash dividend or distribution pursuant to this Plan, the Board of Trustees reserves the right to either issue new Common Shares or purchase Common Shares in the open market for the accounts of Participants (as defined below) in connection with implementation of the Plan. Following an Exchange Listing, the number of Common Shares to be issued to a Participant will be determined by dividing the total dollar amount of the cash dividend or distribution payable to a Participant by the market price per share of the Common Shares at the close of regular trading on the applicable stock exchange on the Payment Date, or if no sale is reported for such day, the average of the reported bid and asked prices. However, if the market price per share on the Payment Date exceeds the most recently computed net asset value per share, the Company will issue Common Shares at the greater of (i) the most recently computed net asset value per share and (ii) 95% of the current market price per share (or such lesser discount to the current market price per share that still exceeds the most recently computed net asset value per share). Shares purchased in open market transactions by the Plan Administrator will be allocated to a Participant based on the average purchase price, excluding any brokerage charges or other charges, of all Common Shares purchased in the open market.</w:t>
      </w:r>
    </w:p>
    <w:p>
      <w:pPr>
        <w:spacing w:after="0" w:line="204" w:lineRule="exact"/>
        <w:rPr>
          <w:rFonts w:ascii="Times New Roman" w:cs="Times New Roman" w:eastAsia="Times New Roman" w:hAnsi="Times New Roman"/>
          <w:sz w:val="18"/>
          <w:szCs w:val="18"/>
          <w:color w:val="auto"/>
        </w:rPr>
      </w:pPr>
    </w:p>
    <w:p>
      <w:pPr>
        <w:ind w:left="4" w:right="80" w:hanging="4"/>
        <w:spacing w:after="0" w:line="261" w:lineRule="auto"/>
        <w:tabs>
          <w:tab w:leader="none" w:pos="184"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shareholder may elect to receive any portion of its cash dividends or distributions in cash. To exercise this option, such shareholder shall notify State Street Bank and Trust Company (referred to as the “Plan Administrator”), in writing so that such notice is received by the Plan Administrator no later than 10 days prior to the record date fixed by the Board of Trustees for the cash dividend or distribution associated with a particular Payment Date. Such</w:t>
      </w:r>
    </w:p>
    <w:p>
      <w:pPr>
        <w:sectPr>
          <w:pgSz w:w="11900" w:h="16838" w:orient="portrait"/>
          <w:cols w:equalWidth="0" w:num="1">
            <w:col w:w="11024"/>
          </w:cols>
          <w:pgMar w:left="436" w:top="117" w:right="439" w:bottom="1440" w:gutter="0" w:footer="0" w:header="0"/>
        </w:sectPr>
      </w:pPr>
    </w:p>
    <w:bookmarkStart w:id="263" w:name="page264"/>
    <w:bookmarkEnd w:id="263"/>
    <w:p>
      <w:pPr>
        <w:ind w:left="4" w:right="240"/>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election shall remain in effect until the shareholder shall notify the Plan Administrator in writing of such shareholder’s desire to change its election, which notice shall be delivered to the Plan Administrator no later than 10 days prior to the record date fixed by the Board of Trustees for the first distribution for which such shareholder wishes its new election to take effect. All correspondence concerning the Plan should be directed to the Plan Administrator by mail at State Street Corporation, Transfer Agency – Sixth Street Lending Partners, [Box 5493, Boston, Massachusetts 02206-5493].</w:t>
      </w:r>
    </w:p>
    <w:p>
      <w:pPr>
        <w:spacing w:after="0" w:line="164" w:lineRule="exact"/>
        <w:rPr>
          <w:sz w:val="20"/>
          <w:szCs w:val="20"/>
          <w:color w:val="auto"/>
        </w:rPr>
      </w:pPr>
    </w:p>
    <w:p>
      <w:pPr>
        <w:ind w:left="4" w:right="20" w:hanging="4"/>
        <w:spacing w:after="0" w:line="258" w:lineRule="auto"/>
        <w:tabs>
          <w:tab w:leader="none" w:pos="184"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Administrator will set up an account for Common Shares acquired pursuant to the Plan for each shareholder who has not so elected to receive a cash dividend or distribution in cash (each a “Participant”). The Plan Administrator may hold each Participant’s Common Shares, together with the shares of other Participants, in non-certificated form in the Plan Administrator’s name or that of its nominee. The number of Common Shares to be issued to a Participant pursuant to the Plan will be rounded down to the nearest whole share to avoid the issuance of fractional shares, with any fractional shares being paid in cash.</w:t>
      </w:r>
    </w:p>
    <w:p>
      <w:pPr>
        <w:spacing w:after="0" w:line="183" w:lineRule="exact"/>
        <w:rPr>
          <w:rFonts w:ascii="Times New Roman" w:cs="Times New Roman" w:eastAsia="Times New Roman" w:hAnsi="Times New Roman"/>
          <w:sz w:val="18"/>
          <w:szCs w:val="18"/>
          <w:color w:val="auto"/>
        </w:rPr>
      </w:pPr>
    </w:p>
    <w:p>
      <w:pPr>
        <w:ind w:left="4" w:hanging="4"/>
        <w:spacing w:after="0" w:line="261" w:lineRule="auto"/>
        <w:tabs>
          <w:tab w:leader="none" w:pos="184"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Administrator will confirm to each Participant each issuance of Common Shares made to such Participant pursuant to the Plan as soon as practicable following the date of such issuance. The Plan Administrator will forward to each Participant any Company-related proxy solicitation materials and each Company report or other communication to shareholders. Any shares held by a Participant under the Plan will be voted in accordance with the instructions set forth on proxies returned by the Participant to the Company.</w:t>
      </w:r>
    </w:p>
    <w:p>
      <w:pPr>
        <w:spacing w:after="0" w:line="179" w:lineRule="exact"/>
        <w:rPr>
          <w:rFonts w:ascii="Times New Roman" w:cs="Times New Roman" w:eastAsia="Times New Roman" w:hAnsi="Times New Roman"/>
          <w:sz w:val="18"/>
          <w:szCs w:val="18"/>
          <w:color w:val="auto"/>
        </w:rPr>
      </w:pPr>
    </w:p>
    <w:p>
      <w:pPr>
        <w:jc w:val="both"/>
        <w:ind w:left="4" w:right="40" w:hanging="4"/>
        <w:spacing w:after="0" w:line="266" w:lineRule="auto"/>
        <w:tabs>
          <w:tab w:leader="none" w:pos="184"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Company makes available to its shareholders rights to purchase additional shares or other securities, the Common Shares held by the Plan Administrator for each Participant under the Plan will be added to any other shares held by the Participant in calculating the number of rights to be issued to the Participant.</w:t>
      </w:r>
    </w:p>
    <w:p>
      <w:pPr>
        <w:spacing w:after="0" w:line="175" w:lineRule="exact"/>
        <w:rPr>
          <w:rFonts w:ascii="Times New Roman" w:cs="Times New Roman" w:eastAsia="Times New Roman" w:hAnsi="Times New Roman"/>
          <w:sz w:val="18"/>
          <w:szCs w:val="18"/>
          <w:color w:val="auto"/>
        </w:rPr>
      </w:pPr>
    </w:p>
    <w:p>
      <w:pPr>
        <w:ind w:left="4" w:right="160" w:hanging="4"/>
        <w:spacing w:after="0" w:line="258" w:lineRule="auto"/>
        <w:tabs>
          <w:tab w:leader="none" w:pos="184"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Administrator’s service fee, if any, and expenses for administering the Plan will be paid for by the Company. If a Participant elects by written notice to the Plan Administrator to have the Plan Administrator sell part or all of the Common Shares held by the Plan Administrator in the Participant’s account and remint the proceeds to the Participant, whether upon termination of the Plan by the Company, termination by a Participant of its or his account under the Plan or otherwise, the Plan Administrator is authorized to deduct a $15.00 transaction fee plus brokerage commission from the proceeds.</w:t>
      </w:r>
    </w:p>
    <w:p>
      <w:pPr>
        <w:spacing w:after="0" w:line="183" w:lineRule="exact"/>
        <w:rPr>
          <w:rFonts w:ascii="Times New Roman" w:cs="Times New Roman" w:eastAsia="Times New Roman" w:hAnsi="Times New Roman"/>
          <w:sz w:val="18"/>
          <w:szCs w:val="18"/>
          <w:color w:val="auto"/>
        </w:rPr>
      </w:pPr>
    </w:p>
    <w:p>
      <w:pPr>
        <w:jc w:val="both"/>
        <w:ind w:left="4" w:right="80" w:hanging="4"/>
        <w:spacing w:after="0" w:line="258" w:lineRule="auto"/>
        <w:tabs>
          <w:tab w:leader="none" w:pos="184"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Participant may terminate his or its account under the Plan by so notifying the Plan Administrator in writing. Such termination will be effective immediately if the Participant’s notice is received by the Plan Administrator not less than 10 days prior to any cash dividend or distribution record date; otherwise, such termination will be effective only with respect to any subsequent cash dividend or distribution. Upon any termination of the Plan by the Company in accordance with Section 11 or by a Participant of its or his account under the Plan, the Plan Administrator will cause Common Shares held for the Participant under the Plan to be credited to the Participant in book-entry form with the Company’s transfer agent.</w:t>
      </w:r>
    </w:p>
    <w:p>
      <w:pPr>
        <w:spacing w:after="0" w:line="183" w:lineRule="exact"/>
        <w:rPr>
          <w:rFonts w:ascii="Times New Roman" w:cs="Times New Roman" w:eastAsia="Times New Roman" w:hAnsi="Times New Roman"/>
          <w:sz w:val="18"/>
          <w:szCs w:val="18"/>
          <w:color w:val="auto"/>
        </w:rPr>
      </w:pPr>
    </w:p>
    <w:p>
      <w:pPr>
        <w:ind w:left="4" w:right="20" w:hanging="4"/>
        <w:spacing w:after="0" w:line="282" w:lineRule="auto"/>
        <w:tabs>
          <w:tab w:leader="none" w:pos="274"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may be terminated by the Company upon notice in writing mailed to each shareholder of record at least 30 days prior to any record date for the payment of any cash dividend or distribution by the Company.</w:t>
      </w:r>
    </w:p>
    <w:p>
      <w:pPr>
        <w:spacing w:after="0" w:line="161" w:lineRule="exact"/>
        <w:rPr>
          <w:rFonts w:ascii="Times New Roman" w:cs="Times New Roman" w:eastAsia="Times New Roman" w:hAnsi="Times New Roman"/>
          <w:sz w:val="18"/>
          <w:szCs w:val="18"/>
          <w:color w:val="auto"/>
        </w:rPr>
      </w:pPr>
    </w:p>
    <w:p>
      <w:pPr>
        <w:ind w:left="4" w:right="80" w:hanging="4"/>
        <w:spacing w:after="0" w:line="253" w:lineRule="auto"/>
        <w:tabs>
          <w:tab w:leader="none" w:pos="267"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terms and conditions may be amended or supplemented by the Company at any time but, except when necessary or appropriate to comply with applicable law or the rules or policies of the Securities and Exchange Commission or any other regulatory authority, only by mailing to each Participant appropriate written notice at least 30 days prior to the effective date thereof. The amendment or supplement shall be deemed to be accepted by each Participant unless, prior to the effective date thereof, the Plan Administrator receives written notice from the Participant of the termination of such Participant’s account under the Plan. Any such amendment or supplement may include an appointment by the Plan Administrator, in its place and stead, of a successor agent under the terms and conditions agreed upon by the Company, with full power and authority to perform all or any of the acts to be performed by the Plan Administrator under these terms and conditions. Upon any such appointment of any agent for the purpose of receiving cash dividends or distributions, the Company will be authorized to pay to such successor agent, for each Participant’s account, all cash dividends or distributions payable on shares of the Common Shares of the Company held in the Participant’s name or under the Plan for retention or application by such successor agent as provided in these terms and conditions.</w:t>
      </w:r>
    </w:p>
    <w:p>
      <w:pPr>
        <w:sectPr>
          <w:pgSz w:w="11900" w:h="16838" w:orient="portrait"/>
          <w:cols w:equalWidth="0" w:num="1">
            <w:col w:w="11004"/>
          </w:cols>
          <w:pgMar w:left="436" w:top="270" w:right="459" w:bottom="1440" w:gutter="0" w:footer="0" w:header="0"/>
        </w:sectPr>
      </w:pPr>
    </w:p>
    <w:bookmarkStart w:id="264" w:name="page265"/>
    <w:bookmarkEnd w:id="264"/>
    <w:p>
      <w:pPr>
        <w:ind w:left="4" w:hanging="4"/>
        <w:spacing w:after="0" w:line="261" w:lineRule="auto"/>
        <w:tabs>
          <w:tab w:leader="none" w:pos="274"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Plan Administrator will at all times act in good faith and use its best efforts within reasonable limits to ensure its full and timely performance of all services to be performed by it under this Plan and to comply with applicable law, but assumes no responsibility and shall not be liable for loss or damage due to errors unless any such error is caused by the Plan Administrator’s negligence, bad faith or willful misconduct of that or its employees or agents.</w:t>
      </w:r>
    </w:p>
    <w:p>
      <w:pPr>
        <w:spacing w:after="0" w:line="179" w:lineRule="exact"/>
        <w:rPr>
          <w:rFonts w:ascii="Times New Roman" w:cs="Times New Roman" w:eastAsia="Times New Roman" w:hAnsi="Times New Roman"/>
          <w:sz w:val="18"/>
          <w:szCs w:val="18"/>
          <w:color w:val="auto"/>
        </w:rPr>
      </w:pPr>
    </w:p>
    <w:p>
      <w:pPr>
        <w:ind w:left="4" w:right="120" w:hanging="4"/>
        <w:spacing w:after="0" w:line="282" w:lineRule="auto"/>
        <w:tabs>
          <w:tab w:leader="none" w:pos="274"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terms and conditions shall be governed by the laws of the State of New York, without regard to the conflicts of law principles thereof, to the extent such principles would require or permit the application of the laws of another jurisdiction.</w:t>
      </w:r>
    </w:p>
    <w:p>
      <w:pPr>
        <w:sectPr>
          <w:pgSz w:w="11900" w:h="16838" w:orient="portrait"/>
          <w:cols w:equalWidth="0" w:num="1">
            <w:col w:w="10944"/>
          </w:cols>
          <w:pgMar w:left="436" w:top="270" w:right="519" w:bottom="1440" w:gutter="0" w:footer="0" w:header="0"/>
        </w:sectPr>
      </w:pPr>
    </w:p>
    <w:bookmarkStart w:id="265" w:name="page266"/>
    <w:bookmarkEnd w:id="265"/>
    <w:p>
      <w:pPr>
        <w:jc w:val="right"/>
        <w:spacing w:after="0"/>
        <w:rPr>
          <w:sz w:val="20"/>
          <w:szCs w:val="20"/>
          <w:color w:val="auto"/>
        </w:rPr>
      </w:pPr>
      <w:r>
        <w:rPr>
          <w:rFonts w:ascii="Times New Roman" w:cs="Times New Roman" w:eastAsia="Times New Roman" w:hAnsi="Times New Roman"/>
          <w:sz w:val="18"/>
          <w:szCs w:val="18"/>
          <w:b w:val="1"/>
          <w:bCs w:val="1"/>
          <w:color w:val="auto"/>
        </w:rPr>
        <w:t>Exhibit 10.5</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EXPENSE SUPPORT AND CONDITIONAL REIMBURSEMENT AGREEMENT</w:t>
      </w:r>
    </w:p>
    <w:p>
      <w:pPr>
        <w:spacing w:after="0" w:line="225" w:lineRule="exact"/>
        <w:rPr>
          <w:sz w:val="20"/>
          <w:szCs w:val="20"/>
          <w:color w:val="auto"/>
        </w:rPr>
      </w:pPr>
    </w:p>
    <w:p>
      <w:pPr>
        <w:ind w:left="4" w:right="120" w:firstLine="440"/>
        <w:spacing w:after="0" w:line="268" w:lineRule="auto"/>
        <w:rPr>
          <w:sz w:val="20"/>
          <w:szCs w:val="20"/>
          <w:color w:val="auto"/>
        </w:rPr>
      </w:pPr>
      <w:r>
        <w:rPr>
          <w:rFonts w:ascii="Times New Roman" w:cs="Times New Roman" w:eastAsia="Times New Roman" w:hAnsi="Times New Roman"/>
          <w:sz w:val="18"/>
          <w:szCs w:val="18"/>
          <w:color w:val="auto"/>
        </w:rPr>
        <w:t>This Expense Support and Conditional Reimbursement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this 28th day of June, 2022, by and between SIXTH STREET LENDING PARTNERS, a Delaware statutory trust (the “</w:t>
      </w:r>
      <w:r>
        <w:rPr>
          <w:rFonts w:ascii="Times New Roman" w:cs="Times New Roman" w:eastAsia="Times New Roman" w:hAnsi="Times New Roman"/>
          <w:sz w:val="18"/>
          <w:szCs w:val="18"/>
          <w:b w:val="1"/>
          <w:bCs w:val="1"/>
          <w:color w:val="auto"/>
        </w:rPr>
        <w:t>Fund</w:t>
      </w:r>
      <w:r>
        <w:rPr>
          <w:rFonts w:ascii="Times New Roman" w:cs="Times New Roman" w:eastAsia="Times New Roman" w:hAnsi="Times New Roman"/>
          <w:sz w:val="18"/>
          <w:szCs w:val="18"/>
          <w:color w:val="auto"/>
        </w:rPr>
        <w:t>”), and SIXTH STREET LENDING PARTNERS ADVISERS, LLC, a Delaware limited liability company (the “</w:t>
      </w:r>
      <w:r>
        <w:rPr>
          <w:rFonts w:ascii="Times New Roman" w:cs="Times New Roman" w:eastAsia="Times New Roman" w:hAnsi="Times New Roman"/>
          <w:sz w:val="18"/>
          <w:szCs w:val="18"/>
          <w:b w:val="1"/>
          <w:bCs w:val="1"/>
          <w:color w:val="auto"/>
        </w:rPr>
        <w:t>Adviser</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left="4" w:right="940" w:firstLine="440"/>
        <w:spacing w:after="0" w:line="282" w:lineRule="auto"/>
        <w:rPr>
          <w:sz w:val="20"/>
          <w:szCs w:val="20"/>
          <w:color w:val="auto"/>
        </w:rPr>
      </w:pPr>
      <w:r>
        <w:rPr>
          <w:rFonts w:ascii="Times New Roman" w:cs="Times New Roman" w:eastAsia="Times New Roman" w:hAnsi="Times New Roman"/>
          <w:sz w:val="18"/>
          <w:szCs w:val="18"/>
          <w:color w:val="auto"/>
        </w:rPr>
        <w:t>WHEREAS, the Fund is a non-diversified, closed-end management investment company that has elected to be regulated as a business development company under the Investment Company Act of 1940, as amended (the “</w:t>
      </w:r>
      <w:r>
        <w:rPr>
          <w:rFonts w:ascii="Times New Roman" w:cs="Times New Roman" w:eastAsia="Times New Roman" w:hAnsi="Times New Roman"/>
          <w:sz w:val="18"/>
          <w:szCs w:val="18"/>
          <w:b w:val="1"/>
          <w:bCs w:val="1"/>
          <w:color w:val="auto"/>
        </w:rPr>
        <w:t>Investment Company Act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 w:right="120" w:firstLine="440"/>
        <w:spacing w:after="0" w:line="266" w:lineRule="auto"/>
        <w:rPr>
          <w:sz w:val="20"/>
          <w:szCs w:val="20"/>
          <w:color w:val="auto"/>
        </w:rPr>
      </w:pPr>
      <w:r>
        <w:rPr>
          <w:rFonts w:ascii="Times New Roman" w:cs="Times New Roman" w:eastAsia="Times New Roman" w:hAnsi="Times New Roman"/>
          <w:sz w:val="18"/>
          <w:szCs w:val="18"/>
          <w:color w:val="auto"/>
        </w:rPr>
        <w:t>WHEREAS, the Fund has retained the Adviser to furnish investment advisory services to the Fund on the terms and conditions set forth in the investment advisory and management agreement, dated June 28</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2022, entered between the Fund and the Adviser, as may be amended or restated (the “</w:t>
      </w:r>
      <w:r>
        <w:rPr>
          <w:rFonts w:ascii="Times New Roman" w:cs="Times New Roman" w:eastAsia="Times New Roman" w:hAnsi="Times New Roman"/>
          <w:sz w:val="18"/>
          <w:szCs w:val="18"/>
          <w:b w:val="1"/>
          <w:bCs w:val="1"/>
          <w:color w:val="auto"/>
        </w:rPr>
        <w:t>Investment Advisory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 w:right="40" w:firstLine="440"/>
        <w:spacing w:after="0" w:line="266" w:lineRule="auto"/>
        <w:rPr>
          <w:sz w:val="20"/>
          <w:szCs w:val="20"/>
          <w:color w:val="auto"/>
        </w:rPr>
      </w:pPr>
      <w:r>
        <w:rPr>
          <w:rFonts w:ascii="Times New Roman" w:cs="Times New Roman" w:eastAsia="Times New Roman" w:hAnsi="Times New Roman"/>
          <w:sz w:val="18"/>
          <w:szCs w:val="18"/>
          <w:color w:val="auto"/>
        </w:rPr>
        <w:t>WHEREAS, the Fund and the Adviser have determined that it is appropriate and in the best interests of the Fund that the Adviser may elect to pay a portion of the Fund’s expenses from time to time, which the Fund will be obligated to reimburse to the Adviser at a later date if certain conditions are met.</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NOW, THEREFORE, in consideration of the premises and for other good and valuable consideration, the parties hereby agree as follows:</w:t>
      </w:r>
    </w:p>
    <w:p>
      <w:pPr>
        <w:spacing w:after="0" w:line="329" w:lineRule="exact"/>
        <w:rPr>
          <w:sz w:val="20"/>
          <w:szCs w:val="20"/>
          <w:color w:val="auto"/>
        </w:rPr>
      </w:pPr>
    </w:p>
    <w:p>
      <w:pPr>
        <w:ind w:left="184" w:hanging="184"/>
        <w:spacing w:after="0"/>
        <w:tabs>
          <w:tab w:leader="none" w:pos="184" w:val="left"/>
        </w:tabs>
        <w:numPr>
          <w:ilvl w:val="0"/>
          <w:numId w:val="2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Adviser Expense Payments to the Fund</w:t>
      </w:r>
    </w:p>
    <w:p>
      <w:pPr>
        <w:spacing w:after="0" w:line="121" w:lineRule="exact"/>
        <w:rPr>
          <w:rFonts w:ascii="Times New Roman" w:cs="Times New Roman" w:eastAsia="Times New Roman" w:hAnsi="Times New Roman"/>
          <w:sz w:val="18"/>
          <w:szCs w:val="18"/>
          <w:b w:val="1"/>
          <w:bCs w:val="1"/>
          <w:color w:val="auto"/>
        </w:rPr>
      </w:pPr>
    </w:p>
    <w:p>
      <w:pPr>
        <w:ind w:left="4" w:right="140" w:firstLine="436"/>
        <w:spacing w:after="0" w:line="261" w:lineRule="auto"/>
        <w:tabs>
          <w:tab w:leader="none" w:pos="689" w:val="left"/>
        </w:tabs>
        <w:numPr>
          <w:ilvl w:val="1"/>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such times as the Adviser determines, the Adviser may elect to pay certain expenses of the Fund on the Fund’s behalf (each such payment, an “</w:t>
      </w:r>
      <w:r>
        <w:rPr>
          <w:rFonts w:ascii="Times New Roman" w:cs="Times New Roman" w:eastAsia="Times New Roman" w:hAnsi="Times New Roman"/>
          <w:sz w:val="18"/>
          <w:szCs w:val="18"/>
          <w:b w:val="1"/>
          <w:bCs w:val="1"/>
          <w:color w:val="auto"/>
        </w:rPr>
        <w:t>Expense Payment</w:t>
      </w:r>
      <w:r>
        <w:rPr>
          <w:rFonts w:ascii="Times New Roman" w:cs="Times New Roman" w:eastAsia="Times New Roman" w:hAnsi="Times New Roman"/>
          <w:sz w:val="18"/>
          <w:szCs w:val="18"/>
          <w:color w:val="auto"/>
        </w:rPr>
        <w:t>”). In making an Expense Payment, the Adviser will designate, as it deems necessary or advisable, what type of expense it is paying (including, whether it is paying organizational or offering expenses); provided that no portion of an Expense Payment will be used to pay any interest expense or distribution and/or servicing fees of the Fund.</w:t>
      </w:r>
    </w:p>
    <w:p>
      <w:pPr>
        <w:spacing w:after="0" w:line="179" w:lineRule="exact"/>
        <w:rPr>
          <w:rFonts w:ascii="Times New Roman" w:cs="Times New Roman" w:eastAsia="Times New Roman" w:hAnsi="Times New Roman"/>
          <w:sz w:val="18"/>
          <w:szCs w:val="18"/>
          <w:color w:val="auto"/>
        </w:rPr>
      </w:pPr>
    </w:p>
    <w:p>
      <w:pPr>
        <w:ind w:left="4" w:right="60" w:firstLine="436"/>
        <w:spacing w:after="0" w:line="261" w:lineRule="auto"/>
        <w:tabs>
          <w:tab w:leader="none" w:pos="699" w:val="left"/>
        </w:tabs>
        <w:numPr>
          <w:ilvl w:val="1"/>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Fund’s right to receive an Expense Payment shall be an asset of the Fund upon the Adviser committing in writing to pay the Expense Payment pursuant to a notice substantially in the form of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Any Expense Payment that the Adviser has committed to pay shall be paid by the Adviser to the Fund in any combination of cash or other immediately available funds no later than 45 days after such commitment was made in writing, and/or offset against amounts due from the Fund to the Adviser or its affiliates.</w:t>
      </w:r>
    </w:p>
    <w:p>
      <w:pPr>
        <w:spacing w:after="0" w:line="283"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2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Reimbursement of Expense Payments by the Fund</w:t>
      </w:r>
    </w:p>
    <w:p>
      <w:pPr>
        <w:spacing w:after="0" w:line="121" w:lineRule="exact"/>
        <w:rPr>
          <w:rFonts w:ascii="Times New Roman" w:cs="Times New Roman" w:eastAsia="Times New Roman" w:hAnsi="Times New Roman"/>
          <w:sz w:val="18"/>
          <w:szCs w:val="18"/>
          <w:b w:val="1"/>
          <w:bCs w:val="1"/>
          <w:color w:val="auto"/>
        </w:rPr>
      </w:pPr>
    </w:p>
    <w:p>
      <w:pPr>
        <w:ind w:left="4" w:right="40" w:firstLine="436"/>
        <w:spacing w:after="0" w:line="253" w:lineRule="auto"/>
        <w:tabs>
          <w:tab w:leader="none" w:pos="689" w:val="left"/>
        </w:tabs>
        <w:numPr>
          <w:ilvl w:val="1"/>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any calendar month or quarter, as applicable, in which Available Operating Funds (as defined below) exceed the cumulative distributions accrued to the Fund’s shareholders based on distributions declared with respect to record dates occurring in such calendar month or quarter, as applicable (the amount of such excess being hereinafter referred to as “</w:t>
      </w:r>
      <w:r>
        <w:rPr>
          <w:rFonts w:ascii="Times New Roman" w:cs="Times New Roman" w:eastAsia="Times New Roman" w:hAnsi="Times New Roman"/>
          <w:sz w:val="18"/>
          <w:szCs w:val="18"/>
          <w:b w:val="1"/>
          <w:bCs w:val="1"/>
          <w:color w:val="auto"/>
        </w:rPr>
        <w:t>Excess Operating Funds</w:t>
      </w:r>
      <w:r>
        <w:rPr>
          <w:rFonts w:ascii="Times New Roman" w:cs="Times New Roman" w:eastAsia="Times New Roman" w:hAnsi="Times New Roman"/>
          <w:sz w:val="18"/>
          <w:szCs w:val="18"/>
          <w:color w:val="auto"/>
        </w:rPr>
        <w:t>”), the Fund shall pay such Excess Operating Funds, or a portion thereof in accordance with Sections 2(b), as applicable, to the Adviser until such time as all Expense Payments made by the Adviser to the Fund within three years prior to the last business day of such calendar month or quarter, as applicable, have been reimbursed. Any payments required to be made by the Fund pursuant to this Section 2(a) shall be referred to herein as a “</w:t>
      </w:r>
      <w:r>
        <w:rPr>
          <w:rFonts w:ascii="Times New Roman" w:cs="Times New Roman" w:eastAsia="Times New Roman" w:hAnsi="Times New Roman"/>
          <w:sz w:val="18"/>
          <w:szCs w:val="18"/>
          <w:b w:val="1"/>
          <w:bCs w:val="1"/>
          <w:color w:val="auto"/>
        </w:rPr>
        <w:t>Reimbursement Payment</w:t>
      </w:r>
      <w:r>
        <w:rPr>
          <w:rFonts w:ascii="Times New Roman" w:cs="Times New Roman" w:eastAsia="Times New Roman" w:hAnsi="Times New Roman"/>
          <w:sz w:val="18"/>
          <w:szCs w:val="18"/>
          <w:color w:val="auto"/>
        </w:rPr>
        <w:t>.” For purposes of this Agreement, “</w:t>
      </w:r>
      <w:r>
        <w:rPr>
          <w:rFonts w:ascii="Times New Roman" w:cs="Times New Roman" w:eastAsia="Times New Roman" w:hAnsi="Times New Roman"/>
          <w:sz w:val="18"/>
          <w:szCs w:val="18"/>
          <w:b w:val="1"/>
          <w:bCs w:val="1"/>
          <w:color w:val="auto"/>
        </w:rPr>
        <w:t>Available Operating Funds</w:t>
      </w:r>
      <w:r>
        <w:rPr>
          <w:rFonts w:ascii="Times New Roman" w:cs="Times New Roman" w:eastAsia="Times New Roman" w:hAnsi="Times New Roman"/>
          <w:sz w:val="18"/>
          <w:szCs w:val="18"/>
          <w:color w:val="auto"/>
        </w:rPr>
        <w:t>” means the sum of (i) the Fund’s net investment company taxable income (including net short-term capital gains reduced by net long-term capital losses), (ii) the Fund’s net capital gains (including the excess of net long-term capital gains over net short-term capital losses) and (iii) dividends and other distributions paid to the Fund on account of investments in portfolio companies (to the extent such amounts listed in clause (iii) are not included under clauses (i) and (ii) above).</w:t>
      </w:r>
    </w:p>
    <w:p>
      <w:pPr>
        <w:sectPr>
          <w:pgSz w:w="11900" w:h="16838" w:orient="portrait"/>
          <w:cols w:equalWidth="0" w:num="1">
            <w:col w:w="11024"/>
          </w:cols>
          <w:pgMar w:left="436" w:top="117" w:right="439" w:bottom="1440" w:gutter="0" w:footer="0" w:header="0"/>
        </w:sectPr>
      </w:pPr>
    </w:p>
    <w:bookmarkStart w:id="266" w:name="page267"/>
    <w:bookmarkEnd w:id="266"/>
    <w:p>
      <w:pPr>
        <w:ind w:left="4" w:right="80" w:firstLine="436"/>
        <w:spacing w:after="0" w:line="256" w:lineRule="auto"/>
        <w:tabs>
          <w:tab w:leader="none" w:pos="699"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amount of the Reimbursement Payment for any calendar month or quarter, as applicable, shall equal the lesser of (i) the Excess Operating Funds in such month or quarter, as applicable, and (ii) the aggregate amount of all Expense Payments made by the Adviser to the Fund within three years prior to the last business day of such calendar month or quarter, as applicable, that have not been previously reimbursed by the Fund to the Adviser; provided that the Adviser may waive its right to receive all or a portion of any Reimbursement Payment in any particular calendar month or quarter, as applicable, in which case such waived amount will remain unreimbursed Expense Payments reimbursable in future months pursuant to the terms of this Agreement.</w:t>
      </w:r>
    </w:p>
    <w:p>
      <w:pPr>
        <w:spacing w:after="0" w:line="187" w:lineRule="exact"/>
        <w:rPr>
          <w:rFonts w:ascii="Times New Roman" w:cs="Times New Roman" w:eastAsia="Times New Roman" w:hAnsi="Times New Roman"/>
          <w:sz w:val="18"/>
          <w:szCs w:val="18"/>
          <w:color w:val="auto"/>
        </w:rPr>
      </w:pPr>
    </w:p>
    <w:p>
      <w:pPr>
        <w:ind w:left="4" w:right="140" w:firstLine="436"/>
        <w:spacing w:after="0" w:line="254" w:lineRule="auto"/>
        <w:tabs>
          <w:tab w:leader="none" w:pos="689"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no Reimbursement Payment for any month or quarter, as applicable, shall be made if: (1) the Effective Rate of Distributions Per Share declared by the Company at the time of such proposed Reimbursement Payment is less than the Effective Rate of Distributions Per Share at the time the Expense Payment was made to which such Reimbursement Payment relates, or (2) the Company’s Operating Expense Ratio at the time of such proposed Reimbursement Payment is greater than the Operating Expense Ratio at the time the Expense Payment was made to which such Reimbursement Payment relates. For purposes of the Agreement, “</w:t>
      </w:r>
      <w:r>
        <w:rPr>
          <w:rFonts w:ascii="Times New Roman" w:cs="Times New Roman" w:eastAsia="Times New Roman" w:hAnsi="Times New Roman"/>
          <w:sz w:val="18"/>
          <w:szCs w:val="18"/>
          <w:b w:val="1"/>
          <w:bCs w:val="1"/>
          <w:color w:val="auto"/>
        </w:rPr>
        <w:t>Effective Rate of Distributions Per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w:t>
      </w:r>
      <w:r>
        <w:rPr>
          <w:rFonts w:ascii="Times New Roman" w:cs="Times New Roman" w:eastAsia="Times New Roman" w:hAnsi="Times New Roman"/>
          <w:sz w:val="18"/>
          <w:szCs w:val="18"/>
          <w:color w:val="auto"/>
        </w:rPr>
        <w:t>” means the annualized rate (based on a 365 day year) of regular cash distributions per share exclusive of returns of capital, distribution 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reductions due to distribution and shareholder fees, and declared special dividends or special distributions, if any. The “</w:t>
      </w:r>
      <w:r>
        <w:rPr>
          <w:rFonts w:ascii="Times New Roman" w:cs="Times New Roman" w:eastAsia="Times New Roman" w:hAnsi="Times New Roman"/>
          <w:sz w:val="18"/>
          <w:szCs w:val="18"/>
          <w:b w:val="1"/>
          <w:bCs w:val="1"/>
          <w:color w:val="auto"/>
        </w:rPr>
        <w:t>Operating Expense Ratio</w:t>
      </w:r>
      <w:r>
        <w:rPr>
          <w:rFonts w:ascii="Times New Roman" w:cs="Times New Roman" w:eastAsia="Times New Roman" w:hAnsi="Times New Roman"/>
          <w:sz w:val="18"/>
          <w:szCs w:val="18"/>
          <w:color w:val="auto"/>
        </w:rPr>
        <w:t>” is calculated by dividing operating expenses, less organizational and offering expenses, base management and incentive fees owed to the Adviser, and interest expense, by the Company’s net assets.</w:t>
      </w:r>
    </w:p>
    <w:p>
      <w:pPr>
        <w:spacing w:after="0" w:line="188" w:lineRule="exact"/>
        <w:rPr>
          <w:rFonts w:ascii="Times New Roman" w:cs="Times New Roman" w:eastAsia="Times New Roman" w:hAnsi="Times New Roman"/>
          <w:sz w:val="18"/>
          <w:szCs w:val="18"/>
          <w:color w:val="auto"/>
        </w:rPr>
      </w:pPr>
    </w:p>
    <w:p>
      <w:pPr>
        <w:ind w:left="4" w:firstLine="436"/>
        <w:spacing w:after="0" w:line="256" w:lineRule="auto"/>
        <w:tabs>
          <w:tab w:leader="none" w:pos="699"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Fund’s obligation to make a Reimbursement Payment shall automatically become a liability of the Fund on the last business day of the applicable calendar month or quarter, as applicable, except to the extent the Adviser has waived its right to receive such payment for the applicable month or quarter, as applicable. In connection with any Reimbursement Payment, the Fund may deliver a notice substantially in the form of </w:t>
      </w:r>
      <w:r>
        <w:rPr>
          <w:rFonts w:ascii="Times New Roman" w:cs="Times New Roman" w:eastAsia="Times New Roman" w:hAnsi="Times New Roman"/>
          <w:sz w:val="18"/>
          <w:szCs w:val="18"/>
          <w:u w:val="single" w:color="auto"/>
          <w:color w:val="auto"/>
        </w:rPr>
        <w:t>Appendix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The Reimbursement Payment for any calendar month or quarter, as applicable, shall be paid by the Fund to the Adviser in any combination of cash or other immediately available funds as promptly as possible following such calendar month or quarter, as applicable, and in no event later than 45 days after the end of such calendar month or quarter, as applicable.</w:t>
      </w:r>
    </w:p>
    <w:p>
      <w:pPr>
        <w:spacing w:after="0" w:line="187" w:lineRule="exact"/>
        <w:rPr>
          <w:rFonts w:ascii="Times New Roman" w:cs="Times New Roman" w:eastAsia="Times New Roman" w:hAnsi="Times New Roman"/>
          <w:sz w:val="18"/>
          <w:szCs w:val="18"/>
          <w:color w:val="auto"/>
        </w:rPr>
      </w:pPr>
    </w:p>
    <w:p>
      <w:pPr>
        <w:jc w:val="both"/>
        <w:ind w:left="4" w:right="100" w:firstLine="436"/>
        <w:spacing w:after="0" w:line="266" w:lineRule="auto"/>
        <w:tabs>
          <w:tab w:leader="none" w:pos="689"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Reimbursement Payments hereunder shall be deemed to relate to the earliest unreimbursed Expense Payments made by the Adviser to the Fund within three years prior to the last business day of the calendar month or quarter, as applicable, in which such Reimbursement Payment obligation is accrued.</w:t>
      </w:r>
    </w:p>
    <w:p>
      <w:pPr>
        <w:spacing w:after="0" w:line="279"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2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Termination and Survival</w:t>
      </w:r>
    </w:p>
    <w:p>
      <w:pPr>
        <w:spacing w:after="0" w:line="121" w:lineRule="exact"/>
        <w:rPr>
          <w:rFonts w:ascii="Times New Roman" w:cs="Times New Roman" w:eastAsia="Times New Roman" w:hAnsi="Times New Roman"/>
          <w:sz w:val="18"/>
          <w:szCs w:val="18"/>
          <w:b w:val="1"/>
          <w:bCs w:val="1"/>
          <w:color w:val="auto"/>
        </w:rPr>
      </w:pPr>
    </w:p>
    <w:p>
      <w:pPr>
        <w:ind w:left="684" w:hanging="244"/>
        <w:spacing w:after="0"/>
        <w:tabs>
          <w:tab w:leader="none" w:pos="684" w:val="left"/>
        </w:tabs>
        <w:numPr>
          <w:ilvl w:val="1"/>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become effective as of the date of this Agreement.</w:t>
      </w:r>
    </w:p>
    <w:p>
      <w:pPr>
        <w:spacing w:after="0" w:line="225"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terminated, without the payment of any penalty, by the Fund or the Adviser at any time, with or without notice.</w:t>
      </w:r>
    </w:p>
    <w:p>
      <w:pPr>
        <w:spacing w:after="0" w:line="225" w:lineRule="exact"/>
        <w:rPr>
          <w:rFonts w:ascii="Times New Roman" w:cs="Times New Roman" w:eastAsia="Times New Roman" w:hAnsi="Times New Roman"/>
          <w:sz w:val="18"/>
          <w:szCs w:val="18"/>
          <w:color w:val="auto"/>
        </w:rPr>
      </w:pPr>
    </w:p>
    <w:p>
      <w:pPr>
        <w:ind w:left="4" w:right="20" w:firstLine="436"/>
        <w:spacing w:after="0" w:line="258" w:lineRule="auto"/>
        <w:tabs>
          <w:tab w:leader="none" w:pos="689" w:val="left"/>
        </w:tabs>
        <w:numPr>
          <w:ilvl w:val="1"/>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automatically terminate in the event of (i) the termination by the Fund of the Investment Advisory Agreement; (ii) the board of trustees of the Fund makes a determination to dissolve or liquidate the Fund; or (iii) upon a quotation or listing of the Fund’s securities on a national securities exchange (including through an initial public offering) or a sale of all or substantially all of the Fund’s assets to, or a merger or other liquidity transaction with, an entity in which the Fund’s shareholders receive shares of a publicly-traded company which continues to be managed by the Adviser or an affiliate thereof.</w:t>
      </w:r>
    </w:p>
    <w:p>
      <w:pPr>
        <w:spacing w:after="0" w:line="183" w:lineRule="exact"/>
        <w:rPr>
          <w:rFonts w:ascii="Times New Roman" w:cs="Times New Roman" w:eastAsia="Times New Roman" w:hAnsi="Times New Roman"/>
          <w:sz w:val="18"/>
          <w:szCs w:val="18"/>
          <w:color w:val="auto"/>
        </w:rPr>
      </w:pPr>
    </w:p>
    <w:p>
      <w:pPr>
        <w:ind w:left="4" w:right="40" w:firstLine="436"/>
        <w:spacing w:after="0" w:line="266" w:lineRule="auto"/>
        <w:tabs>
          <w:tab w:leader="none" w:pos="699" w:val="left"/>
        </w:tabs>
        <w:numPr>
          <w:ilvl w:val="1"/>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Sections 3 and 4 of this Agreement shall survive any termination of this Agreement. Notwithstanding anything to the contrary, Section 2 of this Agreement shall survive any termination of this Agreement with respect to any Expense Payments that have not been reimbursed by the Fund to the Adviser.</w:t>
      </w:r>
    </w:p>
    <w:p>
      <w:pPr>
        <w:spacing w:after="0" w:line="279"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2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Miscellaneous</w:t>
      </w:r>
    </w:p>
    <w:p>
      <w:pPr>
        <w:spacing w:after="0" w:line="121" w:lineRule="exact"/>
        <w:rPr>
          <w:rFonts w:ascii="Times New Roman" w:cs="Times New Roman" w:eastAsia="Times New Roman" w:hAnsi="Times New Roman"/>
          <w:sz w:val="18"/>
          <w:szCs w:val="18"/>
          <w:b w:val="1"/>
          <w:bCs w:val="1"/>
          <w:color w:val="auto"/>
        </w:rPr>
      </w:pPr>
    </w:p>
    <w:p>
      <w:pPr>
        <w:ind w:left="4" w:right="420" w:firstLine="436"/>
        <w:spacing w:after="0" w:line="282" w:lineRule="auto"/>
        <w:tabs>
          <w:tab w:leader="none" w:pos="689" w:val="left"/>
        </w:tabs>
        <w:numPr>
          <w:ilvl w:val="1"/>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captions of this Agreement are included for convenience only and in no way define or limit any of the provisions hereof or otherwise affect their construction or effect.</w:t>
      </w:r>
    </w:p>
    <w:p>
      <w:pPr>
        <w:spacing w:after="0" w:line="161" w:lineRule="exact"/>
        <w:rPr>
          <w:rFonts w:ascii="Times New Roman" w:cs="Times New Roman" w:eastAsia="Times New Roman" w:hAnsi="Times New Roman"/>
          <w:sz w:val="18"/>
          <w:szCs w:val="18"/>
          <w:color w:val="auto"/>
        </w:rPr>
      </w:pPr>
    </w:p>
    <w:p>
      <w:pPr>
        <w:ind w:left="4" w:right="520" w:firstLine="436"/>
        <w:spacing w:after="0" w:line="282" w:lineRule="auto"/>
        <w:tabs>
          <w:tab w:leader="none" w:pos="699" w:val="left"/>
        </w:tabs>
        <w:numPr>
          <w:ilvl w:val="1"/>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contains the entire agreement of the parties and supersedes all prior agreements, understandings and arrangements with respect to the subject matter hereof.</w:t>
      </w:r>
    </w:p>
    <w:p>
      <w:pPr>
        <w:spacing w:after="0" w:line="33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70" w:right="459" w:bottom="1440" w:gutter="0" w:footer="0" w:header="0"/>
        </w:sectPr>
      </w:pPr>
    </w:p>
    <w:bookmarkStart w:id="267" w:name="page268"/>
    <w:bookmarkEnd w:id="267"/>
    <w:p>
      <w:pPr>
        <w:ind w:right="60" w:firstLine="436"/>
        <w:spacing w:after="0" w:line="255" w:lineRule="auto"/>
        <w:tabs>
          <w:tab w:leader="none" w:pos="685"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the place where this Agreement may be executed by any of the parties hereto, this Agreement shall be construed in accordance with the laws of the State of New York. For so long as the Fund is regulated as a business development company under the Investment Company Act, this Agreement shall also be construed in accordance with the applicable provisions of the Investment Company Act. In such case, to the extent the applicable laws of the State of New York or any of the provisions herein conflict with the provisions of the Investment Company Act, the latter shall control. Further, nothing in this Agreement shall be deemed to require the Fund to take any action contrary to the Fund’s declaration of trust or by-laws, as each may be amended or restated, or to relieve or deprive the board of trustees of the Fund of its responsibility for and control of the conduct of the affairs of the Fund.</w:t>
      </w:r>
    </w:p>
    <w:p>
      <w:pPr>
        <w:spacing w:after="0" w:line="188" w:lineRule="exact"/>
        <w:rPr>
          <w:rFonts w:ascii="Times New Roman" w:cs="Times New Roman" w:eastAsia="Times New Roman" w:hAnsi="Times New Roman"/>
          <w:sz w:val="18"/>
          <w:szCs w:val="18"/>
          <w:color w:val="auto"/>
        </w:rPr>
      </w:pPr>
    </w:p>
    <w:p>
      <w:pPr>
        <w:ind w:firstLine="436"/>
        <w:spacing w:after="0" w:line="282" w:lineRule="auto"/>
        <w:tabs>
          <w:tab w:leader="none" w:pos="695"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provision of this Agreement shall be held or made invalid by a court decision, statute, rule or otherwise, the remainder of this Agreement shall not be affected thereby and, to this extent, the provisions of this Agreement shall be deemed to be severable.</w:t>
      </w:r>
    </w:p>
    <w:p>
      <w:pPr>
        <w:spacing w:after="0" w:line="161"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shall not assign this Agreement or any right, interest or benefit under this Agreement without the prior written consent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Adviser.</w:t>
      </w:r>
    </w:p>
    <w:p>
      <w:pPr>
        <w:spacing w:after="0" w:line="206" w:lineRule="exact"/>
        <w:rPr>
          <w:rFonts w:ascii="Times New Roman" w:cs="Times New Roman" w:eastAsia="Times New Roman" w:hAnsi="Times New Roman"/>
          <w:sz w:val="18"/>
          <w:szCs w:val="18"/>
          <w:color w:val="auto"/>
        </w:rPr>
      </w:pPr>
    </w:p>
    <w:p>
      <w:pPr>
        <w:ind w:right="40" w:firstLine="436"/>
        <w:spacing w:after="0" w:line="255" w:lineRule="auto"/>
        <w:tabs>
          <w:tab w:leader="none" w:pos="665"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amended in writing by mutual consent of the parties. This Agreement may be executed by the parties on any number of counterparts, delivery of which may occur by facsimile or as an attachment to an electronic communication, each of which shall be deemed an original, and all of said counterparts taken together shall be deemed to constitute one and the same instrument. For the avoidance of doubt, a person’s execution and delivery of this Agreement by electronic signature and electronic transmission (jointly, an “</w:t>
      </w:r>
      <w:r>
        <w:rPr>
          <w:rFonts w:ascii="Times New Roman" w:cs="Times New Roman" w:eastAsia="Times New Roman" w:hAnsi="Times New Roman"/>
          <w:sz w:val="18"/>
          <w:szCs w:val="18"/>
          <w:b w:val="1"/>
          <w:bCs w:val="1"/>
          <w:color w:val="auto"/>
        </w:rPr>
        <w:t>Electronic Signature</w:t>
      </w:r>
      <w:r>
        <w:rPr>
          <w:rFonts w:ascii="Times New Roman" w:cs="Times New Roman" w:eastAsia="Times New Roman" w:hAnsi="Times New Roman"/>
          <w:sz w:val="18"/>
          <w:szCs w:val="18"/>
          <w:color w:val="auto"/>
        </w:rPr>
        <w:t>”), including via DocuSign or other similar method, shall constitute the execution and delivery of a counterpart of this Agreement by or on behalf of such party and shall bind such party to the terms of this Agreement. Any party executing and delivering this Agreement by an Electronic Signature further agrees to take any and all reasonable additional actions, if any, evidencing its intent to be bound by the terms of this Agreement.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268" w:name="page269"/>
    <w:bookmarkEnd w:id="268"/>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Agreement to be executed by their duly authorized representatives as of the date first written above.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LENDING PARTNERS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Ian Simmonds</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Ian Simmonds</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LENDING PARTNERS ADVISERS,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Ian Simmonds</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Ian Simmonds</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9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i w:val="1"/>
          <w:iCs w:val="1"/>
          <w:color w:val="auto"/>
        </w:rPr>
        <w:t>[Signature Page to Expense Support and Conditional Reimbursement Agreement]</w:t>
      </w:r>
    </w:p>
    <w:p>
      <w:pPr>
        <w:spacing w:after="0" w:line="16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720"/>
          </w:cols>
          <w:pgMar w:left="440" w:top="270" w:right="739" w:bottom="1440" w:gutter="0" w:footer="0" w:header="0"/>
        </w:sectPr>
      </w:pPr>
    </w:p>
    <w:bookmarkStart w:id="269" w:name="page270"/>
    <w:bookmarkEnd w:id="269"/>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A</w:t>
      </w:r>
    </w:p>
    <w:p>
      <w:pPr>
        <w:spacing w:after="0" w:line="229" w:lineRule="exact"/>
        <w:rPr>
          <w:sz w:val="20"/>
          <w:szCs w:val="20"/>
          <w:color w:val="auto"/>
        </w:rPr>
      </w:pPr>
    </w:p>
    <w:p>
      <w:pPr>
        <w:jc w:val="right"/>
        <w:ind w:right="2179"/>
        <w:spacing w:after="0"/>
        <w:rPr>
          <w:sz w:val="20"/>
          <w:szCs w:val="20"/>
          <w:color w:val="auto"/>
        </w:rPr>
      </w:pPr>
      <w:r>
        <w:rPr>
          <w:rFonts w:ascii="Times New Roman" w:cs="Times New Roman" w:eastAsia="Times New Roman" w:hAnsi="Times New Roman"/>
          <w:sz w:val="18"/>
          <w:szCs w:val="18"/>
          <w:u w:val="single" w:color="auto"/>
          <w:color w:val="auto"/>
        </w:rPr>
        <w:t>Form of Notice of Expense Payment or Reimbursement Payment</w:t>
      </w:r>
    </w:p>
    <w:p>
      <w:pPr>
        <w:spacing w:after="0" w:line="329" w:lineRule="exact"/>
        <w:rPr>
          <w:sz w:val="20"/>
          <w:szCs w:val="20"/>
          <w:color w:val="auto"/>
        </w:rPr>
      </w:pPr>
    </w:p>
    <w:p>
      <w:pPr>
        <w:ind w:left="204" w:hanging="204"/>
        <w:spacing w:after="0"/>
        <w:tabs>
          <w:tab w:leader="none" w:pos="204" w:val="left"/>
        </w:tabs>
        <w:numPr>
          <w:ilvl w:val="0"/>
          <w:numId w:val="287"/>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Expense Payment</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Expense Payment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1536700</wp:posOffset>
            </wp:positionH>
            <wp:positionV relativeFrom="paragraph">
              <wp:posOffset>-7620</wp:posOffset>
            </wp:positionV>
            <wp:extent cx="151384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513840" cy="8255"/>
                    </a:xfrm>
                    <a:prstGeom prst="rect">
                      <a:avLst/>
                    </a:prstGeom>
                    <a:noFill/>
                  </pic:spPr>
                </pic:pic>
              </a:graphicData>
            </a:graphic>
          </wp:anchor>
        </w:drawing>
      </w:r>
    </w:p>
    <w:p>
      <w:pPr>
        <w:spacing w:after="0" w:line="20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Expense Payment Amount:</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Organizational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1403985</wp:posOffset>
            </wp:positionH>
            <wp:positionV relativeFrom="paragraph">
              <wp:posOffset>-7620</wp:posOffset>
            </wp:positionV>
            <wp:extent cx="162814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628140" cy="8255"/>
                    </a:xfrm>
                    <a:prstGeom prst="rect">
                      <a:avLst/>
                    </a:prstGeom>
                    <a:noFill/>
                  </pic:spPr>
                </pic:pic>
              </a:graphicData>
            </a:graphic>
          </wp:anchor>
        </w:drawing>
      </w:r>
    </w:p>
    <w:p>
      <w:pPr>
        <w:spacing w:after="0" w:line="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Offering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1118235</wp:posOffset>
            </wp:positionH>
            <wp:positionV relativeFrom="paragraph">
              <wp:posOffset>-19050</wp:posOffset>
            </wp:positionV>
            <wp:extent cx="151384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513840" cy="8255"/>
                    </a:xfrm>
                    <a:prstGeom prst="rect">
                      <a:avLst/>
                    </a:prstGeom>
                    <a:noFill/>
                  </pic:spPr>
                </pic:pic>
              </a:graphicData>
            </a:graphic>
          </wp:anchor>
        </w:drawing>
      </w:r>
    </w:p>
    <w:p>
      <w:pPr>
        <w:ind w:left="444"/>
        <w:spacing w:after="0"/>
        <w:rPr>
          <w:sz w:val="20"/>
          <w:szCs w:val="20"/>
          <w:color w:val="auto"/>
        </w:rPr>
      </w:pPr>
      <w:r>
        <w:rPr>
          <w:rFonts w:ascii="Times New Roman" w:cs="Times New Roman" w:eastAsia="Times New Roman" w:hAnsi="Times New Roman"/>
          <w:sz w:val="18"/>
          <w:szCs w:val="18"/>
          <w:color w:val="auto"/>
        </w:rPr>
        <w:t>Management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1101090</wp:posOffset>
            </wp:positionH>
            <wp:positionV relativeFrom="paragraph">
              <wp:posOffset>-19050</wp:posOffset>
            </wp:positionV>
            <wp:extent cx="151384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513840" cy="8255"/>
                    </a:xfrm>
                    <a:prstGeom prst="rect">
                      <a:avLst/>
                    </a:prstGeom>
                    <a:noFill/>
                  </pic:spPr>
                </pic:pic>
              </a:graphicData>
            </a:graphic>
          </wp:anchor>
        </w:drawing>
      </w:r>
    </w:p>
    <w:p>
      <w:pPr>
        <w:ind w:left="444"/>
        <w:spacing w:after="0"/>
        <w:rPr>
          <w:sz w:val="20"/>
          <w:szCs w:val="20"/>
          <w:color w:val="auto"/>
        </w:rPr>
      </w:pPr>
      <w:r>
        <w:rPr>
          <w:rFonts w:ascii="Times New Roman" w:cs="Times New Roman" w:eastAsia="Times New Roman" w:hAnsi="Times New Roman"/>
          <w:sz w:val="18"/>
          <w:szCs w:val="18"/>
          <w:color w:val="auto"/>
        </w:rPr>
        <w:t>Incentive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930275</wp:posOffset>
            </wp:positionH>
            <wp:positionV relativeFrom="paragraph">
              <wp:posOffset>-19050</wp:posOffset>
            </wp:positionV>
            <wp:extent cx="139954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399540" cy="8890"/>
                    </a:xfrm>
                    <a:prstGeom prst="rect">
                      <a:avLst/>
                    </a:prstGeom>
                    <a:noFill/>
                  </pic:spPr>
                </pic:pic>
              </a:graphicData>
            </a:graphic>
          </wp:anchor>
        </w:drawing>
      </w:r>
    </w:p>
    <w:p>
      <w:pPr>
        <w:ind w:left="444"/>
        <w:spacing w:after="0"/>
        <w:rPr>
          <w:sz w:val="20"/>
          <w:szCs w:val="20"/>
          <w:color w:val="auto"/>
        </w:rPr>
      </w:pPr>
      <w:r>
        <w:rPr>
          <w:rFonts w:ascii="Times New Roman" w:cs="Times New Roman" w:eastAsia="Times New Roman" w:hAnsi="Times New Roman"/>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-19050</wp:posOffset>
            </wp:positionV>
            <wp:extent cx="139954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399540" cy="8255"/>
                    </a:xfrm>
                    <a:prstGeom prst="rect">
                      <a:avLst/>
                    </a:prstGeom>
                    <a:noFill/>
                  </pic:spPr>
                </pic:pic>
              </a:graphicData>
            </a:graphic>
          </wp:anchor>
        </w:drawing>
      </w:r>
    </w:p>
    <w:p>
      <w:pPr>
        <w:ind w:left="444"/>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wp:posOffset>
            </wp:positionH>
            <wp:positionV relativeFrom="paragraph">
              <wp:posOffset>-19050</wp:posOffset>
            </wp:positionV>
            <wp:extent cx="139954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399540" cy="8255"/>
                    </a:xfrm>
                    <a:prstGeom prst="rect">
                      <a:avLst/>
                    </a:prstGeom>
                    <a:noFill/>
                  </pic:spPr>
                </pic:pic>
              </a:graphicData>
            </a:graphic>
          </wp:anchor>
        </w:drawing>
      </w:r>
    </w:p>
    <w:p>
      <w:pPr>
        <w:spacing w:after="0" w:line="1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All Expense Payments are subject to reimbursement pursuant to the terms of the Agreement.</w:t>
      </w:r>
    </w:p>
    <w:p>
      <w:pPr>
        <w:spacing w:after="0" w:line="221" w:lineRule="exact"/>
        <w:rPr>
          <w:sz w:val="20"/>
          <w:szCs w:val="20"/>
          <w:color w:val="auto"/>
        </w:rPr>
      </w:pPr>
    </w:p>
    <w:p>
      <w:pPr>
        <w:ind w:left="204" w:hanging="204"/>
        <w:spacing w:after="0"/>
        <w:tabs>
          <w:tab w:leader="none" w:pos="204" w:val="left"/>
        </w:tabs>
        <w:numPr>
          <w:ilvl w:val="0"/>
          <w:numId w:val="288"/>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Reimbursement Payment</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Reimbursement Payment Effective Date:</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Reimbursement Payment Amount:</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Organizational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1403985</wp:posOffset>
            </wp:positionH>
            <wp:positionV relativeFrom="paragraph">
              <wp:posOffset>-7620</wp:posOffset>
            </wp:positionV>
            <wp:extent cx="162814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628140" cy="8890"/>
                    </a:xfrm>
                    <a:prstGeom prst="rect">
                      <a:avLst/>
                    </a:prstGeom>
                    <a:noFill/>
                  </pic:spPr>
                </pic:pic>
              </a:graphicData>
            </a:graphic>
          </wp:anchor>
        </w:drawing>
      </w:r>
    </w:p>
    <w:p>
      <w:pPr>
        <w:spacing w:after="0" w:line="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Offering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1118235</wp:posOffset>
            </wp:positionH>
            <wp:positionV relativeFrom="paragraph">
              <wp:posOffset>-19050</wp:posOffset>
            </wp:positionV>
            <wp:extent cx="151384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513840" cy="8255"/>
                    </a:xfrm>
                    <a:prstGeom prst="rect">
                      <a:avLst/>
                    </a:prstGeom>
                    <a:noFill/>
                  </pic:spPr>
                </pic:pic>
              </a:graphicData>
            </a:graphic>
          </wp:anchor>
        </w:drawing>
      </w:r>
    </w:p>
    <w:p>
      <w:pPr>
        <w:ind w:left="444"/>
        <w:spacing w:after="0"/>
        <w:rPr>
          <w:sz w:val="20"/>
          <w:szCs w:val="20"/>
          <w:color w:val="auto"/>
        </w:rPr>
      </w:pPr>
      <w:r>
        <w:rPr>
          <w:rFonts w:ascii="Times New Roman" w:cs="Times New Roman" w:eastAsia="Times New Roman" w:hAnsi="Times New Roman"/>
          <w:sz w:val="18"/>
          <w:szCs w:val="18"/>
          <w:color w:val="auto"/>
        </w:rPr>
        <w:t>Management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1101090</wp:posOffset>
            </wp:positionH>
            <wp:positionV relativeFrom="paragraph">
              <wp:posOffset>-19050</wp:posOffset>
            </wp:positionV>
            <wp:extent cx="151384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513840" cy="8255"/>
                    </a:xfrm>
                    <a:prstGeom prst="rect">
                      <a:avLst/>
                    </a:prstGeom>
                    <a:noFill/>
                  </pic:spPr>
                </pic:pic>
              </a:graphicData>
            </a:graphic>
          </wp:anchor>
        </w:drawing>
      </w:r>
    </w:p>
    <w:p>
      <w:pPr>
        <w:ind w:left="444"/>
        <w:spacing w:after="0"/>
        <w:rPr>
          <w:sz w:val="20"/>
          <w:szCs w:val="20"/>
          <w:color w:val="auto"/>
        </w:rPr>
      </w:pPr>
      <w:r>
        <w:rPr>
          <w:rFonts w:ascii="Times New Roman" w:cs="Times New Roman" w:eastAsia="Times New Roman" w:hAnsi="Times New Roman"/>
          <w:sz w:val="18"/>
          <w:szCs w:val="18"/>
          <w:color w:val="auto"/>
        </w:rPr>
        <w:t>Incentive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930275</wp:posOffset>
            </wp:positionH>
            <wp:positionV relativeFrom="paragraph">
              <wp:posOffset>-19050</wp:posOffset>
            </wp:positionV>
            <wp:extent cx="139954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399540" cy="8255"/>
                    </a:xfrm>
                    <a:prstGeom prst="rect">
                      <a:avLst/>
                    </a:prstGeom>
                    <a:noFill/>
                  </pic:spPr>
                </pic:pic>
              </a:graphicData>
            </a:graphic>
          </wp:anchor>
        </w:drawing>
      </w:r>
    </w:p>
    <w:p>
      <w:pPr>
        <w:ind w:left="444"/>
        <w:spacing w:after="0"/>
        <w:rPr>
          <w:sz w:val="20"/>
          <w:szCs w:val="20"/>
          <w:color w:val="auto"/>
        </w:rPr>
      </w:pPr>
      <w:r>
        <w:rPr>
          <w:rFonts w:ascii="Times New Roman" w:cs="Times New Roman" w:eastAsia="Times New Roman" w:hAnsi="Times New Roman"/>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-19050</wp:posOffset>
            </wp:positionV>
            <wp:extent cx="139954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399540" cy="8255"/>
                    </a:xfrm>
                    <a:prstGeom prst="rect">
                      <a:avLst/>
                    </a:prstGeom>
                    <a:noFill/>
                  </pic:spPr>
                </pic:pic>
              </a:graphicData>
            </a:graphic>
          </wp:anchor>
        </w:drawing>
      </w:r>
    </w:p>
    <w:p>
      <w:pPr>
        <w:ind w:left="444"/>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wp:posOffset>
            </wp:positionH>
            <wp:positionV relativeFrom="paragraph">
              <wp:posOffset>-19050</wp:posOffset>
            </wp:positionV>
            <wp:extent cx="139954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399540" cy="8255"/>
                    </a:xfrm>
                    <a:prstGeom prst="rect">
                      <a:avLst/>
                    </a:prstGeom>
                    <a:noFill/>
                  </pic:spPr>
                </pic:pic>
              </a:graphicData>
            </a:graphic>
          </wp:anchor>
        </w:drawing>
      </w:r>
    </w:p>
    <w:p>
      <w:pPr>
        <w:spacing w:after="0" w:line="119" w:lineRule="exact"/>
        <w:rPr>
          <w:sz w:val="20"/>
          <w:szCs w:val="20"/>
          <w:color w:val="auto"/>
        </w:rPr>
      </w:pPr>
    </w:p>
    <w:p>
      <w:pPr>
        <w:ind w:left="5464"/>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023"/>
          </w:cols>
          <w:pgMar w:left="436" w:top="266" w:right="1440" w:bottom="1440" w:gutter="0" w:footer="0" w:header="0"/>
        </w:sectPr>
      </w:pPr>
    </w:p>
    <w:bookmarkStart w:id="270" w:name="page271"/>
    <w:bookmarkEnd w:id="270"/>
    <w:p>
      <w:pPr>
        <w:ind w:left="9080"/>
        <w:spacing w:after="0"/>
        <w:rPr>
          <w:sz w:val="20"/>
          <w:szCs w:val="20"/>
          <w:color w:val="auto"/>
        </w:rPr>
      </w:pPr>
      <w:r>
        <w:rPr>
          <w:rFonts w:ascii="Times New Roman" w:cs="Times New Roman" w:eastAsia="Times New Roman" w:hAnsi="Times New Roman"/>
          <w:sz w:val="18"/>
          <w:szCs w:val="18"/>
          <w:b w:val="1"/>
          <w:bCs w:val="1"/>
          <w:color w:val="auto"/>
        </w:rPr>
        <w:t>Exhibit 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1959610</wp:posOffset>
            </wp:positionH>
            <wp:positionV relativeFrom="paragraph">
              <wp:posOffset>173990</wp:posOffset>
            </wp:positionV>
            <wp:extent cx="1808480" cy="7029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80848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Sixth Street Specialty Lending, Inc.</w:t>
      </w:r>
    </w:p>
    <w:p>
      <w:pPr>
        <w:spacing w:after="0" w:line="3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Sixth Street Lending Partners</w:t>
      </w:r>
    </w:p>
    <w:p>
      <w:pPr>
        <w:spacing w:after="0" w:line="203"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Independent Members’</w:t>
      </w:r>
    </w:p>
    <w:p>
      <w:pPr>
        <w:spacing w:after="0" w:line="3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b w:val="1"/>
          <w:bCs w:val="1"/>
          <w:color w:val="auto"/>
        </w:rPr>
        <w:t>Code of Ethics and Securities Trading Policy</w:t>
      </w:r>
    </w:p>
    <w:p>
      <w:pPr>
        <w:spacing w:after="0" w:line="2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As Updated: May 2022</w:t>
      </w:r>
    </w:p>
    <w:p>
      <w:pPr>
        <w:sectPr>
          <w:pgSz w:w="11900" w:h="16838" w:orient="portrait"/>
          <w:cols w:equalWidth="0" w:num="1">
            <w:col w:w="10020"/>
          </w:cols>
          <w:pgMar w:left="1440" w:top="117" w:right="439" w:bottom="1440" w:gutter="0" w:footer="0" w:header="0"/>
        </w:sectPr>
      </w:pPr>
    </w:p>
    <w:bookmarkStart w:id="271" w:name="page272"/>
    <w:bookmarkEnd w:id="271"/>
    <w:tbl>
      <w:tblPr>
        <w:tblLayout w:type="fixed"/>
        <w:tblInd w:w="0" w:type="dxa"/>
        <w:tblCellMar>
          <w:top w:w="0" w:type="dxa"/>
          <w:left w:w="0" w:type="dxa"/>
          <w:bottom w:w="0" w:type="dxa"/>
          <w:right w:w="0" w:type="dxa"/>
        </w:tblCellMar>
      </w:tblPr>
      <w:tr>
        <w:trPr>
          <w:trHeight w:val="234"/>
        </w:trPr>
        <w:tc>
          <w:tcPr>
            <w:tcW w:w="4380" w:type="dxa"/>
            <w:vAlign w:val="bottom"/>
          </w:tcPr>
          <w:p>
            <w:pPr>
              <w:spacing w:after="0"/>
              <w:rPr>
                <w:sz w:val="20"/>
                <w:szCs w:val="20"/>
                <w:color w:val="auto"/>
              </w:rPr>
            </w:pP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Appendix E</w:t>
            </w:r>
          </w:p>
        </w:tc>
      </w:tr>
      <w:tr>
        <w:trPr>
          <w:trHeight w:val="432"/>
        </w:trPr>
        <w:tc>
          <w:tcPr>
            <w:tcW w:w="4380" w:type="dxa"/>
            <w:vAlign w:val="bottom"/>
          </w:tcPr>
          <w:p>
            <w:pPr>
              <w:spacing w:after="0"/>
              <w:rPr>
                <w:sz w:val="24"/>
                <w:szCs w:val="24"/>
                <w:color w:val="auto"/>
              </w:rPr>
            </w:pPr>
          </w:p>
        </w:tc>
        <w:tc>
          <w:tcPr>
            <w:tcW w:w="6640" w:type="dxa"/>
            <w:vAlign w:val="bottom"/>
          </w:tcPr>
          <w:p>
            <w:pPr>
              <w:jc w:val="right"/>
              <w:ind w:right="4470"/>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441"/>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INTRODUCTION</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DEFINITIONS</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SCOPE OF THE CODE</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STANDARDS OF BUSINESS CONDUCT</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4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 Securities Laws</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4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Fiduciary Duty</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4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Conflicts of Interest</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REPORTING AND CERTIFICATION REQUIREMENTS</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4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Initial and Annual Acknowledgement</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4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Transactions in Covered Securities</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ENFORCEMENT OF CODE</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ADMINISTRATION OF CODE</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4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Annual Review of Code of Ethics</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4"/>
        </w:trPr>
        <w:tc>
          <w:tcPr>
            <w:tcW w:w="4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Material Changes</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color w:val="auto"/>
        </w:rPr>
        <w:t>As Updated: May 2022</w:t>
      </w:r>
    </w:p>
    <w:p>
      <w:pPr>
        <w:sectPr>
          <w:pgSz w:w="11900" w:h="16838" w:orient="portrait"/>
          <w:cols w:equalWidth="0" w:num="1">
            <w:col w:w="11020"/>
          </w:cols>
          <w:pgMar w:left="440" w:top="270" w:right="439" w:bottom="1440" w:gutter="0" w:footer="0" w:header="0"/>
        </w:sectPr>
      </w:pPr>
    </w:p>
    <w:bookmarkStart w:id="272" w:name="page273"/>
    <w:bookmarkEnd w:id="272"/>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E</w:t>
      </w:r>
    </w:p>
    <w:p>
      <w:pPr>
        <w:spacing w:after="0" w:line="15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17" w:lineRule="exact"/>
        <w:rPr>
          <w:sz w:val="20"/>
          <w:szCs w:val="20"/>
          <w:color w:val="auto"/>
        </w:rPr>
      </w:pPr>
    </w:p>
    <w:p>
      <w:pPr>
        <w:ind w:left="4" w:right="420"/>
        <w:spacing w:after="0" w:line="268" w:lineRule="auto"/>
        <w:rPr>
          <w:sz w:val="20"/>
          <w:szCs w:val="20"/>
          <w:color w:val="auto"/>
        </w:rPr>
      </w:pPr>
      <w:r>
        <w:rPr>
          <w:rFonts w:ascii="Times New Roman" w:cs="Times New Roman" w:eastAsia="Times New Roman" w:hAnsi="Times New Roman"/>
          <w:sz w:val="18"/>
          <w:szCs w:val="18"/>
          <w:color w:val="auto"/>
        </w:rPr>
        <w:t>This Independent Members’ Code of Ethics and Securities Trading Policy (the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has been adopted by Sixth Street Specialty Lending, Inc. (“</w:t>
      </w:r>
      <w:r>
        <w:rPr>
          <w:rFonts w:ascii="Times New Roman" w:cs="Times New Roman" w:eastAsia="Times New Roman" w:hAnsi="Times New Roman"/>
          <w:sz w:val="18"/>
          <w:szCs w:val="18"/>
          <w:b w:val="1"/>
          <w:bCs w:val="1"/>
          <w:i w:val="1"/>
          <w:iCs w:val="1"/>
          <w:color w:val="auto"/>
        </w:rPr>
        <w:t>SLX</w:t>
      </w:r>
      <w:r>
        <w:rPr>
          <w:rFonts w:ascii="Times New Roman" w:cs="Times New Roman" w:eastAsia="Times New Roman" w:hAnsi="Times New Roman"/>
          <w:sz w:val="18"/>
          <w:szCs w:val="18"/>
          <w:color w:val="auto"/>
        </w:rPr>
        <w:t>”) and Sixth Street Lending Partners (“</w:t>
      </w:r>
      <w:r>
        <w:rPr>
          <w:rFonts w:ascii="Times New Roman" w:cs="Times New Roman" w:eastAsia="Times New Roman" w:hAnsi="Times New Roman"/>
          <w:sz w:val="18"/>
          <w:szCs w:val="18"/>
          <w:b w:val="1"/>
          <w:bCs w:val="1"/>
          <w:i w:val="1"/>
          <w:iCs w:val="1"/>
          <w:color w:val="auto"/>
        </w:rPr>
        <w:t>SLP</w:t>
      </w:r>
      <w:r>
        <w:rPr>
          <w:rFonts w:ascii="Times New Roman" w:cs="Times New Roman" w:eastAsia="Times New Roman" w:hAnsi="Times New Roman"/>
          <w:sz w:val="18"/>
          <w:szCs w:val="18"/>
          <w:color w:val="auto"/>
        </w:rPr>
        <w:t>,” and together with SLX, the “</w:t>
      </w:r>
      <w:r>
        <w:rPr>
          <w:rFonts w:ascii="Times New Roman" w:cs="Times New Roman" w:eastAsia="Times New Roman" w:hAnsi="Times New Roman"/>
          <w:sz w:val="18"/>
          <w:szCs w:val="18"/>
          <w:b w:val="1"/>
          <w:bCs w:val="1"/>
          <w:i w:val="1"/>
          <w:iCs w:val="1"/>
          <w:color w:val="auto"/>
        </w:rPr>
        <w:t>Companies</w:t>
      </w:r>
      <w:r>
        <w:rPr>
          <w:rFonts w:ascii="Times New Roman" w:cs="Times New Roman" w:eastAsia="Times New Roman" w:hAnsi="Times New Roman"/>
          <w:sz w:val="18"/>
          <w:szCs w:val="18"/>
          <w:color w:val="auto"/>
        </w:rPr>
        <w:t>”) in compliance with Rule 17j-1 under the Investment Company Act of 1940 (the “</w:t>
      </w:r>
      <w:r>
        <w:rPr>
          <w:rFonts w:ascii="Times New Roman" w:cs="Times New Roman" w:eastAsia="Times New Roman" w:hAnsi="Times New Roman"/>
          <w:sz w:val="18"/>
          <w:szCs w:val="18"/>
          <w:b w:val="1"/>
          <w:bCs w:val="1"/>
          <w:i w:val="1"/>
          <w:iCs w:val="1"/>
          <w:color w:val="auto"/>
        </w:rPr>
        <w:t>1940 Act</w:t>
      </w:r>
      <w:r>
        <w:rPr>
          <w:rFonts w:ascii="Times New Roman" w:cs="Times New Roman" w:eastAsia="Times New Roman" w:hAnsi="Times New Roman"/>
          <w:sz w:val="18"/>
          <w:szCs w:val="18"/>
          <w:color w:val="auto"/>
        </w:rPr>
        <w:t>”). In the Code, “we,” “us” and “our” refer to the Companies, unless otherwise specified.</w:t>
      </w:r>
    </w:p>
    <w:p>
      <w:pPr>
        <w:spacing w:after="0" w:line="175" w:lineRule="exact"/>
        <w:rPr>
          <w:sz w:val="20"/>
          <w:szCs w:val="20"/>
          <w:color w:val="auto"/>
        </w:rPr>
      </w:pPr>
    </w:p>
    <w:p>
      <w:pPr>
        <w:jc w:val="both"/>
        <w:ind w:left="4" w:right="80"/>
        <w:spacing w:after="0" w:line="266" w:lineRule="auto"/>
        <w:rPr>
          <w:sz w:val="20"/>
          <w:szCs w:val="20"/>
          <w:color w:val="auto"/>
        </w:rPr>
      </w:pPr>
      <w:r>
        <w:rPr>
          <w:rFonts w:ascii="Times New Roman" w:cs="Times New Roman" w:eastAsia="Times New Roman" w:hAnsi="Times New Roman"/>
          <w:sz w:val="18"/>
          <w:szCs w:val="18"/>
          <w:color w:val="auto"/>
        </w:rPr>
        <w:t>Our reputation in the investment community, with our investors and with those individuals and organizations with which we have contact depends upon the manner in which we conduct our affairs. To that end, we have adopted the Code to guide us and to help us ensure that we comply with all applicable federal laws, rules and regulations. Our overriding goal is to comply with our fiduciary duty to the Companies.</w:t>
      </w:r>
    </w:p>
    <w:p>
      <w:pPr>
        <w:spacing w:after="0" w:line="176" w:lineRule="exact"/>
        <w:rPr>
          <w:sz w:val="20"/>
          <w:szCs w:val="20"/>
          <w:color w:val="auto"/>
        </w:rPr>
      </w:pPr>
    </w:p>
    <w:p>
      <w:pPr>
        <w:ind w:left="4" w:right="220"/>
        <w:spacing w:after="0" w:line="282" w:lineRule="auto"/>
        <w:rPr>
          <w:sz w:val="20"/>
          <w:szCs w:val="20"/>
          <w:color w:val="auto"/>
        </w:rPr>
      </w:pPr>
      <w:r>
        <w:rPr>
          <w:rFonts w:ascii="Times New Roman" w:cs="Times New Roman" w:eastAsia="Times New Roman" w:hAnsi="Times New Roman"/>
          <w:sz w:val="18"/>
          <w:szCs w:val="18"/>
          <w:color w:val="auto"/>
        </w:rPr>
        <w:t>If you have any doubt as to the appropriateness of any activity, believe that you have violated the Code or become aware of a violation of the Code by another individual, you should promptly consult the Chief Compliance Officer.</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117" w:lineRule="exact"/>
        <w:rPr>
          <w:sz w:val="20"/>
          <w:szCs w:val="20"/>
          <w:color w:val="auto"/>
        </w:rPr>
      </w:pPr>
    </w:p>
    <w:p>
      <w:pPr>
        <w:ind w:left="4" w:right="520" w:hanging="4"/>
        <w:spacing w:after="0" w:line="268" w:lineRule="auto"/>
        <w:tabs>
          <w:tab w:leader="none" w:pos="299"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“Beneficial Ownership” </w:t>
      </w:r>
      <w:r>
        <w:rPr>
          <w:rFonts w:ascii="Times New Roman" w:cs="Times New Roman" w:eastAsia="Times New Roman" w:hAnsi="Times New Roman"/>
          <w:sz w:val="18"/>
          <w:szCs w:val="18"/>
          <w:color w:val="auto"/>
        </w:rPr>
        <w:t>means any opportunity, directly or indirectly, to profit or share in the profit from any transaction in securities. It also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includes transactions over which you exercise investment discretion, even if you do not share in the profits. (See “Personal Trading Policies and Procedures” for a list of securities for which persons are generally presumed to have Beneficial Ownership, for purposes of the Code.)</w:t>
      </w:r>
    </w:p>
    <w:p>
      <w:pPr>
        <w:spacing w:after="0" w:line="170" w:lineRule="exact"/>
        <w:rPr>
          <w:rFonts w:ascii="Times New Roman" w:cs="Times New Roman" w:eastAsia="Times New Roman" w:hAnsi="Times New Roman"/>
          <w:sz w:val="18"/>
          <w:szCs w:val="18"/>
          <w:color w:val="auto"/>
        </w:rPr>
      </w:pPr>
    </w:p>
    <w:p>
      <w:pPr>
        <w:ind w:left="284" w:hanging="284"/>
        <w:spacing w:after="0"/>
        <w:tabs>
          <w:tab w:leader="none" w:pos="284"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“Chief Compliance Officer” </w:t>
      </w:r>
      <w:r>
        <w:rPr>
          <w:rFonts w:ascii="Times New Roman" w:cs="Times New Roman" w:eastAsia="Times New Roman" w:hAnsi="Times New Roman"/>
          <w:sz w:val="18"/>
          <w:szCs w:val="18"/>
          <w:color w:val="auto"/>
        </w:rPr>
        <w:t>means the Chief Compliance Officer of each Company.</w:t>
      </w:r>
    </w:p>
    <w:p>
      <w:pPr>
        <w:spacing w:after="0" w:line="225" w:lineRule="exact"/>
        <w:rPr>
          <w:rFonts w:ascii="Times New Roman" w:cs="Times New Roman" w:eastAsia="Times New Roman" w:hAnsi="Times New Roman"/>
          <w:sz w:val="18"/>
          <w:szCs w:val="18"/>
          <w:color w:val="auto"/>
        </w:rPr>
      </w:pPr>
    </w:p>
    <w:p>
      <w:pPr>
        <w:ind w:left="4" w:right="20" w:hanging="4"/>
        <w:spacing w:after="0" w:line="286" w:lineRule="auto"/>
        <w:tabs>
          <w:tab w:leader="none" w:pos="289"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“Compliance Manual” </w:t>
      </w:r>
      <w:r>
        <w:rPr>
          <w:rFonts w:ascii="Times New Roman" w:cs="Times New Roman" w:eastAsia="Times New Roman" w:hAnsi="Times New Roman"/>
          <w:sz w:val="18"/>
          <w:szCs w:val="18"/>
          <w:color w:val="auto"/>
        </w:rPr>
        <w:t>means the Rule 38a-1 Compliance Manual of each of Sixth Street Specialty Lending, Inc. and Sixth Street Lending Partners,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amended.</w:t>
      </w:r>
    </w:p>
    <w:p>
      <w:pPr>
        <w:spacing w:after="0" w:line="154" w:lineRule="exact"/>
        <w:rPr>
          <w:rFonts w:ascii="Times New Roman" w:cs="Times New Roman" w:eastAsia="Times New Roman" w:hAnsi="Times New Roman"/>
          <w:sz w:val="18"/>
          <w:szCs w:val="18"/>
          <w:color w:val="auto"/>
        </w:rPr>
      </w:pPr>
    </w:p>
    <w:p>
      <w:pPr>
        <w:ind w:left="4" w:right="180" w:hanging="4"/>
        <w:spacing w:after="0" w:line="286" w:lineRule="auto"/>
        <w:tabs>
          <w:tab w:leader="none" w:pos="299"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“Covered Person” </w:t>
      </w:r>
      <w:r>
        <w:rPr>
          <w:rFonts w:ascii="Times New Roman" w:cs="Times New Roman" w:eastAsia="Times New Roman" w:hAnsi="Times New Roman"/>
          <w:sz w:val="18"/>
          <w:szCs w:val="18"/>
          <w:color w:val="auto"/>
        </w:rPr>
        <w:t>means any director/trustee of a Company who is not an “interested person” of the Company within the meaning of Section 2(a)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(19) of the 1940 Act, commonly referred to as “disinterested directors/trustees.”</w:t>
      </w:r>
    </w:p>
    <w:p>
      <w:pPr>
        <w:spacing w:after="0" w:line="154" w:lineRule="exact"/>
        <w:rPr>
          <w:rFonts w:ascii="Times New Roman" w:cs="Times New Roman" w:eastAsia="Times New Roman" w:hAnsi="Times New Roman"/>
          <w:sz w:val="18"/>
          <w:szCs w:val="18"/>
          <w:color w:val="auto"/>
        </w:rPr>
      </w:pPr>
    </w:p>
    <w:p>
      <w:pPr>
        <w:ind w:left="4" w:right="80" w:hanging="4"/>
        <w:spacing w:after="0" w:line="255" w:lineRule="auto"/>
        <w:tabs>
          <w:tab w:leader="none" w:pos="279"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“Covered Security” </w:t>
      </w:r>
      <w:r>
        <w:rPr>
          <w:rFonts w:ascii="Times New Roman" w:cs="Times New Roman" w:eastAsia="Times New Roman" w:hAnsi="Times New Roman"/>
          <w:sz w:val="18"/>
          <w:szCs w:val="18"/>
          <w:color w:val="auto"/>
        </w:rPr>
        <w:t>means a security, as defined in Section 2(a)(36) of the 1940 Act, to wit: any note, stock, treasury stock, security future, bond,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debenture, evidence of indebtedness, certificate of interest or participation in any profit-sharing agreement, collateral-trust certificate, preorganization certificate or subscription, transferable share, investment contract, voting-trust certificate, certificate of deposit for a security, fractional undivided interest in oil, gas, or other mineral rights, any put, call, straddle, option, or privilege on any security (including a certificate of deposit) or on any group or index of securities (including any interest therein or based on the value thereof), or any put, call, straddle, option, or privilege entered into on a national securities exchange relating to foreign currency, or, in general, any interest or instrument commonly known as a “security,” or any certificate of interest or participation in, temporary or interim certificate for, receipt for, guarantee of, or warrant or right to subscribe to or purchase, any of the foregoing.</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E-3</w:t>
      </w:r>
    </w:p>
    <w:p>
      <w:pPr>
        <w:sectPr>
          <w:pgSz w:w="11900" w:h="16838" w:orient="portrait"/>
          <w:cols w:equalWidth="0" w:num="1">
            <w:col w:w="11024"/>
          </w:cols>
          <w:pgMar w:left="436" w:top="270" w:right="439" w:bottom="1440" w:gutter="0" w:footer="0" w:header="0"/>
        </w:sectPr>
      </w:pPr>
    </w:p>
    <w:bookmarkStart w:id="273" w:name="page274"/>
    <w:bookmarkEnd w:id="273"/>
    <w:p>
      <w:pPr>
        <w:ind w:left="101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E</w:t>
      </w:r>
    </w:p>
    <w:p>
      <w:pPr>
        <w:spacing w:after="0" w:line="154" w:lineRule="exact"/>
        <w:rPr>
          <w:sz w:val="20"/>
          <w:szCs w:val="20"/>
          <w:color w:val="auto"/>
        </w:rPr>
      </w:pPr>
    </w:p>
    <w:p>
      <w:pPr>
        <w:ind w:left="4" w:right="2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“Covered Security” </w:t>
      </w:r>
      <w:r>
        <w:rPr>
          <w:rFonts w:ascii="Times New Roman" w:cs="Times New Roman" w:eastAsia="Times New Roman" w:hAnsi="Times New Roman"/>
          <w:sz w:val="18"/>
          <w:szCs w:val="18"/>
          <w:color w:val="auto"/>
        </w:rPr>
        <w:t>does not include: (i) direct obligations of the Government of the United States; (ii) bankers’ acceptances, bank certificates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deposit, commercial paper and high quality short-term debt instruments, including repurchase agreements; and (iii) shares issued by open- end investment companies registered under the 1940 Act. References to a Covered Security in the Code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a prohibition or requirement applicable to the purchase or sale of a Covered Security) shall be deemed to refer to and to include any warrant for, option in or security immediately convertible into that Covered Security, and shall also include any instrument that has an investment return or value that is based, in whole or in part, on that Covered Security (collectively, </w:t>
      </w:r>
      <w:r>
        <w:rPr>
          <w:rFonts w:ascii="Times New Roman" w:cs="Times New Roman" w:eastAsia="Times New Roman" w:hAnsi="Times New Roman"/>
          <w:sz w:val="18"/>
          <w:szCs w:val="18"/>
          <w:b w:val="1"/>
          <w:bCs w:val="1"/>
          <w:i w:val="1"/>
          <w:iCs w:val="1"/>
          <w:color w:val="auto"/>
        </w:rPr>
        <w:t>“Derivatives”</w:t>
      </w:r>
      <w:r>
        <w:rPr>
          <w:rFonts w:ascii="Times New Roman" w:cs="Times New Roman" w:eastAsia="Times New Roman" w:hAnsi="Times New Roman"/>
          <w:sz w:val="18"/>
          <w:szCs w:val="18"/>
          <w:color w:val="auto"/>
        </w:rPr>
        <w:t>). Therefore, except as otherwise specifically provided by the Code:</w:t>
      </w:r>
    </w:p>
    <w:p>
      <w:pPr>
        <w:spacing w:after="0" w:line="186" w:lineRule="exact"/>
        <w:rPr>
          <w:sz w:val="20"/>
          <w:szCs w:val="20"/>
          <w:color w:val="auto"/>
        </w:rPr>
      </w:pPr>
    </w:p>
    <w:p>
      <w:pPr>
        <w:jc w:val="both"/>
        <w:ind w:left="4" w:right="40" w:hanging="4"/>
        <w:spacing w:after="0" w:line="266" w:lineRule="auto"/>
        <w:tabs>
          <w:tab w:leader="none" w:pos="219"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prohibition or requirement of the Code applicable to the purchase or sale of a Covered Security shall also be applicable to the purchase or sale of a Derivative relating to that Covered Security; and (ii) any prohibition or requirement of the Code applicable to the purchase or sale of a Derivative shall also be applicable to the purchase or sale of a Covered Security relating to that Derivative.</w:t>
      </w:r>
    </w:p>
    <w:p>
      <w:pPr>
        <w:spacing w:after="0" w:line="6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b w:val="1"/>
          <w:bCs w:val="1"/>
          <w:i w:val="1"/>
          <w:iCs w:val="1"/>
          <w:color w:val="auto"/>
        </w:rPr>
        <w:t>Sixth Street Legal and Compliance”</w:t>
      </w:r>
      <w:r>
        <w:rPr>
          <w:rFonts w:ascii="Times New Roman" w:cs="Times New Roman" w:eastAsia="Times New Roman" w:hAnsi="Times New Roman"/>
          <w:sz w:val="18"/>
          <w:szCs w:val="18"/>
          <w:color w:val="auto"/>
        </w:rPr>
        <w:t xml:space="preserve"> means the Sixth Street legal and compliance department staff.</w:t>
      </w:r>
    </w:p>
    <w:p>
      <w:pPr>
        <w:spacing w:after="0" w:line="33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Scope of the Code</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This Code applies in its entirety to all Covered Persons.</w:t>
      </w:r>
    </w:p>
    <w:p>
      <w:pPr>
        <w:spacing w:after="0" w:line="225" w:lineRule="exact"/>
        <w:rPr>
          <w:sz w:val="20"/>
          <w:szCs w:val="20"/>
          <w:color w:val="auto"/>
        </w:rPr>
      </w:pPr>
    </w:p>
    <w:p>
      <w:pPr>
        <w:ind w:left="4" w:right="20"/>
        <w:spacing w:after="0" w:line="261" w:lineRule="auto"/>
        <w:rPr>
          <w:sz w:val="20"/>
          <w:szCs w:val="20"/>
          <w:color w:val="auto"/>
        </w:rPr>
      </w:pPr>
      <w:r>
        <w:rPr>
          <w:rFonts w:ascii="Times New Roman" w:cs="Times New Roman" w:eastAsia="Times New Roman" w:hAnsi="Times New Roman"/>
          <w:sz w:val="18"/>
          <w:szCs w:val="18"/>
          <w:color w:val="auto"/>
        </w:rPr>
        <w:t>Each Company has adopted this Code which applies to the Company’s independent directors or trustees. The Advisers have also adopted and relies upon Sixth Street’s Investment Adviser Code of Ethics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Sixth Street’s Code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which was adopted pursuant to Rule 17j-1 and Rule 204A-1 of the Advisers Act. All Company access persons—other than the independent directors who fall under the Companies’ Independent Members’ Rule 17j-1 Code of Ethics—are covered by Sixth Street’s Code.</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Standards of Business Conduct</w:t>
      </w:r>
    </w:p>
    <w:p>
      <w:pPr>
        <w:spacing w:after="0" w:line="121" w:lineRule="exact"/>
        <w:rPr>
          <w:sz w:val="20"/>
          <w:szCs w:val="20"/>
          <w:color w:val="auto"/>
        </w:rPr>
      </w:pPr>
    </w:p>
    <w:p>
      <w:pPr>
        <w:ind w:left="4" w:right="80"/>
        <w:spacing w:after="0" w:line="261" w:lineRule="auto"/>
        <w:rPr>
          <w:sz w:val="20"/>
          <w:szCs w:val="20"/>
          <w:color w:val="auto"/>
        </w:rPr>
      </w:pPr>
      <w:r>
        <w:rPr>
          <w:rFonts w:ascii="Times New Roman" w:cs="Times New Roman" w:eastAsia="Times New Roman" w:hAnsi="Times New Roman"/>
          <w:sz w:val="18"/>
          <w:szCs w:val="18"/>
          <w:color w:val="auto"/>
        </w:rPr>
        <w:t>The Company seeks to foster and maintain a reputation for honesty, openness, trust, integrity and professionalism. The confidence and trust placed in us by our investors is something we value greatly and endeavor to protect. That reputation is a vital business asset. Accordingly, we place a high value on ethical conduct by the Company and persons working on its behalf. To further promote the importance of this value, we have adopted the Code. We expect and insist that all Covered Persons meet the letter and spirit of this Code and also live up to our ethical and professional ideals.</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E-4</w:t>
      </w:r>
    </w:p>
    <w:p>
      <w:pPr>
        <w:sectPr>
          <w:pgSz w:w="11900" w:h="16838" w:orient="portrait"/>
          <w:cols w:equalWidth="0" w:num="1">
            <w:col w:w="11024"/>
          </w:cols>
          <w:pgMar w:left="436" w:top="270" w:right="439" w:bottom="1440" w:gutter="0" w:footer="0" w:header="0"/>
        </w:sectPr>
      </w:pPr>
    </w:p>
    <w:bookmarkStart w:id="274" w:name="page275"/>
    <w:bookmarkEnd w:id="274"/>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Federal Securities Laws</w:t>
      </w:r>
    </w:p>
    <w:p>
      <w:pPr>
        <w:spacing w:after="0" w:line="11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Our business is highly regulated, and we are committed to compliance with applicable regulations. Each Covered Person also must recognize his or her personal obligations as an individual to understand and obey the laws as they apply in the conduct of his or her duties. They include laws and regulations that apply specifically to investment companies, as well as laws with broader applicability, including prohibitions on insider trading and other forms of market abuse. In addition, the Companies have adopted a Statement of Policy on Insider Trading, attached as </w:t>
      </w:r>
      <w:r>
        <w:rPr>
          <w:rFonts w:ascii="Times New Roman" w:cs="Times New Roman" w:eastAsia="Times New Roman" w:hAnsi="Times New Roman"/>
          <w:sz w:val="18"/>
          <w:szCs w:val="18"/>
          <w:u w:val="single" w:color="auto"/>
          <w:color w:val="auto"/>
        </w:rPr>
        <w:t>Appendix J</w:t>
      </w:r>
      <w:r>
        <w:rPr>
          <w:rFonts w:ascii="Times New Roman" w:cs="Times New Roman" w:eastAsia="Times New Roman" w:hAnsi="Times New Roman"/>
          <w:sz w:val="18"/>
          <w:szCs w:val="18"/>
          <w:color w:val="auto"/>
        </w:rPr>
        <w:t xml:space="preserve"> of the Compliance Manual and it is the Companies’ policy to adhere to such policy and procedures.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Fiduciary Duty</w:t>
      </w:r>
    </w:p>
    <w:p>
      <w:pPr>
        <w:spacing w:after="0" w:line="11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are fiduciaries and as such, we have affirmative duties of care, honesty, loyalty and good faith to act in the best interests of a Company for which we serve as a director or trustee. That Company’s interests are paramount and come before our own interests.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Conflicts of Interest</w:t>
      </w:r>
    </w:p>
    <w:p>
      <w:pPr>
        <w:spacing w:after="0" w:line="117"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We must strive to identify and avoid conflicts of interest with such Company, regardless of how such conflicts may arise. When we identify actual or potential conflicts, we must seek to have controls in place to effectively manage such conflicts. As a matter of business policy, we want to avoid even the appearance of conflicts.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short, Covered Persons should not:</w:t>
      </w:r>
    </w:p>
    <w:p>
      <w:pPr>
        <w:spacing w:after="0" w:line="131" w:lineRule="exact"/>
        <w:rPr>
          <w:sz w:val="20"/>
          <w:szCs w:val="20"/>
          <w:color w:val="auto"/>
        </w:rPr>
      </w:pPr>
    </w:p>
    <w:p>
      <w:pPr>
        <w:ind w:left="420" w:hanging="316"/>
        <w:spacing w:after="0"/>
        <w:tabs>
          <w:tab w:leader="none" w:pos="42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 any device, scheme or artifice to defraud such Company;</w:t>
      </w:r>
    </w:p>
    <w:p>
      <w:pPr>
        <w:spacing w:after="0" w:line="130" w:lineRule="exact"/>
        <w:rPr>
          <w:rFonts w:ascii="Times New Roman" w:cs="Times New Roman" w:eastAsia="Times New Roman" w:hAnsi="Times New Roman"/>
          <w:sz w:val="18"/>
          <w:szCs w:val="18"/>
          <w:color w:val="auto"/>
        </w:rPr>
      </w:pPr>
    </w:p>
    <w:p>
      <w:pPr>
        <w:ind w:left="420" w:right="340" w:hanging="316"/>
        <w:spacing w:after="0" w:line="282" w:lineRule="auto"/>
        <w:tabs>
          <w:tab w:leader="none" w:pos="42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to such Company any untrue statement of a material fact or omit to state to such Company a material fact necessary in order to make the statements made, in light of the circumstances under which they are made, not misleading;</w:t>
      </w:r>
    </w:p>
    <w:p>
      <w:pPr>
        <w:spacing w:after="0" w:line="67"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any act, practice, or course of business that operates or would operate as a fraud or deceit upon such Company;</w:t>
      </w:r>
    </w:p>
    <w:p>
      <w:pPr>
        <w:spacing w:after="0" w:line="130"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any manipulative practice with respect to such Companies;</w:t>
      </w:r>
    </w:p>
    <w:p>
      <w:pPr>
        <w:spacing w:after="0" w:line="130" w:lineRule="exact"/>
        <w:rPr>
          <w:rFonts w:ascii="Times New Roman" w:cs="Times New Roman" w:eastAsia="Times New Roman" w:hAnsi="Times New Roman"/>
          <w:sz w:val="18"/>
          <w:szCs w:val="18"/>
          <w:color w:val="auto"/>
        </w:rPr>
      </w:pPr>
    </w:p>
    <w:p>
      <w:pPr>
        <w:ind w:left="420" w:right="60" w:hanging="316"/>
        <w:spacing w:after="0" w:line="282" w:lineRule="auto"/>
        <w:tabs>
          <w:tab w:leader="none" w:pos="42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his or her position, or any investment opportunities presented by virtue of his or her position, to personal advantage or to the detriment of such Company; or</w:t>
      </w:r>
    </w:p>
    <w:p>
      <w:pPr>
        <w:spacing w:after="0" w:line="67" w:lineRule="exact"/>
        <w:rPr>
          <w:rFonts w:ascii="Times New Roman" w:cs="Times New Roman" w:eastAsia="Times New Roman" w:hAnsi="Times New Roman"/>
          <w:sz w:val="18"/>
          <w:szCs w:val="18"/>
          <w:color w:val="auto"/>
        </w:rPr>
      </w:pPr>
    </w:p>
    <w:p>
      <w:pPr>
        <w:ind w:left="420" w:right="120" w:hanging="316"/>
        <w:spacing w:after="0" w:line="282" w:lineRule="auto"/>
        <w:tabs>
          <w:tab w:leader="none" w:pos="42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personal trading activities in contravention of the Code or applicable legal principles or in such a manner as may be inconsistent with the duties owed to such Company as a fiduciary.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Reporting and Certification Requirements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Initial and Annual Acknowledgement</w:t>
      </w:r>
    </w:p>
    <w:p>
      <w:pPr>
        <w:spacing w:after="0" w:line="11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Within 10 days of being designated a Covered Person, and annually thereafter, you will receive and be required to review the current Code. You will also be asked to acknowledge in writing that you have received and read the Code and that you understand that the Code applies to you.</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E-5</w:t>
      </w:r>
    </w:p>
    <w:p>
      <w:pPr>
        <w:sectPr>
          <w:pgSz w:w="11900" w:h="16838" w:orient="portrait"/>
          <w:cols w:equalWidth="0" w:num="1">
            <w:col w:w="11020"/>
          </w:cols>
          <w:pgMar w:left="440" w:top="270" w:right="439" w:bottom="1440" w:gutter="0" w:footer="0" w:header="0"/>
        </w:sectPr>
      </w:pPr>
    </w:p>
    <w:bookmarkStart w:id="275" w:name="page276"/>
    <w:bookmarkEnd w:id="275"/>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Transactions in Covered Securities</w:t>
      </w:r>
    </w:p>
    <w:p>
      <w:pPr>
        <w:spacing w:after="0" w:line="11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Transaction Reporting Requirements.</w:t>
      </w:r>
    </w:p>
    <w:p>
      <w:pPr>
        <w:spacing w:after="0" w:line="119"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No later than 30 calendar days after the end of March, June, September and December each year, each Covered Person must report to the Chief Compliance Officer any transaction executed during the calendar quarter then ended in a Covered Security of which such Covered Person had or acquired Beneficial Ownership if the Covered Person knew, or in the ordinary course of fulfilling his or her duty as an independent director/trustee of the relevant Company should have known, that during the 15-day period immediately before or after the date of such transaction, (i) the Company purchased or sold such Covered Security or (ii) the Company or its respective investment adviser considered purchasing or selling such Covered Security.</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quarterly transaction report must contain, with respect to any reportable transaction:</w:t>
      </w:r>
    </w:p>
    <w:p>
      <w:pPr>
        <w:spacing w:after="0" w:line="131" w:lineRule="exact"/>
        <w:rPr>
          <w:sz w:val="20"/>
          <w:szCs w:val="20"/>
          <w:color w:val="auto"/>
        </w:rPr>
      </w:pPr>
    </w:p>
    <w:p>
      <w:pPr>
        <w:ind w:left="420" w:right="300" w:hanging="316"/>
        <w:spacing w:after="0" w:line="282" w:lineRule="auto"/>
        <w:tabs>
          <w:tab w:leader="none" w:pos="42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the transaction, the title and, as applicable, the exchange ticker symbol or CUSIP number, interest rate and maturity date, number of shares and principal amount of each Covered Security;</w:t>
      </w:r>
    </w:p>
    <w:p>
      <w:pPr>
        <w:spacing w:after="0" w:line="65"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the transaction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purchase, sale or any other type of acquisition or disposition);</w:t>
      </w:r>
    </w:p>
    <w:p>
      <w:pPr>
        <w:spacing w:after="0" w:line="132"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the Covered Security at which the transaction was effected;</w:t>
      </w:r>
    </w:p>
    <w:p>
      <w:pPr>
        <w:spacing w:after="0" w:line="130"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broker, dealer or bank with or through which the transaction was effected; and</w:t>
      </w:r>
    </w:p>
    <w:p>
      <w:pPr>
        <w:spacing w:after="0" w:line="130"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report is submitted.</w:t>
      </w:r>
    </w:p>
    <w:p>
      <w:pPr>
        <w:spacing w:after="0" w:line="11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 Covered Person need not report transactions effected pursuant to an automatic investment plan. An “automatic investment plan” means a program in which regular periodic purchases (or withdrawals) are made automatically in (or from) investment accounts in accordance with a predetermined schedule and allocation. An automatic investment plan includes a dividend reinvestment plan.</w:t>
      </w:r>
    </w:p>
    <w:p>
      <w:pPr>
        <w:spacing w:after="0" w:line="2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Disclaimers.</w:t>
      </w:r>
    </w:p>
    <w:p>
      <w:pPr>
        <w:spacing w:after="0" w:line="11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report by a Covered Person of any transaction in a Covered Security effected for the benefit of a person other than the Covered Person may contain a statement that the report should not be construed as an admission by the Covered Person that he or she has any direct or indirect beneficial ownership of the Covered Security.</w:t>
      </w:r>
    </w:p>
    <w:p>
      <w:pPr>
        <w:spacing w:after="0" w:line="2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16 Compliance Program and Insider Trading Compliance.</w:t>
      </w:r>
    </w:p>
    <w:p>
      <w:pPr>
        <w:spacing w:after="0" w:line="119"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18"/>
          <w:szCs w:val="18"/>
          <w:color w:val="auto"/>
        </w:rPr>
        <w:t xml:space="preserve">In addition to the requirements of this Code, all transactions in company stock (acquisitions, dispositions, transfers, etc.) by directors/trustees and officers must be pre-cleared by Sixth Street Legal and Compliance. If you contemplate a transaction, you should contact Sixth Street Legal and Compliance in advance. This requirement applies to directors/trustees and executive officers of the Companies and any other persons designated by Sixth Street Legal and Compliance as being subject to the Companies’ pre-clearance procedures as described in </w:t>
      </w:r>
      <w:r>
        <w:rPr>
          <w:rFonts w:ascii="Times New Roman" w:cs="Times New Roman" w:eastAsia="Times New Roman" w:hAnsi="Times New Roman"/>
          <w:sz w:val="18"/>
          <w:szCs w:val="18"/>
          <w:u w:val="single" w:color="auto"/>
          <w:color w:val="auto"/>
        </w:rPr>
        <w:t>Appendix J</w:t>
      </w:r>
      <w:r>
        <w:rPr>
          <w:rFonts w:ascii="Times New Roman" w:cs="Times New Roman" w:eastAsia="Times New Roman" w:hAnsi="Times New Roman"/>
          <w:sz w:val="18"/>
          <w:szCs w:val="18"/>
          <w:color w:val="auto"/>
        </w:rPr>
        <w:t>, together with their immediate family members living in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E-6</w:t>
      </w:r>
    </w:p>
    <w:p>
      <w:pPr>
        <w:sectPr>
          <w:pgSz w:w="11900" w:h="16838" w:orient="portrait"/>
          <w:cols w:equalWidth="0" w:num="1">
            <w:col w:w="11020"/>
          </w:cols>
          <w:pgMar w:left="440" w:top="270" w:right="439" w:bottom="1440" w:gutter="0" w:footer="0" w:header="0"/>
        </w:sectPr>
      </w:pPr>
    </w:p>
    <w:bookmarkStart w:id="276" w:name="page277"/>
    <w:bookmarkEnd w:id="276"/>
    <w:p>
      <w:pPr>
        <w:ind w:left="101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E</w:t>
      </w:r>
    </w:p>
    <w:p>
      <w:pPr>
        <w:spacing w:after="0" w:line="158" w:lineRule="exact"/>
        <w:rPr>
          <w:sz w:val="20"/>
          <w:szCs w:val="20"/>
          <w:color w:val="auto"/>
        </w:rPr>
      </w:pPr>
    </w:p>
    <w:p>
      <w:pPr>
        <w:jc w:val="both"/>
        <w:ind w:left="4" w:right="20"/>
        <w:spacing w:after="0" w:line="266" w:lineRule="auto"/>
        <w:rPr>
          <w:sz w:val="20"/>
          <w:szCs w:val="20"/>
          <w:color w:val="auto"/>
        </w:rPr>
      </w:pPr>
      <w:r>
        <w:rPr>
          <w:rFonts w:ascii="Times New Roman" w:cs="Times New Roman" w:eastAsia="Times New Roman" w:hAnsi="Times New Roman"/>
          <w:sz w:val="18"/>
          <w:szCs w:val="18"/>
          <w:color w:val="auto"/>
        </w:rPr>
        <w:t>their households, and covers any transaction involving the Companies’ securities (including a stock plan transaction such as an option exercise, gift, loan or pledge or hedge, contribution to a trust, or any other transfer). Sixth Street Legal and Compliance is under no obligation to approve a trade submitted for pre-clearance, and may determine not to permit the trade.</w:t>
      </w:r>
    </w:p>
    <w:p>
      <w:pPr>
        <w:spacing w:after="0" w:line="176" w:lineRule="exact"/>
        <w:rPr>
          <w:sz w:val="20"/>
          <w:szCs w:val="20"/>
          <w:color w:val="auto"/>
        </w:rPr>
      </w:pPr>
    </w:p>
    <w:p>
      <w:pPr>
        <w:ind w:left="4" w:right="20"/>
        <w:spacing w:after="0" w:line="258" w:lineRule="auto"/>
        <w:rPr>
          <w:sz w:val="20"/>
          <w:szCs w:val="20"/>
          <w:color w:val="auto"/>
        </w:rPr>
      </w:pPr>
      <w:r>
        <w:rPr>
          <w:rFonts w:ascii="Times New Roman" w:cs="Times New Roman" w:eastAsia="Times New Roman" w:hAnsi="Times New Roman"/>
          <w:sz w:val="18"/>
          <w:szCs w:val="18"/>
          <w:color w:val="auto"/>
        </w:rPr>
        <w:t>Any person subject to the pre-clearance requirements who wishes to implement a trading plan under Rule 10b5-1 of the Securities Exchange Act of 1934 must first pre-clear the plan with Sixth Street Legal and Compliance. As required by Rule 10b5-1, you may enter into a trading plan only when you are not in possession of material nonpublic information. In addition, you may not enter into a trading plan during a blackout period. Transactions effected pursuant to a pre- cleared trading plan will not require further pre-clearance at the time of the transaction if the plan specifies the dates, prices, and amounts of the contemplated trades, or establishes a formula for determining the dates, prices, and amounts.</w:t>
      </w:r>
    </w:p>
    <w:p>
      <w:pPr>
        <w:spacing w:after="0" w:line="2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Enforcement of Code</w:t>
      </w:r>
    </w:p>
    <w:p>
      <w:pPr>
        <w:spacing w:after="0" w:line="131" w:lineRule="exact"/>
        <w:rPr>
          <w:sz w:val="20"/>
          <w:szCs w:val="20"/>
          <w:color w:val="auto"/>
        </w:rPr>
      </w:pPr>
    </w:p>
    <w:p>
      <w:pPr>
        <w:ind w:left="424" w:hanging="424"/>
        <w:spacing w:after="0"/>
        <w:tabs>
          <w:tab w:leader="none" w:pos="424" w:val="left"/>
        </w:tabs>
        <w:numPr>
          <w:ilvl w:val="0"/>
          <w:numId w:val="2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Investigating Violations of the Code</w:t>
      </w:r>
    </w:p>
    <w:p>
      <w:pPr>
        <w:spacing w:after="0" w:line="121" w:lineRule="exact"/>
        <w:rPr>
          <w:sz w:val="20"/>
          <w:szCs w:val="20"/>
          <w:color w:val="auto"/>
        </w:rPr>
      </w:pPr>
    </w:p>
    <w:p>
      <w:pPr>
        <w:ind w:left="4" w:right="80"/>
        <w:spacing w:after="0" w:line="255" w:lineRule="auto"/>
        <w:rPr>
          <w:sz w:val="20"/>
          <w:szCs w:val="20"/>
          <w:color w:val="auto"/>
        </w:rPr>
      </w:pPr>
      <w:r>
        <w:rPr>
          <w:rFonts w:ascii="Times New Roman" w:cs="Times New Roman" w:eastAsia="Times New Roman" w:hAnsi="Times New Roman"/>
          <w:sz w:val="18"/>
          <w:szCs w:val="18"/>
          <w:color w:val="auto"/>
        </w:rPr>
        <w:t>The Chief Compliance Officer is responsible for investigating any suspected violation of the Code by a Covered Person and shall report the results of each investigation to the board of directors/trustees of the Companies, provided that the board of directors/trustees of the relevant Company may determine to appoint counsel to investigate any matter at such Company’s expense and report to the board of directors/trustees and the Chief Compliance Officer regarding such matter. The board of directors/trustees of each Company is responsible for reviewing the results of any investigation of any reported or suspected violation of the Code by a Covered Person. Any violation of the Code by a Covered Person will be reported to the board of directors/trustees of such Company by the Chief Compliance Officer not later than the next regularly scheduled meeting of the board of directors/trustees after the violation occurs.</w:t>
      </w:r>
    </w:p>
    <w:p>
      <w:pPr>
        <w:spacing w:after="0" w:line="333" w:lineRule="exact"/>
        <w:rPr>
          <w:sz w:val="20"/>
          <w:szCs w:val="20"/>
          <w:color w:val="auto"/>
        </w:rPr>
      </w:pPr>
    </w:p>
    <w:p>
      <w:pPr>
        <w:ind w:left="424" w:hanging="424"/>
        <w:spacing w:after="0"/>
        <w:tabs>
          <w:tab w:leader="none" w:pos="424" w:val="left"/>
        </w:tabs>
        <w:numPr>
          <w:ilvl w:val="0"/>
          <w:numId w:val="2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Sanctions</w:t>
      </w:r>
    </w:p>
    <w:p>
      <w:pPr>
        <w:spacing w:after="0" w:line="121" w:lineRule="exact"/>
        <w:rPr>
          <w:sz w:val="20"/>
          <w:szCs w:val="20"/>
          <w:color w:val="auto"/>
        </w:rPr>
      </w:pPr>
    </w:p>
    <w:p>
      <w:pPr>
        <w:ind w:left="4" w:right="40"/>
        <w:spacing w:after="0" w:line="255" w:lineRule="auto"/>
        <w:rPr>
          <w:sz w:val="20"/>
          <w:szCs w:val="20"/>
          <w:color w:val="auto"/>
        </w:rPr>
      </w:pPr>
      <w:r>
        <w:rPr>
          <w:rFonts w:ascii="Times New Roman" w:cs="Times New Roman" w:eastAsia="Times New Roman" w:hAnsi="Times New Roman"/>
          <w:sz w:val="18"/>
          <w:szCs w:val="18"/>
          <w:color w:val="auto"/>
        </w:rPr>
        <w:t>If the board of directors/trustees of a Company determines that a Covered Person has violated the Code, the board of directors/trustees of such Company may impose such sanctions and take such other actions as it deems appropriate, including, among other things, a verbal warning, a letter of warning, a fine, a civil referral to the Securities and Exchange Commission or a criminal referral to the applicable legal authority. The board of directors/trustees of the Company also may require the Covered Person to reverse the transaction in question and to forfeit any profit or to absorb any loss associated with or derived as a result of such reversal. The amount of profit or loss shall be calculated by the boards of directors/trustees of the Companies. The Covered Person at issue shall not participate in the determination by the boards of directors/trustees of the Companies of any remedies to be imposed in connection with his or her violation of the Code.</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E-7</w:t>
      </w:r>
    </w:p>
    <w:p>
      <w:pPr>
        <w:sectPr>
          <w:pgSz w:w="11900" w:h="16838" w:orient="portrait"/>
          <w:cols w:equalWidth="0" w:num="1">
            <w:col w:w="11024"/>
          </w:cols>
          <w:pgMar w:left="436" w:top="270" w:right="439" w:bottom="1440" w:gutter="0" w:footer="0" w:header="0"/>
        </w:sectPr>
      </w:pPr>
    </w:p>
    <w:bookmarkStart w:id="277" w:name="page278"/>
    <w:bookmarkEnd w:id="277"/>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Administration of Independent Members’ Code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Annual Review of Code of Ethics</w:t>
      </w:r>
    </w:p>
    <w:p>
      <w:pPr>
        <w:spacing w:after="0" w:line="11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At least annually, the Chief Compliance Officer shall furnish to each Company’s board of directors or trustees, and the boards shall consider, a written report that:</w:t>
      </w:r>
    </w:p>
    <w:p>
      <w:pPr>
        <w:spacing w:after="0" w:line="67" w:lineRule="exact"/>
        <w:rPr>
          <w:sz w:val="20"/>
          <w:szCs w:val="20"/>
          <w:color w:val="auto"/>
        </w:rPr>
      </w:pPr>
    </w:p>
    <w:p>
      <w:pPr>
        <w:ind w:left="420" w:right="160" w:hanging="316"/>
        <w:spacing w:after="0" w:line="282" w:lineRule="auto"/>
        <w:tabs>
          <w:tab w:leader="none" w:pos="420"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describes any issues arising under the Code since the last report to the board of directors/trustees, including, but not limited to, information about material violations of the Code and sanctions imposed in response to the material violations; and</w:t>
      </w:r>
    </w:p>
    <w:p>
      <w:pPr>
        <w:spacing w:after="0" w:line="67"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certifies that each Company has adopted procedures reasonably necessary to prevent Covered Persons from violating the Code.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Material Changes</w:t>
      </w:r>
    </w:p>
    <w:p>
      <w:pPr>
        <w:spacing w:after="0" w:line="11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No material change may be made to the Code without the approval of both the boards of directors or trustees of the Companies, including a majority of the directors or trustees who are not “interested persons” of the Companies within the meaning of Section 2(a)(19) of the 1940 Act.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E-8</w:t>
      </w:r>
    </w:p>
    <w:p>
      <w:pPr>
        <w:sectPr>
          <w:pgSz w:w="11900" w:h="16838" w:orient="portrait"/>
          <w:cols w:equalWidth="0" w:num="1">
            <w:col w:w="11020"/>
          </w:cols>
          <w:pgMar w:left="440" w:top="270" w:right="439" w:bottom="1440" w:gutter="0" w:footer="0" w:header="0"/>
        </w:sectPr>
      </w:pPr>
    </w:p>
    <w:bookmarkStart w:id="278" w:name="page279"/>
    <w:bookmarkEnd w:id="278"/>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E</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ACKNOWLEDGMENT AND CERTIFICATION</w:t>
      </w:r>
    </w:p>
    <w:p>
      <w:pPr>
        <w:spacing w:after="0" w:line="207" w:lineRule="exact"/>
        <w:rPr>
          <w:sz w:val="20"/>
          <w:szCs w:val="20"/>
          <w:color w:val="auto"/>
        </w:rPr>
      </w:pPr>
    </w:p>
    <w:p>
      <w:pPr>
        <w:ind w:right="80" w:firstLine="440"/>
        <w:spacing w:after="0" w:line="281" w:lineRule="auto"/>
        <w:rPr>
          <w:sz w:val="20"/>
          <w:szCs w:val="20"/>
          <w:color w:val="auto"/>
        </w:rPr>
      </w:pPr>
      <w:r>
        <w:rPr>
          <w:rFonts w:ascii="Times New Roman" w:cs="Times New Roman" w:eastAsia="Times New Roman" w:hAnsi="Times New Roman"/>
          <w:sz w:val="17"/>
          <w:szCs w:val="17"/>
          <w:color w:val="auto"/>
        </w:rPr>
        <w:t>I acknowledge receipt of the Independent Members’ Code of Ethics and Securities Trading Policy (the “Code of Ethics”) of Sixth Street Specialty Lending, Inc. and Sixth Street Lending Partners. I have read and understand such Code of Ethics and agree to be governed by it at all times. Further, if I have been subject to the Code of Ethics during the preceding year, I certify that I have complied with the requirements of the Code of Ethics and have disclosed or reported all personal securities transactions required to be disclosed or reported pursuant to the requirements of the Code of Ethics.</w:t>
      </w:r>
    </w:p>
    <w:p>
      <w:pPr>
        <w:spacing w:after="0" w:line="200" w:lineRule="exact"/>
        <w:rPr>
          <w:sz w:val="20"/>
          <w:szCs w:val="20"/>
          <w:color w:val="auto"/>
        </w:rPr>
      </w:pPr>
    </w:p>
    <w:p>
      <w:pPr>
        <w:spacing w:after="0" w:line="2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-127635</wp:posOffset>
            </wp:positionV>
            <wp:extent cx="279463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(please 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-127635</wp:posOffset>
            </wp:positionV>
            <wp:extent cx="279463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Date: ________________</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E-9</w:t>
      </w:r>
    </w:p>
    <w:p>
      <w:pPr>
        <w:sectPr>
          <w:pgSz w:w="11900" w:h="16838" w:orient="portrait"/>
          <w:cols w:equalWidth="0" w:num="1">
            <w:col w:w="11020"/>
          </w:cols>
          <w:pgMar w:left="440" w:top="270" w:right="439" w:bottom="1440" w:gutter="0" w:footer="0" w:header="0"/>
        </w:sectPr>
      </w:pPr>
    </w:p>
    <w:bookmarkStart w:id="279" w:name="page280"/>
    <w:bookmarkEnd w:id="279"/>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Appendix E</w:t>
            </w:r>
          </w:p>
        </w:tc>
        <w:tc>
          <w:tcPr>
            <w:tcW w:w="0" w:type="dxa"/>
            <w:vAlign w:val="bottom"/>
          </w:tcPr>
          <w:p>
            <w:pPr>
              <w:spacing w:after="0"/>
              <w:rPr>
                <w:sz w:val="1"/>
                <w:szCs w:val="1"/>
                <w:color w:val="auto"/>
              </w:rPr>
            </w:pPr>
          </w:p>
        </w:tc>
      </w:tr>
      <w:tr>
        <w:trPr>
          <w:trHeight w:val="342"/>
        </w:trPr>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8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EXHIBIT B</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40" w:type="dxa"/>
            <w:vAlign w:val="bottom"/>
            <w:gridSpan w:val="7"/>
          </w:tcPr>
          <w:p>
            <w:pPr>
              <w:jc w:val="center"/>
              <w:ind w:left="1062"/>
              <w:spacing w:after="0"/>
              <w:rPr>
                <w:sz w:val="20"/>
                <w:szCs w:val="20"/>
                <w:color w:val="auto"/>
              </w:rPr>
            </w:pPr>
            <w:r>
              <w:rPr>
                <w:rFonts w:ascii="Times New Roman" w:cs="Times New Roman" w:eastAsia="Times New Roman" w:hAnsi="Times New Roman"/>
                <w:sz w:val="18"/>
                <w:szCs w:val="18"/>
                <w:b w:val="1"/>
                <w:bCs w:val="1"/>
                <w:color w:val="auto"/>
                <w:w w:val="98"/>
              </w:rPr>
              <w:t>QUARTERLY TRANSACTION REPORT</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Name ______________________________________</w:t>
            </w: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6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auto"/>
              </w:rPr>
              <w:t>Date ______________________________________</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NAME OF</w:t>
            </w:r>
          </w:p>
        </w:tc>
        <w:tc>
          <w:tcPr>
            <w:tcW w:w="14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NUMBER</w:t>
            </w: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color w:val="auto"/>
              </w:rPr>
              <w:t>PRINCIPAL</w:t>
            </w:r>
          </w:p>
        </w:tc>
        <w:tc>
          <w:tcPr>
            <w:tcW w:w="14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TYPE OF</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NAME OF</w:t>
            </w:r>
          </w:p>
        </w:tc>
        <w:tc>
          <w:tcPr>
            <w:tcW w:w="0" w:type="dxa"/>
            <w:vAlign w:val="bottom"/>
          </w:tcPr>
          <w:p>
            <w:pPr>
              <w:spacing w:after="0"/>
              <w:rPr>
                <w:sz w:val="1"/>
                <w:szCs w:val="1"/>
                <w:color w:val="auto"/>
              </w:rPr>
            </w:pPr>
          </w:p>
        </w:tc>
      </w:tr>
      <w:tr>
        <w:trPr>
          <w:trHeight w:val="148"/>
        </w:trPr>
        <w:tc>
          <w:tcPr>
            <w:tcW w:w="1100" w:type="dxa"/>
            <w:vAlign w:val="bottom"/>
            <w:vMerge w:val="restart"/>
          </w:tcPr>
          <w:p>
            <w:pPr>
              <w:ind w:left="360"/>
              <w:spacing w:after="0"/>
              <w:rPr>
                <w:sz w:val="20"/>
                <w:szCs w:val="20"/>
                <w:color w:val="auto"/>
              </w:rPr>
            </w:pPr>
            <w:r>
              <w:rPr>
                <w:rFonts w:ascii="Times New Roman" w:cs="Times New Roman" w:eastAsia="Times New Roman" w:hAnsi="Times New Roman"/>
                <w:sz w:val="14"/>
                <w:szCs w:val="14"/>
                <w:color w:val="auto"/>
              </w:rPr>
              <w:t>DATE</w:t>
            </w:r>
          </w:p>
        </w:tc>
        <w:tc>
          <w:tcPr>
            <w:tcW w:w="120" w:type="dxa"/>
            <w:vAlign w:val="bottom"/>
            <w:vMerge w:val="restart"/>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3080" w:type="dxa"/>
            <w:vAlign w:val="bottom"/>
            <w:gridSpan w:val="5"/>
            <w:vMerge w:val="restart"/>
          </w:tcPr>
          <w:p>
            <w:pPr>
              <w:jc w:val="center"/>
              <w:ind w:right="300"/>
              <w:spacing w:after="0"/>
              <w:rPr>
                <w:sz w:val="20"/>
                <w:szCs w:val="20"/>
                <w:color w:val="auto"/>
              </w:rPr>
            </w:pPr>
            <w:r>
              <w:rPr>
                <w:rFonts w:ascii="Times New Roman" w:cs="Times New Roman" w:eastAsia="Times New Roman" w:hAnsi="Times New Roman"/>
                <w:sz w:val="14"/>
                <w:szCs w:val="14"/>
                <w:color w:val="auto"/>
                <w:w w:val="99"/>
              </w:rPr>
              <w:t>INTEREST DATEMATURITY DATE</w:t>
            </w:r>
          </w:p>
        </w:tc>
        <w:tc>
          <w:tcPr>
            <w:tcW w:w="1200" w:type="dxa"/>
            <w:vAlign w:val="bottom"/>
            <w:gridSpan w:val="2"/>
            <w:vMerge w:val="continue"/>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BROKER/</w:t>
            </w:r>
          </w:p>
        </w:tc>
        <w:tc>
          <w:tcPr>
            <w:tcW w:w="0" w:type="dxa"/>
            <w:vAlign w:val="bottom"/>
          </w:tcPr>
          <w:p>
            <w:pPr>
              <w:spacing w:after="0"/>
              <w:rPr>
                <w:sz w:val="1"/>
                <w:szCs w:val="1"/>
                <w:color w:val="auto"/>
              </w:rPr>
            </w:pPr>
          </w:p>
        </w:tc>
      </w:tr>
      <w:tr>
        <w:trPr>
          <w:trHeight w:val="185"/>
        </w:trPr>
        <w:tc>
          <w:tcPr>
            <w:tcW w:w="110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ISSUER</w:t>
            </w:r>
          </w:p>
        </w:tc>
        <w:tc>
          <w:tcPr>
            <w:tcW w:w="12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OF SHARES</w:t>
            </w:r>
          </w:p>
        </w:tc>
        <w:tc>
          <w:tcPr>
            <w:tcW w:w="120" w:type="dxa"/>
            <w:vAlign w:val="bottom"/>
          </w:tcPr>
          <w:p>
            <w:pPr>
              <w:spacing w:after="0"/>
              <w:rPr>
                <w:sz w:val="16"/>
                <w:szCs w:val="16"/>
                <w:color w:val="auto"/>
              </w:rPr>
            </w:pPr>
          </w:p>
        </w:tc>
        <w:tc>
          <w:tcPr>
            <w:tcW w:w="3080" w:type="dxa"/>
            <w:vAlign w:val="bottom"/>
            <w:gridSpan w:val="5"/>
            <w:vMerge w:val="continue"/>
          </w:tcPr>
          <w:p>
            <w:pPr>
              <w:spacing w:after="0"/>
              <w:rPr>
                <w:sz w:val="16"/>
                <w:szCs w:val="16"/>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AMOUNT</w:t>
            </w: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TRANSACTION</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DEALER/ BANK</w:t>
            </w:r>
          </w:p>
        </w:tc>
        <w:tc>
          <w:tcPr>
            <w:tcW w:w="0" w:type="dxa"/>
            <w:vAlign w:val="bottom"/>
          </w:tcPr>
          <w:p>
            <w:pPr>
              <w:spacing w:after="0"/>
              <w:rPr>
                <w:sz w:val="1"/>
                <w:szCs w:val="1"/>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right="800"/>
        <w:spacing w:after="0" w:line="282" w:lineRule="auto"/>
        <w:rPr>
          <w:sz w:val="20"/>
          <w:szCs w:val="20"/>
          <w:color w:val="auto"/>
        </w:rPr>
      </w:pPr>
      <w:r>
        <w:rPr>
          <w:rFonts w:ascii="Times New Roman" w:cs="Times New Roman" w:eastAsia="Times New Roman" w:hAnsi="Times New Roman"/>
          <w:sz w:val="18"/>
          <w:szCs w:val="18"/>
          <w:color w:val="auto"/>
        </w:rPr>
        <w:t>I certify that the foregoing is a complete and accurate list of all transactions for the covered period in securities in which I have any Beneficial Ownership.</w:t>
      </w:r>
    </w:p>
    <w:p>
      <w:pPr>
        <w:spacing w:after="0" w:line="200" w:lineRule="exact"/>
        <w:rPr>
          <w:sz w:val="20"/>
          <w:szCs w:val="20"/>
          <w:color w:val="auto"/>
        </w:rPr>
      </w:pPr>
    </w:p>
    <w:p>
      <w:pPr>
        <w:spacing w:after="0" w:line="21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-127635</wp:posOffset>
            </wp:positionV>
            <wp:extent cx="279463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E-10</w:t>
      </w:r>
    </w:p>
    <w:p>
      <w:pPr>
        <w:sectPr>
          <w:pgSz w:w="11900" w:h="16838" w:orient="portrait"/>
          <w:cols w:equalWidth="0" w:num="1">
            <w:col w:w="11020"/>
          </w:cols>
          <w:pgMar w:left="440" w:top="270" w:right="439" w:bottom="1440" w:gutter="0" w:footer="0" w:header="0"/>
        </w:sectPr>
      </w:pPr>
    </w:p>
    <w:bookmarkStart w:id="280" w:name="page281"/>
    <w:bookmarkEnd w:id="280"/>
    <w:p>
      <w:pPr>
        <w:jc w:val="right"/>
        <w:spacing w:after="0"/>
        <w:rPr>
          <w:sz w:val="20"/>
          <w:szCs w:val="20"/>
          <w:color w:val="auto"/>
        </w:rPr>
      </w:pPr>
      <w:r>
        <w:rPr>
          <w:rFonts w:ascii="Times New Roman" w:cs="Times New Roman" w:eastAsia="Times New Roman" w:hAnsi="Times New Roman"/>
          <w:sz w:val="18"/>
          <w:szCs w:val="18"/>
          <w:b w:val="1"/>
          <w:bCs w:val="1"/>
          <w:color w:val="auto"/>
        </w:rPr>
        <w:t>Exhibit 14.2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SIXTH STREET PARTNERS INVESTMENT ADVISER CODE OF ETHICS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w:t>
      </w:r>
      <w:r>
        <w:rPr>
          <w:rFonts w:ascii="Times New Roman" w:cs="Times New Roman" w:eastAsia="Times New Roman" w:hAnsi="Times New Roman"/>
          <w:sz w:val="14"/>
          <w:szCs w:val="14"/>
          <w:b w:val="1"/>
          <w:bCs w:val="1"/>
          <w:u w:val="single" w:color="auto"/>
          <w:color w:val="auto"/>
        </w:rPr>
        <w:t>NTRODUCTION</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Sixth Street’s reputation in the investment community, with our investors, and with those individuals and organizations with which we have contact, depends upon the manner in which we conduct our affairs. To this end, Sixth Street has the Sixth Street Partners Investment Adviser Code of Ethics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to guide us and to help us to ensure that we comply with all applicable federal laws, rules and regulations and those of the states and foreign jurisdictions in which Sixth Street conducts its business. Our overriding goal is to comply with our fiduciary duty to any of Sixth Street’s investment advisory clients (e.g., pooled investment vehicles), which are the Clients.</w:t>
      </w:r>
    </w:p>
    <w:p>
      <w:pPr>
        <w:spacing w:after="0" w:line="179" w:lineRule="exact"/>
        <w:rPr>
          <w:sz w:val="20"/>
          <w:szCs w:val="20"/>
          <w:color w:val="auto"/>
        </w:rPr>
      </w:pPr>
    </w:p>
    <w:p>
      <w:pPr>
        <w:jc w:val="both"/>
        <w:ind w:right="1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Adherence to the letter and spirit of the Code is a basic condition of employment with Sixth Street. Failure to adhere to either the letter or the spirit of the Code may result in disciplinary action, including termination of employment. </w:t>
      </w:r>
      <w:r>
        <w:rPr>
          <w:rFonts w:ascii="Times New Roman" w:cs="Times New Roman" w:eastAsia="Times New Roman" w:hAnsi="Times New Roman"/>
          <w:sz w:val="18"/>
          <w:szCs w:val="18"/>
          <w:color w:val="auto"/>
        </w:rPr>
        <w:t>See “Enforcement of the Code” for further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Sixth Street’s sanction policies.</w:t>
      </w:r>
    </w:p>
    <w:p>
      <w:pPr>
        <w:spacing w:after="0" w:line="17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If you have any doubt as to the appropriateness of any activity, believe that you have violated the Code or become aware of a violation of the Code by another individual, you should promptly report such issues to Sixth Street Compliance.</w:t>
      </w:r>
    </w:p>
    <w:p>
      <w:pPr>
        <w:spacing w:after="0" w:line="162" w:lineRule="exact"/>
        <w:rPr>
          <w:sz w:val="20"/>
          <w:szCs w:val="20"/>
          <w:color w:val="auto"/>
        </w:rPr>
      </w:pPr>
    </w:p>
    <w:p>
      <w:pPr>
        <w:ind w:right="740"/>
        <w:spacing w:after="0" w:line="266" w:lineRule="auto"/>
        <w:rPr>
          <w:sz w:val="20"/>
          <w:szCs w:val="20"/>
          <w:color w:val="auto"/>
        </w:rPr>
      </w:pPr>
      <w:r>
        <w:rPr>
          <w:rFonts w:ascii="Times New Roman" w:cs="Times New Roman" w:eastAsia="Times New Roman" w:hAnsi="Times New Roman"/>
          <w:sz w:val="18"/>
          <w:szCs w:val="18"/>
          <w:color w:val="auto"/>
        </w:rPr>
        <w:t>The Chief Compliance Officer (“</w:t>
      </w:r>
      <w:r>
        <w:rPr>
          <w:rFonts w:ascii="Times New Roman" w:cs="Times New Roman" w:eastAsia="Times New Roman" w:hAnsi="Times New Roman"/>
          <w:sz w:val="18"/>
          <w:szCs w:val="18"/>
          <w:u w:val="single" w:color="auto"/>
          <w:color w:val="auto"/>
        </w:rPr>
        <w:t>CCO</w:t>
      </w:r>
      <w:r>
        <w:rPr>
          <w:rFonts w:ascii="Times New Roman" w:cs="Times New Roman" w:eastAsia="Times New Roman" w:hAnsi="Times New Roman"/>
          <w:sz w:val="18"/>
          <w:szCs w:val="18"/>
          <w:color w:val="auto"/>
        </w:rPr>
        <w:t>”) may delegate responsibilities under the Code to other members of Sixth Street Compliance as deemed appropriate. General questions regarding the application of the Code may be directed to Sixth Street Compliance at sixthstreetcompliance@sixthstreet.com.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w:t>
      </w:r>
      <w:r>
        <w:rPr>
          <w:rFonts w:ascii="Times New Roman" w:cs="Times New Roman" w:eastAsia="Times New Roman" w:hAnsi="Times New Roman"/>
          <w:sz w:val="14"/>
          <w:szCs w:val="14"/>
          <w:b w:val="1"/>
          <w:bCs w:val="1"/>
          <w:u w:val="single" w:color="auto"/>
          <w:color w:val="auto"/>
        </w:rPr>
        <w:t>IXTH</w:t>
      </w:r>
      <w:r>
        <w:rPr>
          <w:rFonts w:ascii="Times New Roman" w:cs="Times New Roman" w:eastAsia="Times New Roman" w:hAnsi="Times New Roman"/>
          <w:sz w:val="18"/>
          <w:szCs w:val="18"/>
          <w:b w:val="1"/>
          <w:bCs w:val="1"/>
          <w:u w:val="single" w:color="auto"/>
          <w:color w:val="auto"/>
        </w:rPr>
        <w:t xml:space="preserve"> S</w:t>
      </w:r>
      <w:r>
        <w:rPr>
          <w:rFonts w:ascii="Times New Roman" w:cs="Times New Roman" w:eastAsia="Times New Roman" w:hAnsi="Times New Roman"/>
          <w:sz w:val="14"/>
          <w:szCs w:val="14"/>
          <w:b w:val="1"/>
          <w:bCs w:val="1"/>
          <w:u w:val="single" w:color="auto"/>
          <w:color w:val="auto"/>
        </w:rPr>
        <w:t>TREET</w:t>
      </w:r>
      <w:r>
        <w:rPr>
          <w:rFonts w:ascii="Times New Roman" w:cs="Times New Roman" w:eastAsia="Times New Roman" w:hAnsi="Times New Roman"/>
          <w:sz w:val="18"/>
          <w:szCs w:val="18"/>
          <w:b w:val="1"/>
          <w:bCs w:val="1"/>
          <w:u w:val="single" w:color="auto"/>
          <w:color w:val="auto"/>
        </w:rPr>
        <w:t xml:space="preserve"> S</w:t>
      </w:r>
      <w:r>
        <w:rPr>
          <w:rFonts w:ascii="Times New Roman" w:cs="Times New Roman" w:eastAsia="Times New Roman" w:hAnsi="Times New Roman"/>
          <w:sz w:val="14"/>
          <w:szCs w:val="14"/>
          <w:b w:val="1"/>
          <w:bCs w:val="1"/>
          <w:u w:val="single" w:color="auto"/>
          <w:color w:val="auto"/>
        </w:rPr>
        <w:t>TANDARDS OF</w:t>
      </w:r>
      <w:r>
        <w:rPr>
          <w:rFonts w:ascii="Times New Roman" w:cs="Times New Roman" w:eastAsia="Times New Roman" w:hAnsi="Times New Roman"/>
          <w:sz w:val="18"/>
          <w:szCs w:val="18"/>
          <w:b w:val="1"/>
          <w:bCs w:val="1"/>
          <w:u w:val="single" w:color="auto"/>
          <w:color w:val="auto"/>
        </w:rPr>
        <w:t xml:space="preserve"> B</w:t>
      </w:r>
      <w:r>
        <w:rPr>
          <w:rFonts w:ascii="Times New Roman" w:cs="Times New Roman" w:eastAsia="Times New Roman" w:hAnsi="Times New Roman"/>
          <w:sz w:val="14"/>
          <w:szCs w:val="14"/>
          <w:b w:val="1"/>
          <w:bCs w:val="1"/>
          <w:u w:val="single" w:color="auto"/>
          <w:color w:val="auto"/>
        </w:rPr>
        <w:t>USINESS</w:t>
      </w:r>
      <w:r>
        <w:rPr>
          <w:rFonts w:ascii="Times New Roman" w:cs="Times New Roman" w:eastAsia="Times New Roman" w:hAnsi="Times New Roman"/>
          <w:sz w:val="18"/>
          <w:szCs w:val="18"/>
          <w:b w:val="1"/>
          <w:bCs w:val="1"/>
          <w:u w:val="single" w:color="auto"/>
          <w:color w:val="auto"/>
        </w:rPr>
        <w:t xml:space="preserve"> C</w:t>
      </w:r>
      <w:r>
        <w:rPr>
          <w:rFonts w:ascii="Times New Roman" w:cs="Times New Roman" w:eastAsia="Times New Roman" w:hAnsi="Times New Roman"/>
          <w:sz w:val="14"/>
          <w:szCs w:val="14"/>
          <w:b w:val="1"/>
          <w:bCs w:val="1"/>
          <w:u w:val="single" w:color="auto"/>
          <w:color w:val="auto"/>
        </w:rPr>
        <w:t>ONDUCT</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Sixth Street seeks to foster and maintain a reputation for honesty, openness, trust, integrity and professionalism. The confidence and trust placed in Sixth Street by our investors is something we value greatly and endeavor to protect. That reputation is a vital business asset. Accordingly, Sixth Street places a high value on ethical conduct by Sixth Street and by persons working on behalf of Sixth Street. To further promote the importance of this value, we have adopted the Code and implemented policies and procedures to prevent fraudulent, deceptive and manipulative practices and to ensure compliance, by persons to whom the Code applies, with the federal securities laws and the fiduciary duties owed to our Clients. We expect and insist that all persons subject to the Code meet the letter and spirit of the Code and also live up to the ideals of our organization.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Laws</w:t>
      </w:r>
    </w:p>
    <w:p>
      <w:pPr>
        <w:spacing w:after="0" w:line="121"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Sixth Street is a global alternative asset investment firm with a broad, international investor base. As such, our business is highly regulated and Sixth Street is committed to compliance with applicable laws and regulations. Each of us must also recognize our personal obligations as individuals to understand and obey the laws that apply to us in the conduct of our duties. They include laws and regulations that apply specifically to investment advisers, as well as laws with broader applicability including prohibitions on insider trading and other forms of market abuse.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281" w:name="page282"/>
    <w:bookmarkEnd w:id="28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Fiduciary Duty</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Sixth Street is a fiduciary, and as such, we have affirmative duties of care, honesty, loyalty and good faith to act in the best interests of our investors. Our investors’ interests are paramount and come before Sixth Street’s own interests. This means we must render disinterested advice, protect Client assets, offer investment opportunities to the Clients before Sixth Street or its personnel, and otherwise always act in the best interest of the Clients.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121"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We must strive to identify and avoid conflicts of interest with the Clients, regardless of how such conflicts may arise. Please refer to Sixth Street’s Conflicts Policy for further detail.</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w:t>
      </w:r>
      <w:r>
        <w:rPr>
          <w:rFonts w:ascii="Times New Roman" w:cs="Times New Roman" w:eastAsia="Times New Roman" w:hAnsi="Times New Roman"/>
          <w:sz w:val="14"/>
          <w:szCs w:val="14"/>
          <w:b w:val="1"/>
          <w:bCs w:val="1"/>
          <w:u w:val="single" w:color="auto"/>
          <w:color w:val="auto"/>
        </w:rPr>
        <w:t>COPE OF THE</w:t>
      </w:r>
      <w:r>
        <w:rPr>
          <w:rFonts w:ascii="Times New Roman" w:cs="Times New Roman" w:eastAsia="Times New Roman" w:hAnsi="Times New Roman"/>
          <w:sz w:val="18"/>
          <w:szCs w:val="18"/>
          <w:b w:val="1"/>
          <w:bCs w:val="1"/>
          <w:u w:val="single" w:color="auto"/>
          <w:color w:val="auto"/>
        </w:rPr>
        <w:t xml:space="preserve"> C</w:t>
      </w:r>
      <w:r>
        <w:rPr>
          <w:rFonts w:ascii="Times New Roman" w:cs="Times New Roman" w:eastAsia="Times New Roman" w:hAnsi="Times New Roman"/>
          <w:sz w:val="14"/>
          <w:szCs w:val="14"/>
          <w:b w:val="1"/>
          <w:bCs w:val="1"/>
          <w:u w:val="single" w:color="auto"/>
          <w:color w:val="auto"/>
        </w:rPr>
        <w:t>ODE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Persons Covered by the Code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Code generally applies:</w:t>
      </w:r>
    </w:p>
    <w:p>
      <w:pPr>
        <w:spacing w:after="0" w:line="131" w:lineRule="exact"/>
        <w:rPr>
          <w:sz w:val="20"/>
          <w:szCs w:val="20"/>
          <w:color w:val="auto"/>
        </w:rPr>
      </w:pPr>
    </w:p>
    <w:p>
      <w:pPr>
        <w:ind w:left="960" w:hanging="424"/>
        <w:spacing w:after="0"/>
        <w:tabs>
          <w:tab w:leader="none" w:pos="96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director</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officer, partner and employee of Sixth Street.</w:t>
      </w:r>
    </w:p>
    <w:p>
      <w:pPr>
        <w:spacing w:after="0" w:line="130" w:lineRule="exact"/>
        <w:rPr>
          <w:rFonts w:ascii="Times New Roman" w:cs="Times New Roman" w:eastAsia="Times New Roman" w:hAnsi="Times New Roman"/>
          <w:sz w:val="18"/>
          <w:szCs w:val="18"/>
          <w:color w:val="auto"/>
        </w:rPr>
      </w:pPr>
    </w:p>
    <w:p>
      <w:pPr>
        <w:ind w:left="960" w:right="180" w:hanging="424"/>
        <w:spacing w:after="0" w:line="266" w:lineRule="auto"/>
        <w:tabs>
          <w:tab w:leader="none" w:pos="96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natural person (including independent contractors, temporary personnel and interns) who is subject to Sixth Street’s supervision and control who has access to nonpublic information regarding any Clients’ purchase or sale of securities or who is involved in making securities recommendations to the Clients or who has access to such recommendations that are nonpublic.</w:t>
      </w:r>
    </w:p>
    <w:p>
      <w:pPr>
        <w:spacing w:after="0" w:line="81"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person specifically designated by Sixth Street Compliance as subject to the Code.</w:t>
      </w:r>
    </w:p>
    <w:p>
      <w:pPr>
        <w:spacing w:after="0" w:line="225"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The activities of your family/household are also covered by the “Personal Trading Policies and Procedures” and “Reporting and Certification Requirements” portions of the Code. Members of your family/household for purposes of the Code include the following:</w:t>
      </w:r>
    </w:p>
    <w:p>
      <w:pPr>
        <w:spacing w:after="0" w:line="67" w:lineRule="exact"/>
        <w:rPr>
          <w:sz w:val="20"/>
          <w:szCs w:val="20"/>
          <w:color w:val="auto"/>
        </w:rPr>
      </w:pPr>
    </w:p>
    <w:p>
      <w:pPr>
        <w:ind w:left="540"/>
        <w:spacing w:after="0"/>
        <w:tabs>
          <w:tab w:leader="none" w:pos="9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Your spouse, your domestic partner, or your live-in significant other;</w:t>
      </w:r>
    </w:p>
    <w:p>
      <w:pPr>
        <w:spacing w:after="0" w:line="131" w:lineRule="exact"/>
        <w:rPr>
          <w:sz w:val="20"/>
          <w:szCs w:val="20"/>
          <w:color w:val="auto"/>
        </w:rPr>
      </w:pPr>
    </w:p>
    <w:p>
      <w:pPr>
        <w:ind w:left="540"/>
        <w:spacing w:after="0"/>
        <w:tabs>
          <w:tab w:leader="none" w:pos="9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Your adult children where they live in your household and/or are economically dependent on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188595</wp:posOffset>
            </wp:positionV>
            <wp:extent cx="77152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0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5"/>
          <w:szCs w:val="15"/>
          <w:color w:val="auto"/>
        </w:rPr>
        <w:t>1</w:t>
      </w:r>
      <w:r>
        <w:rPr>
          <w:sz w:val="20"/>
          <w:szCs w:val="20"/>
          <w:color w:val="auto"/>
        </w:rPr>
        <w:tab/>
      </w:r>
      <w:r>
        <w:rPr>
          <w:rFonts w:ascii="Times New Roman" w:cs="Times New Roman" w:eastAsia="Times New Roman" w:hAnsi="Times New Roman"/>
          <w:sz w:val="18"/>
          <w:szCs w:val="18"/>
          <w:color w:val="auto"/>
        </w:rPr>
        <w:t>Excludes TSLX independent directors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sectPr>
      </w:pPr>
    </w:p>
    <w:bookmarkStart w:id="282" w:name="page283"/>
    <w:bookmarkEnd w:id="282"/>
    <w:p>
      <w:pPr>
        <w:ind w:left="960" w:right="140" w:hanging="424"/>
        <w:spacing w:after="0" w:line="266" w:lineRule="auto"/>
        <w:tabs>
          <w:tab w:leader="none" w:pos="96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of the following people who live in your household: adult children, stepchildren, grandchildren, parents, stepparents, grandparents, spouses, siblings, mother-, father-, son-, daughter-, brother- or sister-in law, any person related by adoption and any individual economically dependent upon you; and</w:t>
      </w:r>
    </w:p>
    <w:p>
      <w:pPr>
        <w:spacing w:after="0" w:line="81"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related or unrelated individual whose investments are controlled by you.</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Persons Not Covered by the Code</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Notwithstanding the foregoing and subject to applicable law, Sixth Street Compliance may determine that certain individuals should not be covered by the Code or portions thereof.</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Accounts to be Reported under the Code</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Investment accounts that must be reported under the Code include those with brokers, dealers, investment managers or banks in which </w:t>
      </w:r>
      <w:r>
        <w:rPr>
          <w:rFonts w:ascii="Times New Roman" w:cs="Times New Roman" w:eastAsia="Times New Roman" w:hAnsi="Times New Roman"/>
          <w:sz w:val="18"/>
          <w:szCs w:val="18"/>
          <w:u w:val="single" w:color="auto"/>
          <w:color w:val="auto"/>
        </w:rPr>
        <w:t>any</w:t>
      </w:r>
      <w:r>
        <w:rPr>
          <w:rFonts w:ascii="Times New Roman" w:cs="Times New Roman" w:eastAsia="Times New Roman" w:hAnsi="Times New Roman"/>
          <w:sz w:val="18"/>
          <w:szCs w:val="18"/>
          <w:color w:val="auto"/>
        </w:rPr>
        <w:t xml:space="preserve"> security/securities are held for your or your family/household’s direct or indirect benefit. Please note that not all securities and transactions in securities within these investment accounts are subject to the Code’s preclearance and reporting requirements. These requirements are detailed later within the Code.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Exceptions</w:t>
      </w:r>
    </w:p>
    <w:p>
      <w:pPr>
        <w:spacing w:after="0" w:line="119"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7"/>
          <w:szCs w:val="17"/>
          <w:color w:val="auto"/>
        </w:rPr>
        <w:t>If you have an account you feel should not be subject to the above reporting requirement, you should submit a written request for clarification or an exemption to Sixth Street Compliance. The request should name the account, describe the nature of your interest in the account, the person or firm responsible for managing the account, and the basis upon which the exemption is being claimed. Requests will be considered on a case-by-case basis.</w:t>
      </w:r>
    </w:p>
    <w:p>
      <w:pPr>
        <w:spacing w:after="0" w:line="15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 all transactions involving such an account, however, you should conform to the spirit of the Code and avoid any activity which might appear to conflict with the interests of Sixth Street’s clients or investors or with your duties as an employee of Sixth Street.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w:t>
      </w:r>
      <w:r>
        <w:rPr>
          <w:rFonts w:ascii="Times New Roman" w:cs="Times New Roman" w:eastAsia="Times New Roman" w:hAnsi="Times New Roman"/>
          <w:sz w:val="14"/>
          <w:szCs w:val="14"/>
          <w:b w:val="1"/>
          <w:bCs w:val="1"/>
          <w:u w:val="single" w:color="auto"/>
          <w:color w:val="auto"/>
        </w:rPr>
        <w:t>NSIDER</w:t>
      </w:r>
      <w:r>
        <w:rPr>
          <w:rFonts w:ascii="Times New Roman" w:cs="Times New Roman" w:eastAsia="Times New Roman" w:hAnsi="Times New Roman"/>
          <w:sz w:val="18"/>
          <w:szCs w:val="18"/>
          <w:b w:val="1"/>
          <w:bCs w:val="1"/>
          <w:u w:val="single" w:color="auto"/>
          <w:color w:val="auto"/>
        </w:rPr>
        <w:t xml:space="preserve"> T</w:t>
      </w:r>
      <w:r>
        <w:rPr>
          <w:rFonts w:ascii="Times New Roman" w:cs="Times New Roman" w:eastAsia="Times New Roman" w:hAnsi="Times New Roman"/>
          <w:sz w:val="14"/>
          <w:szCs w:val="14"/>
          <w:b w:val="1"/>
          <w:bCs w:val="1"/>
          <w:u w:val="single" w:color="auto"/>
          <w:color w:val="auto"/>
        </w:rPr>
        <w:t>RADING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121"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Sixth Street employees may not effect transactions in any accounts, including Sixth Street or personal accounts, or advise others to effect transactions while such person is in possession of material, non-public information (“MNPI”). Additionally, Sixth Street employees may not misappropriate such information or communicate (“tip”) such information to others.</w:t>
      </w:r>
    </w:p>
    <w:p>
      <w:pPr>
        <w:spacing w:after="0" w:line="176"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Trading securities while in possession of or improperly communicating that information to others may result in severe penalties. The U.S. federal securities laws addressing insider trading are constantly evolving.</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80"/>
          </w:cols>
          <w:pgMar w:left="440" w:top="270" w:right="579" w:bottom="1440" w:gutter="0" w:footer="0" w:header="0"/>
        </w:sectPr>
      </w:pPr>
    </w:p>
    <w:bookmarkStart w:id="283" w:name="page284"/>
    <w:bookmarkEnd w:id="283"/>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Generally, insider trading occurs when a person or entity trades in a security on the basis of MNPI that was obtained in breach of a duty with an intent to deceive, manipulate, or defraud. Employees may not knowingly or recklessly breach a duty owed by:</w:t>
      </w:r>
    </w:p>
    <w:p>
      <w:pPr>
        <w:spacing w:after="0" w:line="67" w:lineRule="exact"/>
        <w:rPr>
          <w:sz w:val="20"/>
          <w:szCs w:val="20"/>
          <w:color w:val="auto"/>
        </w:rPr>
      </w:pPr>
    </w:p>
    <w:p>
      <w:pPr>
        <w:ind w:left="960" w:hanging="424"/>
        <w:spacing w:after="0"/>
        <w:tabs>
          <w:tab w:leader="none" w:pos="96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while in possession of material nonpublic information;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communicating (“tipping”) such information to others;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the purchase or sale of securities on the basis of such information; or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substantial assistance to someone who is engaged in any of the above activities.</w:t>
      </w:r>
    </w:p>
    <w:p>
      <w:pPr>
        <w:spacing w:after="0" w:line="225"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This means that if you trade a security on behalf of Sixth Street at a time when you know or should know that you are in possession of material nonpublic information about the issuer, you (and, by extension, Sixth Street) may be deemed to have violated the insider trading laws.</w:t>
      </w:r>
    </w:p>
    <w:p>
      <w:pPr>
        <w:spacing w:after="0" w:line="162" w:lineRule="exact"/>
        <w:rPr>
          <w:sz w:val="20"/>
          <w:szCs w:val="20"/>
          <w:color w:val="auto"/>
        </w:rPr>
      </w:pPr>
    </w:p>
    <w:p>
      <w:pPr>
        <w:jc w:val="both"/>
        <w:ind w:right="340"/>
        <w:spacing w:after="0" w:line="312" w:lineRule="auto"/>
        <w:rPr>
          <w:sz w:val="20"/>
          <w:szCs w:val="20"/>
          <w:color w:val="auto"/>
        </w:rPr>
      </w:pPr>
      <w:r>
        <w:rPr>
          <w:rFonts w:ascii="Times New Roman" w:cs="Times New Roman" w:eastAsia="Times New Roman" w:hAnsi="Times New Roman"/>
          <w:sz w:val="17"/>
          <w:szCs w:val="17"/>
          <w:color w:val="auto"/>
        </w:rPr>
        <w:t>Additionally, if you trade a security on behalf of Sixth Street at a time when any person at Sixth Street has material nonpublic information about the issuer, even if the person is not aware that Sixth Street possesses the information, Sixth Street may be deemed to have violated insider trading laws.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What is “Material” Information?</w:t>
      </w:r>
    </w:p>
    <w:p>
      <w:pPr>
        <w:spacing w:after="0" w:line="22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Information is considered “material” if there is a substantial likelihood that a reasonable investor would consider it important in making his or her investment decisions, or if it could reasonably be expected to affect the price of an issuer’s securities. The information need not be so important that it would have changed the investor’s decision to buy or sell. Information that should be considered material includes, but is not limited to, changes in dividend policies, earnings estimates, changes in previously released earnings estimates, significant merger or acquisition proposals or agreements, major litigation, changes in management, the grant or denial of significant governmental or regulatory approvals, liquidity problems and significant new products, services or contracts. Material information can also relate to events or circumstances affecting the market for an issuer’s securities such as information that a brokerage house is about to issue a stock recommendation or that a forthcoming newspaper column will contain information that is expected to affect the market price of a security.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What is “Nonpublic” Information?</w:t>
      </w:r>
    </w:p>
    <w:p>
      <w:pPr>
        <w:spacing w:after="0" w:line="22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Nonpublic or confidential information is any information that is not public or which has been provided to Sixth Street by an external source with the expectation that the information will be kept confidential and used solely for specified business purposes. Such information may be provided directly to Sixth Street by an external party pursuant to the terms of a non-disclosure agreement or other confidentiality agreement, or from a third party that a Sixth Street employee knows or should know is nonpublic.</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70" w:right="479" w:bottom="1440" w:gutter="0" w:footer="0" w:header="0"/>
        </w:sectPr>
      </w:pPr>
    </w:p>
    <w:bookmarkStart w:id="284" w:name="page285"/>
    <w:bookmarkEnd w:id="284"/>
    <w:p>
      <w:pPr>
        <w:ind w:right="320"/>
        <w:spacing w:after="0" w:line="28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Information is considered nonpublic until such time as it has been disseminated in a manner making it available to investors generally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through company press releases or public filings).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International Rules and Regulations</w:t>
      </w:r>
    </w:p>
    <w:p>
      <w:pPr>
        <w:spacing w:after="0" w:line="121" w:lineRule="exact"/>
        <w:rPr>
          <w:sz w:val="20"/>
          <w:szCs w:val="20"/>
          <w:color w:val="auto"/>
        </w:rPr>
      </w:pPr>
    </w:p>
    <w:p>
      <w:pPr>
        <w:jc w:val="both"/>
        <w:ind w:left="440" w:right="140"/>
        <w:spacing w:after="0" w:line="266" w:lineRule="auto"/>
        <w:rPr>
          <w:sz w:val="20"/>
          <w:szCs w:val="20"/>
          <w:color w:val="auto"/>
        </w:rPr>
      </w:pPr>
      <w:r>
        <w:rPr>
          <w:rFonts w:ascii="Times New Roman" w:cs="Times New Roman" w:eastAsia="Times New Roman" w:hAnsi="Times New Roman"/>
          <w:sz w:val="18"/>
          <w:szCs w:val="18"/>
          <w:color w:val="auto"/>
        </w:rPr>
        <w:t>To the extent that you operate out of or conduct business in a non-U.S. jurisdiction, additional rules and regulations may apply. Please reference the Compliance Manuals for TSSP Europe, LLP and TSSP Hong Kong (A) Limited, respectively, for further detail and consult with Sixth Street Compliance for any related questions.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Liability of Tippers and Tippees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Given the business activities of Sixth Street, it is important to understand that a person can be held liable for insider trading even if that person does not personally engage in any trading activity; in the U.S., for example, federal securities laws permit liability under certain circumstances when a person communicates information to another person who then trades. In addition, the person who receives such nonpublic information may be subject to liability if he or she knows or should have known that nonpublic information was provided to him or her in violation of a duty owed to a third party.</w:t>
      </w:r>
    </w:p>
    <w:p>
      <w:pPr>
        <w:spacing w:after="0" w:line="284"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Note that the prohibition on trading while in possession of material nonpublic information or tipping such information applies to the securities of all companies, including companies with which Sixth Street and the Clients neither have, nor are considering, an investment or other relationship.</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Monitoring List</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Sixth Street Compliance’s Control Room maintains Sixth Street’s Monitoring List, which contains the names of issuers for which Sixth Street Compliance has a reason to monitor firm or personnel trading in the issuer or its related entities for potential conflicts of interest and for risk of actual or perceived insider trading. Issuers on the Monitoring List may include, for example, existing and former portfolio companies, companies where a Sixth Street Employee is a board member, and companies about which Sixth Street or its personnel have received or anticipate receiving material nonpublic information.</w:t>
      </w:r>
    </w:p>
    <w:p>
      <w:pPr>
        <w:spacing w:after="0" w:line="1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The Monitoring List is a </w:t>
      </w:r>
      <w:r>
        <w:rPr>
          <w:rFonts w:ascii="Times New Roman" w:cs="Times New Roman" w:eastAsia="Times New Roman" w:hAnsi="Times New Roman"/>
          <w:sz w:val="18"/>
          <w:szCs w:val="18"/>
          <w:u w:val="single" w:color="auto"/>
          <w:color w:val="auto"/>
        </w:rPr>
        <w:t>highly confidential</w:t>
      </w:r>
      <w:r>
        <w:rPr>
          <w:rFonts w:ascii="Times New Roman" w:cs="Times New Roman" w:eastAsia="Times New Roman" w:hAnsi="Times New Roman"/>
          <w:sz w:val="18"/>
          <w:szCs w:val="18"/>
          <w:color w:val="auto"/>
        </w:rPr>
        <w:t xml:space="preserve"> list that is maintained in the possession of the CCO, his or her designees and certain other limited personnel within Sixth Street. Its contents generally will not be shared by Sixth Street Compliance within Sixth Street and otherwise must not be communicated directly or indirectly to anyone outside Sixth Street without the prior consent of Sixth Street Compliance.</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60"/>
          </w:cols>
          <w:pgMar w:left="440" w:top="268" w:right="499" w:bottom="1440" w:gutter="0" w:footer="0" w:header="0"/>
        </w:sectPr>
      </w:pPr>
    </w:p>
    <w:bookmarkStart w:id="285" w:name="page286"/>
    <w:bookmarkEnd w:id="285"/>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assist in ensuring that the Monitoring List is current and complete, if you are presented with the opportunity to learn nonpublic information in connection with your analysis of any security or other instrument, prior to obtaining the information or signing any confidentiality letter or agreement relating to the information, you must clear with Sixth Street Compliance the receipt of such information and the signing of any such confidentiality letter or agreement. The issuer to which the information relates will be placed on Sixth Street’s Monitoring List, as appropriate.</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if you inadvertently receive or anticipate receiving information about an issuer that you believe may be material nonpublic information (including unsolicited information from an investment bank or similar source), you must immediately notify Sixth Street Compliance of the information. If Sixth Street Compliance determines that the information constitutes material nonpublic information that might expose Sixth Street or any of its affiliates to liability for “insider trading,” the issuer to which the information relates will be placed on the Monitoring List.</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Trading in a name on the Monitoring List by any person covered by the Code either for their own account or for the account of any of the Clients is subject to prior review by Sixth Street Compliance and may on a case-by-case basis include a determination as to whether Sixth Street or any member or employee of any Sixth Street or any person covered by the Code may be in possession of material nonpublic information.</w:t>
      </w:r>
    </w:p>
    <w:p>
      <w:pPr>
        <w:spacing w:after="0" w:line="17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 maintaining the Monitoring List, Sixth Street Compliance will apply such procedures as it deems appropriate, which may include attending Sixth Street meetings and monitoring email and other communications, both internal and external, of Sixth Street Employees.</w:t>
      </w:r>
    </w:p>
    <w:p>
      <w:pPr>
        <w:spacing w:after="0" w:line="16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Sixth Street Compliance will determine when an issuer may be removed from the Monitoring List after consideration of the relevant facts and circumstances. Sixth Street Compliance generally will not remove an issuer from the Monitoring List until the relevant material nonpublic information has been publicly disclosed or a determination is made that such information is no longer material.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Sanctions Specific to Insider Trading Violations</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Insider trading violations may result in severe sanctions being imposed on the individuals involved and on Sixth Street. These could involve administrative sanctions by various regulatory agencies, such as being barred from employment in the securities industry, regulatory suits for disgorgement and civil penalties of, in the aggregate, up to three times the profits gained or losses avoided by the trading, private damage suits brought by persons who traded in the market at or about the same time as the person who traded on inside information, and criminal prosecution which could result in substantial fines and jail sentences. In addition, even in the absence of legal action, violation of insider trading prohibitions or failure to comply with the Code may result in termination of your employment and referral to the appropriate authorities.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Fiduciary Duty to Use Material Nonpublic Information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Sixth Street has fiduciary relationships with the clients, but has no legal obligation to recommend or carry out investment transactions in the securities of any issuer while in possession of information they know to be MNPI relating to that issuer. In fact, as noted above, such conduct often might violate the federal securities laws.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286" w:name="page287"/>
    <w:bookmarkEnd w:id="286"/>
    <w:p>
      <w:pPr>
        <w:ind w:left="4" w:right="1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you have any doubt or uncertainty about whether any particular course of action might give rise to an insider trading issue, you should consult with Sixth Street Compliance</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P</w:t>
      </w:r>
      <w:r>
        <w:rPr>
          <w:rFonts w:ascii="Times New Roman" w:cs="Times New Roman" w:eastAsia="Times New Roman" w:hAnsi="Times New Roman"/>
          <w:sz w:val="14"/>
          <w:szCs w:val="14"/>
          <w:b w:val="1"/>
          <w:bCs w:val="1"/>
          <w:u w:val="single" w:color="auto"/>
          <w:color w:val="auto"/>
        </w:rPr>
        <w:t>ERSONAL</w:t>
      </w:r>
      <w:r>
        <w:rPr>
          <w:rFonts w:ascii="Times New Roman" w:cs="Times New Roman" w:eastAsia="Times New Roman" w:hAnsi="Times New Roman"/>
          <w:sz w:val="18"/>
          <w:szCs w:val="18"/>
          <w:b w:val="1"/>
          <w:bCs w:val="1"/>
          <w:u w:val="single" w:color="auto"/>
          <w:color w:val="auto"/>
        </w:rPr>
        <w:t xml:space="preserve"> T</w:t>
      </w:r>
      <w:r>
        <w:rPr>
          <w:rFonts w:ascii="Times New Roman" w:cs="Times New Roman" w:eastAsia="Times New Roman" w:hAnsi="Times New Roman"/>
          <w:sz w:val="14"/>
          <w:szCs w:val="14"/>
          <w:b w:val="1"/>
          <w:bCs w:val="1"/>
          <w:u w:val="single" w:color="auto"/>
          <w:color w:val="auto"/>
        </w:rPr>
        <w:t>RADING</w:t>
      </w:r>
      <w:r>
        <w:rPr>
          <w:rFonts w:ascii="Times New Roman" w:cs="Times New Roman" w:eastAsia="Times New Roman" w:hAnsi="Times New Roman"/>
          <w:sz w:val="18"/>
          <w:szCs w:val="18"/>
          <w:b w:val="1"/>
          <w:bCs w:val="1"/>
          <w:u w:val="single" w:color="auto"/>
          <w:color w:val="auto"/>
        </w:rPr>
        <w:t xml:space="preserve"> P</w:t>
      </w:r>
      <w:r>
        <w:rPr>
          <w:rFonts w:ascii="Times New Roman" w:cs="Times New Roman" w:eastAsia="Times New Roman" w:hAnsi="Times New Roman"/>
          <w:sz w:val="14"/>
          <w:szCs w:val="14"/>
          <w:b w:val="1"/>
          <w:bCs w:val="1"/>
          <w:u w:val="single" w:color="auto"/>
          <w:color w:val="auto"/>
        </w:rPr>
        <w:t>OLICIES AND</w:t>
      </w:r>
      <w:r>
        <w:rPr>
          <w:rFonts w:ascii="Times New Roman" w:cs="Times New Roman" w:eastAsia="Times New Roman" w:hAnsi="Times New Roman"/>
          <w:sz w:val="18"/>
          <w:szCs w:val="18"/>
          <w:b w:val="1"/>
          <w:bCs w:val="1"/>
          <w:u w:val="single" w:color="auto"/>
          <w:color w:val="auto"/>
        </w:rPr>
        <w:t xml:space="preserve"> P</w:t>
      </w:r>
      <w:r>
        <w:rPr>
          <w:rFonts w:ascii="Times New Roman" w:cs="Times New Roman" w:eastAsia="Times New Roman" w:hAnsi="Times New Roman"/>
          <w:sz w:val="14"/>
          <w:szCs w:val="14"/>
          <w:b w:val="1"/>
          <w:bCs w:val="1"/>
          <w:u w:val="single" w:color="auto"/>
          <w:color w:val="auto"/>
        </w:rPr>
        <w:t>ROCEDURES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Personal Trading Policies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Brokers</w:t>
      </w:r>
    </w:p>
    <w:p>
      <w:pPr>
        <w:spacing w:after="0" w:line="117"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color w:val="auto"/>
        </w:rPr>
        <w:t>You are limited to opening and maintaining personal brokerage accounts with brokerage firms which provide electronic feeds into STAR of your personal trading activity (“</w:t>
      </w:r>
      <w:r>
        <w:rPr>
          <w:rFonts w:ascii="Times New Roman" w:cs="Times New Roman" w:eastAsia="Times New Roman" w:hAnsi="Times New Roman"/>
          <w:sz w:val="18"/>
          <w:szCs w:val="18"/>
          <w:u w:val="single" w:color="auto"/>
          <w:color w:val="auto"/>
        </w:rPr>
        <w:t>Approved Brokers</w:t>
      </w:r>
      <w:r>
        <w:rPr>
          <w:rFonts w:ascii="Times New Roman" w:cs="Times New Roman" w:eastAsia="Times New Roman" w:hAnsi="Times New Roman"/>
          <w:sz w:val="18"/>
          <w:szCs w:val="18"/>
          <w:color w:val="auto"/>
        </w:rPr>
        <w:t xml:space="preserve">”) absent written approval from Sixth Street Compliance. Such written approval from Sixth Street Compliance regarding use of non-approved brokerage firms may be conditioned upon your agreeing to pay costs associated with compliance reviews of your non-approved brokerage accounts. Please note this requirement also applies to your family/household. The list of Approved Brokers can be found here: </w:t>
      </w:r>
      <w:r>
        <w:rPr>
          <w:rFonts w:ascii="Times New Roman" w:cs="Times New Roman" w:eastAsia="Times New Roman" w:hAnsi="Times New Roman"/>
          <w:sz w:val="18"/>
          <w:szCs w:val="18"/>
          <w:u w:val="single" w:color="auto"/>
          <w:color w:val="auto"/>
        </w:rPr>
        <w:t>https://tpg.ent.box.com/folder/111926818275</w:t>
      </w:r>
    </w:p>
    <w:p>
      <w:pPr>
        <w:spacing w:after="0" w:line="183" w:lineRule="exact"/>
        <w:rPr>
          <w:sz w:val="20"/>
          <w:szCs w:val="20"/>
          <w:color w:val="auto"/>
        </w:rPr>
      </w:pPr>
    </w:p>
    <w:p>
      <w:pPr>
        <w:ind w:left="4" w:right="100"/>
        <w:spacing w:after="0" w:line="282" w:lineRule="auto"/>
        <w:rPr>
          <w:sz w:val="20"/>
          <w:szCs w:val="20"/>
          <w:color w:val="auto"/>
        </w:rPr>
      </w:pPr>
      <w:r>
        <w:rPr>
          <w:rFonts w:ascii="Times New Roman" w:cs="Times New Roman" w:eastAsia="Times New Roman" w:hAnsi="Times New Roman"/>
          <w:sz w:val="18"/>
          <w:szCs w:val="18"/>
          <w:color w:val="auto"/>
        </w:rPr>
        <w:t>Personal securities transactions executed with Approved Brokers are updated electronically and monitored by Sixth Street Compliance through STAR, an automated personal trading system. The current list of Approved Brokers is available from Sixth Street Compliance.</w:t>
      </w:r>
    </w:p>
    <w:p>
      <w:pPr>
        <w:spacing w:after="0" w:line="160" w:lineRule="exact"/>
        <w:rPr>
          <w:sz w:val="20"/>
          <w:szCs w:val="20"/>
          <w:color w:val="auto"/>
        </w:rPr>
      </w:pPr>
    </w:p>
    <w:p>
      <w:pPr>
        <w:ind w:left="4" w:right="320"/>
        <w:spacing w:after="0" w:line="284" w:lineRule="auto"/>
        <w:rPr>
          <w:sz w:val="20"/>
          <w:szCs w:val="20"/>
          <w:color w:val="auto"/>
        </w:rPr>
      </w:pPr>
      <w:r>
        <w:rPr>
          <w:rFonts w:ascii="Times New Roman" w:cs="Times New Roman" w:eastAsia="Times New Roman" w:hAnsi="Times New Roman"/>
          <w:sz w:val="18"/>
          <w:szCs w:val="18"/>
          <w:color w:val="auto"/>
        </w:rPr>
        <w:t>You should consult Sixth Street Compliance if you believe that you have reportable accounts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family trust accounts and discretionary managed accounts) that cannot readily be maintained with an Approved Broker.</w:t>
      </w:r>
    </w:p>
    <w:p>
      <w:pPr>
        <w:spacing w:after="0" w:line="26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Preclearance Requirement</w:t>
      </w:r>
    </w:p>
    <w:p>
      <w:pPr>
        <w:spacing w:after="0" w:line="117" w:lineRule="exact"/>
        <w:rPr>
          <w:sz w:val="20"/>
          <w:szCs w:val="20"/>
          <w:color w:val="auto"/>
        </w:rPr>
      </w:pPr>
    </w:p>
    <w:p>
      <w:pPr>
        <w:ind w:left="4" w:right="40"/>
        <w:spacing w:after="0" w:line="261" w:lineRule="auto"/>
        <w:rPr>
          <w:sz w:val="20"/>
          <w:szCs w:val="20"/>
          <w:color w:val="auto"/>
        </w:rPr>
      </w:pPr>
      <w:r>
        <w:rPr>
          <w:rFonts w:ascii="Times New Roman" w:cs="Times New Roman" w:eastAsia="Times New Roman" w:hAnsi="Times New Roman"/>
          <w:sz w:val="18"/>
          <w:szCs w:val="18"/>
          <w:color w:val="auto"/>
        </w:rPr>
        <w:t>You must obtain prior written approval from Sixth Street Compliance before engaging in a transaction that includes purchasing, selling, transferring, receiving or giving as a gift or exercising any option on/in any Covered Securities in any account which you or a member of your family/household has any Beneficial Ownership</w:t>
      </w:r>
      <w:r>
        <w:rPr>
          <w:rFonts w:ascii="Times New Roman" w:cs="Times New Roman" w:eastAsia="Times New Roman" w:hAnsi="Times New Roman"/>
          <w:sz w:val="15"/>
          <w:szCs w:val="15"/>
          <w:color w:val="auto"/>
        </w:rPr>
        <w:t>13</w:t>
      </w:r>
      <w:r>
        <w:rPr>
          <w:rFonts w:ascii="Times New Roman" w:cs="Times New Roman" w:eastAsia="Times New Roman" w:hAnsi="Times New Roman"/>
          <w:sz w:val="18"/>
          <w:szCs w:val="18"/>
          <w:color w:val="auto"/>
        </w:rPr>
        <w:t xml:space="preserve">. Details on the preclearance procedures are provided in the “Personal Trading Procedures” section of the Code. </w:t>
      </w:r>
      <w:r>
        <w:rPr>
          <w:rFonts w:ascii="Times New Roman" w:cs="Times New Roman" w:eastAsia="Times New Roman" w:hAnsi="Times New Roman"/>
          <w:sz w:val="18"/>
          <w:szCs w:val="18"/>
          <w:b w:val="1"/>
          <w:bCs w:val="1"/>
          <w:color w:val="auto"/>
        </w:rPr>
        <w:t>(Please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refer to Exhibit A for a list of Covered Securities that are subject to the preclearance requirement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219710</wp:posOffset>
            </wp:positionV>
            <wp:extent cx="77152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49" w:lineRule="exact"/>
        <w:rPr>
          <w:sz w:val="20"/>
          <w:szCs w:val="20"/>
          <w:color w:val="auto"/>
        </w:rPr>
      </w:pPr>
    </w:p>
    <w:p>
      <w:pPr>
        <w:ind w:left="424" w:right="540" w:hanging="424"/>
        <w:spacing w:after="0" w:line="282" w:lineRule="auto"/>
        <w:tabs>
          <w:tab w:leader="none" w:pos="424" w:val="left"/>
        </w:tabs>
        <w:numPr>
          <w:ilvl w:val="0"/>
          <w:numId w:val="29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Beneficial Ownership means any opportunity, directly or indirectly, to profit or share in the profit from any transaction in securities. It also includes transactions over which you exercise investment discretion (other than for a Client), even if you do not share in the profits.</w:t>
      </w:r>
    </w:p>
    <w:p>
      <w:pPr>
        <w:spacing w:after="0" w:line="94"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44"/>
          </w:cols>
          <w:pgMar w:left="436" w:top="270" w:right="519" w:bottom="1440" w:gutter="0" w:footer="0" w:header="0"/>
        </w:sectPr>
      </w:pPr>
    </w:p>
    <w:bookmarkStart w:id="287" w:name="page288"/>
    <w:bookmarkEnd w:id="28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Covered Security includes:</w:t>
      </w:r>
    </w:p>
    <w:p>
      <w:pPr>
        <w:spacing w:after="0" w:line="131" w:lineRule="exact"/>
        <w:rPr>
          <w:sz w:val="20"/>
          <w:szCs w:val="20"/>
          <w:color w:val="auto"/>
        </w:rPr>
      </w:pPr>
    </w:p>
    <w:p>
      <w:pPr>
        <w:ind w:left="960" w:hanging="424"/>
        <w:spacing w:after="0"/>
        <w:tabs>
          <w:tab w:leader="none" w:pos="960"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Stocks, bonds, futures, REITs or other investment contracts;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on securities and any underlying instruments that require preclearance;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Exchange-traded securities (“</w:t>
      </w:r>
      <w:r>
        <w:rPr>
          <w:rFonts w:ascii="Times New Roman" w:cs="Times New Roman" w:eastAsia="Times New Roman" w:hAnsi="Times New Roman"/>
          <w:sz w:val="18"/>
          <w:szCs w:val="18"/>
          <w:u w:val="single" w:color="auto"/>
          <w:color w:val="auto"/>
        </w:rPr>
        <w:t>ETFs</w:t>
      </w:r>
      <w:r>
        <w:rPr>
          <w:rFonts w:ascii="Times New Roman" w:cs="Times New Roman" w:eastAsia="Times New Roman" w:hAnsi="Times New Roman"/>
          <w:sz w:val="18"/>
          <w:szCs w:val="18"/>
          <w:color w:val="auto"/>
        </w:rPr>
        <w:t>”) that invest in industry-specific securities;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all kinds of limited partnerships; and</w:t>
      </w:r>
    </w:p>
    <w:p>
      <w:pPr>
        <w:spacing w:after="0" w:line="130" w:lineRule="exact"/>
        <w:rPr>
          <w:rFonts w:ascii="Times New Roman" w:cs="Times New Roman" w:eastAsia="Times New Roman" w:hAnsi="Times New Roman"/>
          <w:sz w:val="18"/>
          <w:szCs w:val="18"/>
          <w:color w:val="auto"/>
        </w:rPr>
      </w:pPr>
    </w:p>
    <w:p>
      <w:pPr>
        <w:ind w:left="960" w:right="160" w:hanging="424"/>
        <w:spacing w:after="0" w:line="282" w:lineRule="auto"/>
        <w:tabs>
          <w:tab w:leader="none" w:pos="960"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 investments in private/hedge funds and in other privately placed opportunities (“private investments”), including early-stage seed investments and direct investments in operating companies.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Please note that, because Sixth Street initiates the offering of interests in Clients or related investment vehicles, you need not preclear your investment in Clients or related investment vehicles. Preclearance will have already taken place prior to the offering of the relevant interest.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Covered Security </w:t>
      </w:r>
      <w:r>
        <w:rPr>
          <w:rFonts w:ascii="Times New Roman" w:cs="Times New Roman" w:eastAsia="Times New Roman" w:hAnsi="Times New Roman"/>
          <w:sz w:val="18"/>
          <w:szCs w:val="18"/>
          <w:b w:val="1"/>
          <w:bCs w:val="1"/>
          <w:u w:val="single" w:color="auto"/>
          <w:color w:val="auto"/>
        </w:rPr>
        <w:t>does not include</w:t>
      </w:r>
      <w:r>
        <w:rPr>
          <w:rFonts w:ascii="Times New Roman" w:cs="Times New Roman" w:eastAsia="Times New Roman" w:hAnsi="Times New Roman"/>
          <w:sz w:val="18"/>
          <w:szCs w:val="18"/>
          <w:color w:val="auto"/>
        </w:rPr>
        <w:t>, for example:</w:t>
      </w:r>
    </w:p>
    <w:p>
      <w:pPr>
        <w:spacing w:after="0" w:line="135" w:lineRule="exact"/>
        <w:rPr>
          <w:sz w:val="20"/>
          <w:szCs w:val="20"/>
          <w:color w:val="auto"/>
        </w:rPr>
      </w:pPr>
    </w:p>
    <w:p>
      <w:pPr>
        <w:ind w:left="960" w:hanging="424"/>
        <w:spacing w:after="0"/>
        <w:tabs>
          <w:tab w:leader="none" w:pos="960"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obligations of the U.S. government (or other sovereign government bonds);</w:t>
      </w:r>
    </w:p>
    <w:p>
      <w:pPr>
        <w:spacing w:after="0" w:line="130" w:lineRule="exact"/>
        <w:rPr>
          <w:rFonts w:ascii="Times New Roman" w:cs="Times New Roman" w:eastAsia="Times New Roman" w:hAnsi="Times New Roman"/>
          <w:sz w:val="18"/>
          <w:szCs w:val="18"/>
          <w:color w:val="auto"/>
        </w:rPr>
      </w:pPr>
    </w:p>
    <w:p>
      <w:pPr>
        <w:ind w:left="960" w:right="220" w:hanging="424"/>
        <w:spacing w:after="0" w:line="282" w:lineRule="auto"/>
        <w:tabs>
          <w:tab w:leader="none" w:pos="960"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Bankers’ acceptances, bank certificate of deposits, commercial paper, and high quality short-term debt obligations, including repurchase agreements;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issued by money market funds;</w:t>
      </w:r>
    </w:p>
    <w:p>
      <w:pPr>
        <w:spacing w:after="0" w:line="128" w:lineRule="exact"/>
        <w:rPr>
          <w:rFonts w:ascii="Times New Roman" w:cs="Times New Roman" w:eastAsia="Times New Roman" w:hAnsi="Times New Roman"/>
          <w:sz w:val="18"/>
          <w:szCs w:val="18"/>
          <w:color w:val="auto"/>
        </w:rPr>
      </w:pPr>
    </w:p>
    <w:p>
      <w:pPr>
        <w:ind w:left="960" w:right="220" w:hanging="424"/>
        <w:spacing w:after="0" w:line="284" w:lineRule="auto"/>
        <w:tabs>
          <w:tab w:leader="none" w:pos="960"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open-end investment companies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certain mutual funds) that are registered under the Investment Company Act of 1940, as amended, that are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color w:val="auto"/>
        </w:rPr>
        <w:t xml:space="preserve"> advised or sub-advised by a Sixth Street portfolio company; and</w:t>
      </w:r>
    </w:p>
    <w:p>
      <w:pPr>
        <w:spacing w:after="0" w:line="65" w:lineRule="exact"/>
        <w:rPr>
          <w:rFonts w:ascii="Times New Roman" w:cs="Times New Roman" w:eastAsia="Times New Roman" w:hAnsi="Times New Roman"/>
          <w:sz w:val="18"/>
          <w:szCs w:val="18"/>
          <w:color w:val="auto"/>
        </w:rPr>
      </w:pPr>
    </w:p>
    <w:p>
      <w:pPr>
        <w:ind w:left="960" w:right="200" w:hanging="424"/>
        <w:spacing w:after="0" w:line="282" w:lineRule="auto"/>
        <w:tabs>
          <w:tab w:leader="none" w:pos="960"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issued by UIT’s that are invested exclusively in one or more open-end mutual funds, other than those advised or sub-advised by a Sixth Street portfolio company.</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For purposes of these preclearance requirements and reporting requirements noted below, a person is generally presumed to have Beneficial Ownership of the following securities:</w:t>
      </w:r>
    </w:p>
    <w:p>
      <w:pPr>
        <w:spacing w:after="0" w:line="67" w:lineRule="exact"/>
        <w:rPr>
          <w:sz w:val="20"/>
          <w:szCs w:val="20"/>
          <w:color w:val="auto"/>
        </w:rPr>
      </w:pPr>
    </w:p>
    <w:p>
      <w:pPr>
        <w:ind w:left="960" w:hanging="424"/>
        <w:spacing w:after="0"/>
        <w:tabs>
          <w:tab w:leader="none" w:pos="96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owned in the person’s name, or that are held for the person’s benefit in nominee, custodial or “street name” accounts.</w:t>
      </w:r>
    </w:p>
    <w:p>
      <w:pPr>
        <w:spacing w:after="0" w:line="130" w:lineRule="exact"/>
        <w:rPr>
          <w:rFonts w:ascii="Times New Roman" w:cs="Times New Roman" w:eastAsia="Times New Roman" w:hAnsi="Times New Roman"/>
          <w:sz w:val="18"/>
          <w:szCs w:val="18"/>
          <w:color w:val="auto"/>
        </w:rPr>
      </w:pPr>
    </w:p>
    <w:p>
      <w:pPr>
        <w:ind w:left="960" w:right="420" w:hanging="424"/>
        <w:spacing w:after="0" w:line="282" w:lineRule="auto"/>
        <w:tabs>
          <w:tab w:leader="none" w:pos="96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owned directly or indirectly through an account or investment vehicle for your benefit, such as a 401k, IRA, family trust or family partnership.</w:t>
      </w:r>
    </w:p>
    <w:p>
      <w:pPr>
        <w:spacing w:after="0" w:line="67" w:lineRule="exact"/>
        <w:rPr>
          <w:rFonts w:ascii="Times New Roman" w:cs="Times New Roman" w:eastAsia="Times New Roman" w:hAnsi="Times New Roman"/>
          <w:sz w:val="18"/>
          <w:szCs w:val="18"/>
          <w:color w:val="auto"/>
        </w:rPr>
      </w:pPr>
    </w:p>
    <w:p>
      <w:pPr>
        <w:ind w:left="960" w:right="460" w:hanging="424"/>
        <w:spacing w:after="0" w:line="282" w:lineRule="auto"/>
        <w:tabs>
          <w:tab w:leader="none" w:pos="96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owned by or for a partnership in which the person is a general partner (whether the name is under the name of that partner, another partner or the partnership or through a nominee, custodial or “street name” account).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288" w:name="page289"/>
    <w:bookmarkEnd w:id="288"/>
    <w:p>
      <w:pPr>
        <w:ind w:left="960" w:hanging="424"/>
        <w:spacing w:after="0"/>
        <w:tabs>
          <w:tab w:leader="none" w:pos="96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Securities owned in which the person has a joint ownership interest, such as property owned in a joint brokerage account.</w:t>
      </w:r>
    </w:p>
    <w:p>
      <w:pPr>
        <w:spacing w:after="0" w:line="130" w:lineRule="exact"/>
        <w:rPr>
          <w:rFonts w:ascii="Times New Roman" w:cs="Times New Roman" w:eastAsia="Times New Roman" w:hAnsi="Times New Roman"/>
          <w:sz w:val="18"/>
          <w:szCs w:val="18"/>
          <w:color w:val="auto"/>
        </w:rPr>
      </w:pPr>
    </w:p>
    <w:p>
      <w:pPr>
        <w:ind w:left="960" w:hanging="424"/>
        <w:spacing w:after="0" w:line="282" w:lineRule="auto"/>
        <w:tabs>
          <w:tab w:leader="none" w:pos="96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in which a member of your family/household has a direct, indirect or joint ownership interest if the immediate family/household member resides in your household.</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owned by trusts, private foundations or other charitable accounts for which the person has investment discretion.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owned by a trust of which the person is a beneficiary.</w:t>
      </w:r>
    </w:p>
    <w:p>
      <w:pPr>
        <w:spacing w:after="0" w:line="130" w:lineRule="exact"/>
        <w:rPr>
          <w:rFonts w:ascii="Times New Roman" w:cs="Times New Roman" w:eastAsia="Times New Roman" w:hAnsi="Times New Roman"/>
          <w:sz w:val="18"/>
          <w:szCs w:val="18"/>
          <w:color w:val="auto"/>
        </w:rPr>
      </w:pPr>
    </w:p>
    <w:p>
      <w:pPr>
        <w:ind w:left="960" w:right="40" w:hanging="424"/>
        <w:spacing w:after="0" w:line="256" w:lineRule="auto"/>
        <w:tabs>
          <w:tab w:leader="none" w:pos="96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that are being managed for your benefit on a discretionary basis by a financial advisor, broker, bank, trust company or similar manager, unless the securities are held in a “blind trust” or similar arrangement under which the person is prohibited by contract from communicating with the manager of the account and the manager is prohibited from disclosing to the person what investments are held in the account. (Just putting securities into a discretionary account is not enough to remove them from a person’s Beneficial Ownership. This is because, unless the account is a “blind trust” or similar arrangement, the owner of the account can still communicate with the manager about the account and potentially influence the manager’s investment decisions.)</w:t>
      </w:r>
    </w:p>
    <w:p>
      <w:pPr>
        <w:spacing w:after="0" w:line="92" w:lineRule="exact"/>
        <w:rPr>
          <w:rFonts w:ascii="Times New Roman" w:cs="Times New Roman" w:eastAsia="Times New Roman" w:hAnsi="Times New Roman"/>
          <w:sz w:val="18"/>
          <w:szCs w:val="18"/>
          <w:color w:val="auto"/>
        </w:rPr>
      </w:pPr>
    </w:p>
    <w:p>
      <w:pPr>
        <w:ind w:left="960" w:right="40" w:hanging="424"/>
        <w:spacing w:after="0" w:line="282" w:lineRule="auto"/>
        <w:tabs>
          <w:tab w:leader="none" w:pos="96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that are held within a 529 Plan. Per the SEC’s July 2010 no-action letter to WilmerHale, LLP, unless an adviser is involved with a 529 Plan (e.g., managing or marketing the plan), access person investments in 529 Plans are not “reportable securities”.</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is not a complete list of the forms of ownership that could constitute Beneficial Ownership for purposes of the Code. You should ask Sixth Street Compliance if you have any questions or doubts at all about whether you or a member of your family/household would be considered to have Beneficial Ownership in any particular situation.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Prohibition on Trading in Covered Securities that Are Being Considered for Purchase or Sale for a Client</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Barring an approval from Sixth Street Compliance, you and members of your family/household are prohibited from trading in a Covered Security if you have actual knowledge that such security is being considered for purchase or sale by a Client. This prohibition applies during the entire period that the Covered Security is being considered by Sixth Street for purchase or sale and regardless of whether the Covered Security is actually purchased or sold for any Clients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Transactions are restricted and will be denied preclearance under the circumstances noted herein.</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60"/>
          </w:cols>
          <w:pgMar w:left="440" w:top="270" w:right="499" w:bottom="1440" w:gutter="0" w:footer="0" w:header="0"/>
        </w:sectPr>
      </w:pPr>
    </w:p>
    <w:bookmarkStart w:id="289" w:name="page290"/>
    <w:bookmarkEnd w:id="289"/>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Please note that the above restrictions apply equally to the Covered Security and to instruments related to the Covered Security. A related instrument is any security or instrument issued by the same entity as the issuer of the Covered Security, including options, rights, warrants, preferred stock, bonds and other obligations of that issuer or instruments otherwise convertible into securities of that issuer. The restrictions may also apply to issuers that own or otherwise have a substantial interest in the Covered Security, such as a parent of the Covered Security or related instrument.</w:t>
      </w:r>
    </w:p>
    <w:p>
      <w:pPr>
        <w:spacing w:after="0" w:line="180"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restrictions described above are designed to avoid conflicts with our Clients’ interests. However, patterns of trading that meet the letter of the restrictions but are intended to circumvent the restrictions are also prohibited. It is expected that you will comply with the restrictions below in good faith and conduct your personal securities transactions in keeping with the intended purpose of the Code.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Exceptions</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above prohibition does not apply to transactions where neither you nor a member of your family/household exercises any discretion to buy or sell or makes recommendations to a person who exercises such discretion or transactions in Covered Securities pursuant to an automatic investment plan. An “automatic investment plan” means a program in which regular periodic purchases (or withdrawals) are made automatically in (or from) investment accounts in accordance with a predetermined schedule and allocation. An automatic investment plan includes a dividend reinvestment plan.</w:t>
      </w:r>
    </w:p>
    <w:p>
      <w:pPr>
        <w:spacing w:after="0" w:line="178" w:lineRule="exact"/>
        <w:rPr>
          <w:sz w:val="20"/>
          <w:szCs w:val="20"/>
          <w:color w:val="auto"/>
        </w:rPr>
      </w:pPr>
    </w:p>
    <w:p>
      <w:pPr>
        <w:ind w:right="620"/>
        <w:spacing w:after="0" w:line="284" w:lineRule="auto"/>
        <w:rPr>
          <w:sz w:val="20"/>
          <w:szCs w:val="20"/>
          <w:color w:val="auto"/>
        </w:rPr>
      </w:pPr>
      <w:r>
        <w:rPr>
          <w:rFonts w:ascii="Times New Roman" w:cs="Times New Roman" w:eastAsia="Times New Roman" w:hAnsi="Times New Roman"/>
          <w:sz w:val="18"/>
          <w:szCs w:val="18"/>
          <w:color w:val="auto"/>
        </w:rPr>
        <w:t>Further, you are permitted to invest through a discretionary managed account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an account for which someone other than you has investment discretion) without being required to preclear transactions only under the following conditions:</w:t>
      </w:r>
    </w:p>
    <w:p>
      <w:pPr>
        <w:spacing w:after="0" w:line="66" w:lineRule="exact"/>
        <w:rPr>
          <w:sz w:val="20"/>
          <w:szCs w:val="20"/>
          <w:color w:val="auto"/>
        </w:rPr>
      </w:pPr>
    </w:p>
    <w:p>
      <w:pPr>
        <w:ind w:left="960" w:right="140" w:hanging="424"/>
        <w:spacing w:after="0" w:line="282" w:lineRule="auto"/>
        <w:tabs>
          <w:tab w:leader="none" w:pos="96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Your financial advisor must provide Sixth Street Compliance with an executed managed account compliance letter </w:t>
      </w:r>
      <w:r>
        <w:rPr>
          <w:rFonts w:ascii="Times New Roman" w:cs="Times New Roman" w:eastAsia="Times New Roman" w:hAnsi="Times New Roman"/>
          <w:sz w:val="18"/>
          <w:szCs w:val="18"/>
          <w:u w:val="single" w:color="auto"/>
          <w:color w:val="auto"/>
        </w:rPr>
        <w:t>prior to</w:t>
      </w:r>
      <w:r>
        <w:rPr>
          <w:rFonts w:ascii="Times New Roman" w:cs="Times New Roman" w:eastAsia="Times New Roman" w:hAnsi="Times New Roman"/>
          <w:sz w:val="18"/>
          <w:szCs w:val="18"/>
          <w:color w:val="auto"/>
        </w:rPr>
        <w:t xml:space="preserve"> executing any securities transactions in a discretionary managed account;</w:t>
      </w:r>
    </w:p>
    <w:p>
      <w:pPr>
        <w:spacing w:after="0" w:line="67" w:lineRule="exact"/>
        <w:rPr>
          <w:rFonts w:ascii="Times New Roman" w:cs="Times New Roman" w:eastAsia="Times New Roman" w:hAnsi="Times New Roman"/>
          <w:sz w:val="18"/>
          <w:szCs w:val="18"/>
          <w:color w:val="auto"/>
        </w:rPr>
      </w:pPr>
    </w:p>
    <w:p>
      <w:pPr>
        <w:ind w:left="960" w:hanging="424"/>
        <w:spacing w:after="0" w:line="282" w:lineRule="auto"/>
        <w:tabs>
          <w:tab w:leader="none" w:pos="96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managed account compliance letter must indicate, in relevant part, that the financial advisor will not consult you and you will not have any input into or knowledge of the transactions to be placed prior to the execution of the transactions;</w:t>
      </w:r>
    </w:p>
    <w:p>
      <w:pPr>
        <w:spacing w:after="0" w:line="67" w:lineRule="exact"/>
        <w:rPr>
          <w:rFonts w:ascii="Times New Roman" w:cs="Times New Roman" w:eastAsia="Times New Roman" w:hAnsi="Times New Roman"/>
          <w:sz w:val="18"/>
          <w:szCs w:val="18"/>
          <w:color w:val="auto"/>
        </w:rPr>
      </w:pPr>
    </w:p>
    <w:p>
      <w:pPr>
        <w:ind w:left="960" w:right="300" w:hanging="424"/>
        <w:spacing w:after="0" w:line="266" w:lineRule="auto"/>
        <w:tabs>
          <w:tab w:leader="none" w:pos="96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your financial advisor must provide Sixth Street Compliance with an acknowledgement confirming that, he or she did not consult with you and you did not have any input into or knowledge of any transactions to be placed prior to the execution of the transactions; and</w:t>
      </w:r>
    </w:p>
    <w:p>
      <w:pPr>
        <w:spacing w:after="0" w:line="81" w:lineRule="exact"/>
        <w:rPr>
          <w:rFonts w:ascii="Times New Roman" w:cs="Times New Roman" w:eastAsia="Times New Roman" w:hAnsi="Times New Roman"/>
          <w:sz w:val="18"/>
          <w:szCs w:val="18"/>
          <w:color w:val="auto"/>
        </w:rPr>
      </w:pPr>
    </w:p>
    <w:p>
      <w:pPr>
        <w:ind w:left="960" w:right="240" w:hanging="424"/>
        <w:spacing w:after="0" w:line="282" w:lineRule="auto"/>
        <w:tabs>
          <w:tab w:leader="none" w:pos="96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request, you must provide Sixth Street Compliance with specific certifications confirming that, you did not have direct or indirect influence or control over a discretionary managed account.</w:t>
      </w:r>
    </w:p>
    <w:p>
      <w:pPr>
        <w:spacing w:after="0" w:line="162"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Although you are not required to preclear transactions in managed accounts that satisfy the aforementioned condition, you are required to report transactions and holdings in such accounts.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0"/>
          </w:cols>
          <w:pgMar w:left="440" w:top="270" w:right="479" w:bottom="1440" w:gutter="0" w:footer="0" w:header="0"/>
        </w:sectPr>
      </w:pPr>
    </w:p>
    <w:bookmarkStart w:id="290" w:name="page291"/>
    <w:bookmarkEnd w:id="290"/>
    <w:p>
      <w:pPr>
        <w:ind w:left="4"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affect the managed account exemption for an account, contact Sixth Street Compliance for a managed account compliance letter which can be sent to your financial advisor. Periodically, Sixth Street Compliance may ask that you re-affirm the terms of any approved arrangement.</w:t>
      </w:r>
    </w:p>
    <w:p>
      <w:pPr>
        <w:spacing w:after="0" w:line="27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Preclearance Procedures</w:t>
      </w:r>
    </w:p>
    <w:p>
      <w:pPr>
        <w:spacing w:after="0" w:line="117" w:lineRule="exact"/>
        <w:rPr>
          <w:sz w:val="20"/>
          <w:szCs w:val="20"/>
          <w:color w:val="auto"/>
        </w:rPr>
      </w:pPr>
    </w:p>
    <w:p>
      <w:pPr>
        <w:ind w:left="4" w:right="40"/>
        <w:spacing w:after="0" w:line="266" w:lineRule="auto"/>
        <w:rPr>
          <w:sz w:val="20"/>
          <w:szCs w:val="20"/>
          <w:color w:val="auto"/>
        </w:rPr>
      </w:pPr>
      <w:r>
        <w:rPr>
          <w:rFonts w:ascii="Times New Roman" w:cs="Times New Roman" w:eastAsia="Times New Roman" w:hAnsi="Times New Roman"/>
          <w:sz w:val="18"/>
          <w:szCs w:val="18"/>
          <w:color w:val="auto"/>
        </w:rPr>
        <w:t>You and members of your family/household are prohibited from engaging in certain transactions in a Covered Security in any account of which you or a member of your family/household has any Beneficial Ownership, unless you obtain, in advance of the transaction, preclearance for that transaction. Approval must be obtained prior to placing a trade with a broker or otherwise transacting in a Covered Security.</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Sixth Street Employees must submit a preclearance request in the StarCompliance system which will include the (i) name of the issuer of the security;</w:t>
      </w:r>
    </w:p>
    <w:p>
      <w:pPr>
        <w:spacing w:after="0" w:line="27" w:lineRule="exact"/>
        <w:rPr>
          <w:sz w:val="20"/>
          <w:szCs w:val="20"/>
          <w:color w:val="auto"/>
        </w:rPr>
      </w:pPr>
    </w:p>
    <w:p>
      <w:pPr>
        <w:ind w:left="4" w:right="20" w:hanging="4"/>
        <w:spacing w:after="0" w:line="255" w:lineRule="auto"/>
        <w:tabs>
          <w:tab w:leader="none" w:pos="269"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ticker and/or cusip/isin/sedol, if applicable; (iii) number of shares or par value to be traded or invested; (iv) whether the transaction is a buy, sell, or applicable action; and (v) confirmation that the issuer has at least a $5 billion market capitalization. Each request will be reviewed by a Firm Partner and Compliance and you will receive an email notification approving or denying the trade request.</w:t>
      </w:r>
    </w:p>
    <w:p>
      <w:pPr>
        <w:spacing w:after="0" w:line="29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Length of Trade Authorization</w:t>
      </w:r>
    </w:p>
    <w:p>
      <w:pPr>
        <w:spacing w:after="0" w:line="11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Market Order</w:t>
      </w:r>
    </w:p>
    <w:p>
      <w:pPr>
        <w:spacing w:after="0" w:line="225" w:lineRule="exact"/>
        <w:rPr>
          <w:sz w:val="20"/>
          <w:szCs w:val="20"/>
          <w:color w:val="auto"/>
        </w:rPr>
      </w:pPr>
    </w:p>
    <w:p>
      <w:pPr>
        <w:ind w:left="4" w:right="160"/>
        <w:spacing w:after="0" w:line="282" w:lineRule="auto"/>
        <w:rPr>
          <w:sz w:val="20"/>
          <w:szCs w:val="20"/>
          <w:color w:val="auto"/>
        </w:rPr>
      </w:pPr>
      <w:r>
        <w:rPr>
          <w:rFonts w:ascii="Times New Roman" w:cs="Times New Roman" w:eastAsia="Times New Roman" w:hAnsi="Times New Roman"/>
          <w:sz w:val="18"/>
          <w:szCs w:val="18"/>
          <w:color w:val="auto"/>
        </w:rPr>
        <w:t>Except as otherwise approved in writing by Sixth Street Compliance, any authorization of a transaction is effective until the earlier of (i) its revocation by Sixth Street Compliance,</w:t>
      </w:r>
    </w:p>
    <w:p>
      <w:pPr>
        <w:spacing w:after="0" w:line="162" w:lineRule="exact"/>
        <w:rPr>
          <w:sz w:val="20"/>
          <w:szCs w:val="20"/>
          <w:color w:val="auto"/>
        </w:rPr>
      </w:pPr>
    </w:p>
    <w:p>
      <w:pPr>
        <w:ind w:left="4" w:right="240" w:hanging="4"/>
        <w:spacing w:after="0" w:line="266" w:lineRule="auto"/>
        <w:tabs>
          <w:tab w:leader="none" w:pos="269"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end of two (2) trading days immediately following the day on which authorization is granted (for example, if authorization is provided on a Monday, it is effective until the end of Wednesday) or, (iii) the moment you learn that the information in your pre-clearance request is not accurate. If the order is not placed within that period, a new authorization must be obtained before you place the trade.</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Limit Order</w:t>
      </w:r>
    </w:p>
    <w:p>
      <w:pPr>
        <w:spacing w:after="0" w:line="225"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color w:val="auto"/>
        </w:rPr>
        <w:t>Should you request approval for a limit order, it must be placed on the day it is granted or by the end of the two (2) trading days immediately following the day on which authorization is granted and can remain open so long as the security, price, and size parameters remain unchanged. If you would like to change any parameters of the requested trade, including a cancellation, then you must request a new approval to either make the change or cancel the order. When requesting approval to place a limit order, you must affirmatively disclose to Sixth Street Compliance its treatment as a limit order, the price at which the limit order is set to execute, and the size of the intended order.</w:t>
      </w:r>
    </w:p>
    <w:p>
      <w:pPr>
        <w:spacing w:after="0" w:line="183" w:lineRule="exact"/>
        <w:rPr>
          <w:sz w:val="20"/>
          <w:szCs w:val="20"/>
          <w:color w:val="auto"/>
        </w:rPr>
      </w:pPr>
    </w:p>
    <w:p>
      <w:pPr>
        <w:ind w:left="4" w:right="20"/>
        <w:spacing w:after="0" w:line="266" w:lineRule="auto"/>
        <w:rPr>
          <w:sz w:val="20"/>
          <w:szCs w:val="20"/>
          <w:color w:val="auto"/>
        </w:rPr>
      </w:pPr>
      <w:r>
        <w:rPr>
          <w:rFonts w:ascii="Times New Roman" w:cs="Times New Roman" w:eastAsia="Times New Roman" w:hAnsi="Times New Roman"/>
          <w:sz w:val="18"/>
          <w:szCs w:val="18"/>
          <w:color w:val="auto"/>
        </w:rPr>
        <w:t>Sixth Street Compliance may deny a pre-clearance request for any reason and for any length of time. The reason for the denial and the period of time the security may not be traded will not be disclosed by Sixth Street Compliance. Sixth Street Compliance may also revoke a pre-clearance approval any time after it is granted and before you execute the transaction.</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4"/>
          </w:cols>
          <w:pgMar w:left="436" w:top="270" w:right="459" w:bottom="1440" w:gutter="0" w:footer="0" w:header="0"/>
        </w:sectPr>
      </w:pPr>
    </w:p>
    <w:bookmarkStart w:id="291" w:name="page292"/>
    <w:bookmarkEnd w:id="291"/>
    <w:p>
      <w:pP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Excessive Trading</w:t>
      </w:r>
    </w:p>
    <w:p>
      <w:pPr>
        <w:spacing w:after="0" w:line="11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Personal trading activity must not be so excessive as to conflict with time spent in fulfilling one’s daily job responsibilities on behalf of Sixth Street. Sixth Street Compliance reserves the right to require that you include your managers on requests for preclearance, to contact your managers regarding your trading levels and/or to impose certain restrictions on the frequency of such activity.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Holding Period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transactions by covered persons are meant to be for investment purposes and as mentioned, must not rise to the level of excessive trading.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Trading in personal accounts is therefore subject to the following Holding Period:</w:t>
      </w:r>
    </w:p>
    <w:p>
      <w:pPr>
        <w:spacing w:after="0" w:line="112" w:lineRule="exact"/>
        <w:rPr>
          <w:sz w:val="20"/>
          <w:szCs w:val="20"/>
          <w:color w:val="auto"/>
        </w:rPr>
      </w:pPr>
    </w:p>
    <w:p>
      <w:pPr>
        <w:ind w:left="960" w:right="200" w:hanging="424"/>
        <w:spacing w:after="0" w:line="282" w:lineRule="auto"/>
        <w:tabs>
          <w:tab w:leader="none" w:pos="960"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Positions (long or short) established in Covered Securities must be held for a minimum of 90 calendar days, measured from the date that the position is established</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Positions in instruments that are not Covered Securities are not subject to the Holding Period</w:t>
      </w:r>
    </w:p>
    <w:p>
      <w:pPr>
        <w:spacing w:after="0" w:line="225"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Notwithstanding this Policy, Sixth Street recognizes that market conditions may arise that would compel a covered person to conduct transactions in a shorter time period than set forth above. Compliance reserves the right to provide an exception to the Holding Period policy based on market conditions.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Initial Public Offerings</w:t>
      </w:r>
    </w:p>
    <w:p>
      <w:pPr>
        <w:spacing w:after="0" w:line="11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Neither you nor any member of your family/household may engage in a personal transaction involving the purchase of any security (debt or equity) in an initial public offering (“</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(including initial offerings of closed-end funds) except with the specific, advance written approval of Sixth Street Compliance, which Sixth Street Compliance may deny for any reason. Additional restrictions on the purchase of a security in an IPO apply to persons associated with Sixth Street BD, LLC.</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Initial Coin Offerings</w:t>
      </w:r>
    </w:p>
    <w:p>
      <w:pPr>
        <w:spacing w:after="0" w:line="11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Neither you nor any member of your family/household may engage in a personal transaction involving an initial coin offering (“ICO”) except with the specific, advance written approval of Sixth Street Compliance, which Sixth Street Compliance may deny for any reason.</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0"/>
          </w:cols>
          <w:pgMar w:left="440" w:top="270" w:right="479" w:bottom="1440" w:gutter="0" w:footer="0" w:header="0"/>
        </w:sectPr>
      </w:pPr>
    </w:p>
    <w:bookmarkStart w:id="292" w:name="page293"/>
    <w:bookmarkEnd w:id="292"/>
    <w:p>
      <w:pP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Tokens</w:t>
      </w:r>
    </w:p>
    <w:p>
      <w:pPr>
        <w:spacing w:after="0" w:line="117"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Neither you nor any member of your family/household may engage in a personal transaction involving privately placed or Pre-ICO Tokens (e.g., digital assets whose value is tied to an underlying platform) except with the specific, advance written approval of Sixth Street Compliance, which Sixth Street Compliance may deny for any reason.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TSLX Open Window Period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Specialty Lending, Inc. (NYSE: TSLX) is a publicly traded business development company that sits within Sixth Street.</w:t>
      </w:r>
    </w:p>
    <w:p>
      <w:pPr>
        <w:spacing w:after="0" w:line="22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No Sixth Street insiders, nor Sixth Street itself (which includes TSLX), may execute a transaction in a TSLX security except during an “open window period,” which ordinarily will begin at the close of business on the third business day following the release of TSLX’s quarterly earnings, and will end three weeks thereafter. The ability to trade during such an open window period may be curtailed at the discretion of Sixth Street Compliance. Note that trading in TSLX securities by Sixth Street insiders is subject to normal Sixth Street trade pre-clearance requirements, except with respect to trades executed pursuant to an approved TSLX 10b5-1 trading plan as described below.</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TSLX 10b5-1 Trading Plans</w:t>
      </w:r>
    </w:p>
    <w:p>
      <w:pPr>
        <w:spacing w:after="0" w:line="117"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Notwithstanding the prohibition against insider trading, Rule 10b5-1 of the Securities Exchange Act of 1934 and this policy permits TSLX directors, officers, Sixth Street Employees, and Sixth Street and its affiliates (including TSLX), to trade in TSLX’s securities regardless of their awareness of inside information if the transaction is made pursuant to a pre-arranged trading plan that was entered into when the TSLX director, officer, or employee was not in possession of material nonpublic information. This policy requires trading plans to be written and to specify the amount of, date on, and price at which the securities are to be traded or establish a formula for determining such items. A TSLX director, officer or employee who wishes to enter into a trading plan must submit the trading plan to Sixth Street Compliance for approval prior to the adoption or amendment of the trading plan. Trading plans may not be adopted when the TSLX director, officer or employee is in possession of material nonpublic information about TSLX. A TSLX director, officer or employee may amend or replace his or her trading plan only during periods when trading is permitted in accordance with this policy.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Private Placements</w:t>
      </w:r>
    </w:p>
    <w:p>
      <w:pPr>
        <w:spacing w:after="0" w:line="11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Neither you nor any member of your Family/Household may purchase securities or tokens in a private placement transaction (including hedge funds) unless approval of Sixth Street Compliance is obtained. Sixth Street Compliance may deny approval for any reason.</w:t>
      </w:r>
    </w:p>
    <w:p>
      <w:pPr>
        <w:spacing w:after="0" w:line="162"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For Private Investments in funds and operating companies, the preclearance process includes answering a detailed conflicts questionnaire in StarCompliance and providing the dynamics of the investment opportunity.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preclearance is obtained, the approval is valid until the private placement transaction closes.</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60"/>
          </w:cols>
          <w:pgMar w:left="440" w:top="270" w:right="499" w:bottom="1440" w:gutter="0" w:footer="0" w:header="0"/>
        </w:sectPr>
      </w:pPr>
    </w:p>
    <w:bookmarkStart w:id="293" w:name="page294"/>
    <w:bookmarkEnd w:id="29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Waivers and Exemptions</w:t>
      </w:r>
    </w:p>
    <w:p>
      <w:pPr>
        <w:spacing w:after="0" w:line="12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Subject to applicable law, Sixth Street Compliance may from time to time grant waivers or exemptions, other than or in addition to those described previously, from the trading restrictions, preclearance requirements or other provisions of the Code with respect to particular individuals and types of transactions or securities, where in the opinion of Sixth Street Compliance, such an exemption is appropriate in light of all the circumstances. Sixth Street Compliance will maintain records necessary to justify such waivers or exemptions.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w:t>
      </w:r>
      <w:r>
        <w:rPr>
          <w:rFonts w:ascii="Times New Roman" w:cs="Times New Roman" w:eastAsia="Times New Roman" w:hAnsi="Times New Roman"/>
          <w:sz w:val="14"/>
          <w:szCs w:val="14"/>
          <w:b w:val="1"/>
          <w:bCs w:val="1"/>
          <w:u w:val="single" w:color="auto"/>
          <w:color w:val="auto"/>
        </w:rPr>
        <w:t>EPORTING AND</w:t>
      </w:r>
      <w:r>
        <w:rPr>
          <w:rFonts w:ascii="Times New Roman" w:cs="Times New Roman" w:eastAsia="Times New Roman" w:hAnsi="Times New Roman"/>
          <w:sz w:val="18"/>
          <w:szCs w:val="18"/>
          <w:b w:val="1"/>
          <w:bCs w:val="1"/>
          <w:u w:val="single" w:color="auto"/>
          <w:color w:val="auto"/>
        </w:rPr>
        <w:t xml:space="preserve"> C</w:t>
      </w:r>
      <w:r>
        <w:rPr>
          <w:rFonts w:ascii="Times New Roman" w:cs="Times New Roman" w:eastAsia="Times New Roman" w:hAnsi="Times New Roman"/>
          <w:sz w:val="14"/>
          <w:szCs w:val="14"/>
          <w:b w:val="1"/>
          <w:bCs w:val="1"/>
          <w:u w:val="single" w:color="auto"/>
          <w:color w:val="auto"/>
        </w:rPr>
        <w:t>ERTIFICATION</w:t>
      </w:r>
      <w:r>
        <w:rPr>
          <w:rFonts w:ascii="Times New Roman" w:cs="Times New Roman" w:eastAsia="Times New Roman" w:hAnsi="Times New Roman"/>
          <w:sz w:val="18"/>
          <w:szCs w:val="18"/>
          <w:b w:val="1"/>
          <w:bCs w:val="1"/>
          <w:u w:val="single" w:color="auto"/>
          <w:color w:val="auto"/>
        </w:rPr>
        <w:t xml:space="preserve"> R</w:t>
      </w:r>
      <w:r>
        <w:rPr>
          <w:rFonts w:ascii="Times New Roman" w:cs="Times New Roman" w:eastAsia="Times New Roman" w:hAnsi="Times New Roman"/>
          <w:sz w:val="14"/>
          <w:szCs w:val="14"/>
          <w:b w:val="1"/>
          <w:bCs w:val="1"/>
          <w:u w:val="single" w:color="auto"/>
          <w:color w:val="auto"/>
        </w:rPr>
        <w:t>EQUIREMENTS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Personal Securities Reports and Certifications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Initial and Annual Holdings Reports</w:t>
      </w:r>
    </w:p>
    <w:p>
      <w:pPr>
        <w:spacing w:after="0" w:line="11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You are required to disclose Covered Securities for you and members of your Family/Household promptly upon commencement of employment and on an </w:t>
      </w:r>
      <w:r>
        <w:rPr>
          <w:rFonts w:ascii="Times New Roman" w:cs="Times New Roman" w:eastAsia="Times New Roman" w:hAnsi="Times New Roman"/>
          <w:sz w:val="18"/>
          <w:szCs w:val="18"/>
          <w:u w:val="single" w:color="auto"/>
          <w:color w:val="auto"/>
        </w:rPr>
        <w:t>annual basis</w:t>
      </w:r>
      <w:r>
        <w:rPr>
          <w:rFonts w:ascii="Times New Roman" w:cs="Times New Roman" w:eastAsia="Times New Roman" w:hAnsi="Times New Roman"/>
          <w:sz w:val="18"/>
          <w:szCs w:val="18"/>
          <w:color w:val="auto"/>
        </w:rPr>
        <w:t xml:space="preserve"> thereafter. Please see the definition of a Covered Security under “Personal Trading Policies” above for detail on which securities would be considered Covered Securities.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must submit initial and annual holdings reports:</w:t>
      </w:r>
    </w:p>
    <w:p>
      <w:pPr>
        <w:spacing w:after="0" w:line="131" w:lineRule="exact"/>
        <w:rPr>
          <w:sz w:val="20"/>
          <w:szCs w:val="20"/>
          <w:color w:val="auto"/>
        </w:rPr>
      </w:pPr>
    </w:p>
    <w:p>
      <w:pPr>
        <w:ind w:left="960" w:right="280" w:hanging="532"/>
        <w:spacing w:after="0" w:line="282" w:lineRule="auto"/>
        <w:tabs>
          <w:tab w:leader="none" w:pos="96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later than 10 calendar days after becoming covered by the Code. Information must be current as of a date no more than 45 calendar days prior to the date you become covered by the Code, and</w:t>
      </w:r>
    </w:p>
    <w:p>
      <w:pPr>
        <w:spacing w:after="0" w:line="67" w:lineRule="exact"/>
        <w:rPr>
          <w:rFonts w:ascii="Times New Roman" w:cs="Times New Roman" w:eastAsia="Times New Roman" w:hAnsi="Times New Roman"/>
          <w:sz w:val="18"/>
          <w:szCs w:val="18"/>
          <w:color w:val="auto"/>
        </w:rPr>
      </w:pPr>
    </w:p>
    <w:p>
      <w:pPr>
        <w:ind w:left="960" w:hanging="532"/>
        <w:spacing w:after="0" w:line="282" w:lineRule="auto"/>
        <w:tabs>
          <w:tab w:leader="none" w:pos="96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once each 12-month period thereafter. Information must be current as of a date no more than 45 calendar days prior to the date the report was submitted. This requirement may be addressed through the annual certification process in the firm’s Code of Ethics system.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will be prompted by Sixth Street Compliance when the information is due for submission.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 Activity</w:t>
      </w:r>
    </w:p>
    <w:p>
      <w:pPr>
        <w:spacing w:after="0" w:line="11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If you or any member of your family/household has an investment account with any broker, dealer or bank, you or your family/household member must arrange for (i) an electronic feed of account activity if the account is with an Approved Broker or (ii) the broker, dealer or bank to send directly to Sixth Street Compliance, </w:t>
      </w:r>
      <w:r>
        <w:rPr>
          <w:rFonts w:ascii="Times New Roman" w:cs="Times New Roman" w:eastAsia="Times New Roman" w:hAnsi="Times New Roman"/>
          <w:sz w:val="18"/>
          <w:szCs w:val="18"/>
          <w:u w:val="single" w:color="auto"/>
          <w:color w:val="auto"/>
        </w:rPr>
        <w:t>contemporaneous</w:t>
      </w:r>
      <w:r>
        <w:rPr>
          <w:rFonts w:ascii="Times New Roman" w:cs="Times New Roman" w:eastAsia="Times New Roman" w:hAnsi="Times New Roman"/>
          <w:sz w:val="18"/>
          <w:szCs w:val="18"/>
          <w:color w:val="auto"/>
        </w:rPr>
        <w:t xml:space="preserve"> duplicate copies of all brokerage statements and trade confirmations relating to that account if a waiver from the Approved Broker requirement has been granted by Sixth Street Compliance, by email at </w:t>
      </w:r>
      <w:r>
        <w:rPr>
          <w:rFonts w:ascii="Times New Roman" w:cs="Times New Roman" w:eastAsia="Times New Roman" w:hAnsi="Times New Roman"/>
          <w:sz w:val="18"/>
          <w:szCs w:val="18"/>
          <w:u w:val="single" w:color="auto"/>
          <w:color w:val="auto"/>
        </w:rPr>
        <w:t>paperstatements@sixthstreet.com</w:t>
      </w:r>
      <w:r>
        <w:rPr>
          <w:rFonts w:ascii="Times New Roman" w:cs="Times New Roman" w:eastAsia="Times New Roman" w:hAnsi="Times New Roman"/>
          <w:sz w:val="18"/>
          <w:szCs w:val="18"/>
          <w:color w:val="auto"/>
        </w:rPr>
        <w:t xml:space="preserve"> or in hard copy to Sixth Street Compliance, 888 7</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Avenue, 34</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Floor, New York, NY 10106, United States or to such other third party as Sixth Street Compliance shall designate.</w:t>
      </w:r>
    </w:p>
    <w:p>
      <w:pPr>
        <w:spacing w:after="0" w:line="1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40"/>
          </w:cols>
          <w:pgMar w:left="440" w:top="266" w:right="519" w:bottom="1440" w:gutter="0" w:footer="0" w:header="0"/>
        </w:sectPr>
      </w:pPr>
    </w:p>
    <w:bookmarkStart w:id="294" w:name="page295"/>
    <w:bookmarkEnd w:id="294"/>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Exception</w:t>
      </w:r>
    </w:p>
    <w:p>
      <w:pPr>
        <w:spacing w:after="0" w:line="11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If applicable laws or regulations in the jurisdiction relevant for your or your family/household’s purposes prohibit brokers, dealers or banks from providing duplicate brokerage statements and trade confirmations directly to Sixth Street, you and/or your family/household (as relevant) instead must file a Quarterly Transaction Report as specified below.</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Persons Associated with Sixth Street BD, LLC</w:t>
      </w:r>
    </w:p>
    <w:p>
      <w:pPr>
        <w:spacing w:after="0" w:line="11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If you are a registered representative of Sixth Street BD, LLC, it is important that when opening an account with a broker-dealer, you notify the broker-dealer of your association with Sixth Street BD, LLC.</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Quarterly Certification and Quarterly Transaction Report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Quarterly Certification</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You are required to make a certification regarding your personal securities transactions each quarter via STAR. Specifically, every calendar quarter, you and your family/household must certify that you and your family/household have directed all brokers, dealers and banks to furnish brokerage statements and trade confirmations directly to Sixth Street Compliance, that no transactions that would be required to be reported were effected during the quarter except through accounts for which you and your family/household have directed the broker, dealer or bank to send brokerage statements and trade confirmations directly to Sixth Street Compliance and that, as far as you and your family/household know, those statements and confirmations are complete and accurate representations of all transactions during the most recent calendar quarter.</w:t>
      </w:r>
    </w:p>
    <w:p>
      <w:pPr>
        <w:spacing w:after="0" w:line="18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Sixth Street Compliance will notify you of this certification requirement each quarter. This certification must be completed no later than the deadline set in the notice sent by Sixth Street Compliance, generally 30 calendar days after the close of the calendar quarter. Failure to submit within the deadline included in the notice from Sixth Street Compliance contravenes applicable regulatory requirements.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Quarterly Transaction Report</w:t>
      </w:r>
    </w:p>
    <w:p>
      <w:pPr>
        <w:spacing w:after="0" w:line="11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If applicable laws or regulations in the jurisdiction relevant for you or your family/household’s purposes prohibit brokers, dealers or banks from providing brokerage statements and trade confirmations directly to Sixth Street, no later than the deadline set by Sixth Street Compliance, generally 30 calendar days after the close of the calendar quarter, you and/or your family/household (as relevant) must use STAR to submit a Quarterly Transaction Report.</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60"/>
          </w:cols>
          <w:pgMar w:left="440" w:top="268" w:right="499" w:bottom="1440" w:gutter="0" w:footer="0" w:header="0"/>
        </w:sectPr>
      </w:pPr>
    </w:p>
    <w:bookmarkStart w:id="295" w:name="page296"/>
    <w:bookmarkEnd w:id="29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Initial and Annual Certifications and Questionnaires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Code of Ethics</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Upon hire and at least annually thereafter, you will receive and be required to review the current Code. You may also be asked to acknowledge receipt of the Code, your understanding of the Code and your compliance with the Code.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Conflicts of Interest</w:t>
      </w:r>
    </w:p>
    <w:p>
      <w:pPr>
        <w:spacing w:after="0" w:line="11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Annually, you will be asked to complete a Conflicts of Interest questionnaire and certification regarding outside affiliations. Such questionnaire may include items related to relationships with broker-dealers or government entities, as well as holding board memberships.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Disciplinary Questionnaire</w:t>
      </w:r>
    </w:p>
    <w:p>
      <w:pPr>
        <w:spacing w:after="0" w:line="11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Annually, you will be asked to complete a disciplinary questionnaire and certification. Such questionnaire may include questions related to a variety of civil, criminal, regulatory or disciplinary matters.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Exception</w:t>
      </w:r>
    </w:p>
    <w:p>
      <w:pPr>
        <w:spacing w:after="0" w:line="121" w:lineRule="exact"/>
        <w:rPr>
          <w:sz w:val="20"/>
          <w:szCs w:val="20"/>
          <w:color w:val="auto"/>
        </w:rPr>
      </w:pPr>
    </w:p>
    <w:p>
      <w:pPr>
        <w:ind w:right="300"/>
        <w:spacing w:after="0" w:line="312" w:lineRule="auto"/>
        <w:rPr>
          <w:sz w:val="20"/>
          <w:szCs w:val="20"/>
          <w:color w:val="auto"/>
        </w:rPr>
      </w:pPr>
      <w:r>
        <w:rPr>
          <w:rFonts w:ascii="Times New Roman" w:cs="Times New Roman" w:eastAsia="Times New Roman" w:hAnsi="Times New Roman"/>
          <w:sz w:val="17"/>
          <w:szCs w:val="17"/>
          <w:color w:val="auto"/>
        </w:rPr>
        <w:t>The above reporting and certification requirements do not apply to transactions in or ownership of Clients or other investment vehicles sponsored by Sixth Street. Sixth Street maintains the official records of all investor holdings in Clients and other investment vehicles sponsored by Sixth Street.</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w:t>
      </w:r>
      <w:r>
        <w:rPr>
          <w:rFonts w:ascii="Times New Roman" w:cs="Times New Roman" w:eastAsia="Times New Roman" w:hAnsi="Times New Roman"/>
          <w:sz w:val="14"/>
          <w:szCs w:val="14"/>
          <w:b w:val="1"/>
          <w:bCs w:val="1"/>
          <w:u w:val="single" w:color="auto"/>
          <w:color w:val="auto"/>
        </w:rPr>
        <w:t>UTSIDE</w:t>
      </w:r>
      <w:r>
        <w:rPr>
          <w:rFonts w:ascii="Times New Roman" w:cs="Times New Roman" w:eastAsia="Times New Roman" w:hAnsi="Times New Roman"/>
          <w:sz w:val="18"/>
          <w:szCs w:val="18"/>
          <w:b w:val="1"/>
          <w:bCs w:val="1"/>
          <w:u w:val="single" w:color="auto"/>
          <w:color w:val="auto"/>
        </w:rPr>
        <w:t xml:space="preserve"> B</w:t>
      </w:r>
      <w:r>
        <w:rPr>
          <w:rFonts w:ascii="Times New Roman" w:cs="Times New Roman" w:eastAsia="Times New Roman" w:hAnsi="Times New Roman"/>
          <w:sz w:val="14"/>
          <w:szCs w:val="14"/>
          <w:b w:val="1"/>
          <w:bCs w:val="1"/>
          <w:u w:val="single" w:color="auto"/>
          <w:color w:val="auto"/>
        </w:rPr>
        <w:t>USINESS</w:t>
      </w:r>
      <w:r>
        <w:rPr>
          <w:rFonts w:ascii="Times New Roman" w:cs="Times New Roman" w:eastAsia="Times New Roman" w:hAnsi="Times New Roman"/>
          <w:sz w:val="18"/>
          <w:szCs w:val="18"/>
          <w:b w:val="1"/>
          <w:bCs w:val="1"/>
          <w:u w:val="single" w:color="auto"/>
          <w:color w:val="auto"/>
        </w:rPr>
        <w:t xml:space="preserve"> A</w:t>
      </w:r>
      <w:r>
        <w:rPr>
          <w:rFonts w:ascii="Times New Roman" w:cs="Times New Roman" w:eastAsia="Times New Roman" w:hAnsi="Times New Roman"/>
          <w:sz w:val="14"/>
          <w:szCs w:val="14"/>
          <w:b w:val="1"/>
          <w:bCs w:val="1"/>
          <w:u w:val="single" w:color="auto"/>
          <w:color w:val="auto"/>
        </w:rPr>
        <w:t>CTIVITIES AND</w:t>
      </w:r>
      <w:r>
        <w:rPr>
          <w:rFonts w:ascii="Times New Roman" w:cs="Times New Roman" w:eastAsia="Times New Roman" w:hAnsi="Times New Roman"/>
          <w:sz w:val="18"/>
          <w:szCs w:val="18"/>
          <w:b w:val="1"/>
          <w:bCs w:val="1"/>
          <w:u w:val="single" w:color="auto"/>
          <w:color w:val="auto"/>
        </w:rPr>
        <w:t xml:space="preserve"> A</w:t>
      </w:r>
      <w:r>
        <w:rPr>
          <w:rFonts w:ascii="Times New Roman" w:cs="Times New Roman" w:eastAsia="Times New Roman" w:hAnsi="Times New Roman"/>
          <w:sz w:val="14"/>
          <w:szCs w:val="14"/>
          <w:b w:val="1"/>
          <w:bCs w:val="1"/>
          <w:u w:val="single" w:color="auto"/>
          <w:color w:val="auto"/>
        </w:rPr>
        <w:t>VOIDING</w:t>
      </w:r>
      <w:r>
        <w:rPr>
          <w:rFonts w:ascii="Times New Roman" w:cs="Times New Roman" w:eastAsia="Times New Roman" w:hAnsi="Times New Roman"/>
          <w:sz w:val="18"/>
          <w:szCs w:val="18"/>
          <w:b w:val="1"/>
          <w:bCs w:val="1"/>
          <w:u w:val="single" w:color="auto"/>
          <w:color w:val="auto"/>
        </w:rPr>
        <w:t xml:space="preserve"> C</w:t>
      </w:r>
      <w:r>
        <w:rPr>
          <w:rFonts w:ascii="Times New Roman" w:cs="Times New Roman" w:eastAsia="Times New Roman" w:hAnsi="Times New Roman"/>
          <w:sz w:val="14"/>
          <w:szCs w:val="14"/>
          <w:b w:val="1"/>
          <w:bCs w:val="1"/>
          <w:u w:val="single" w:color="auto"/>
          <w:color w:val="auto"/>
        </w:rPr>
        <w:t>ONFLICTS OF</w:t>
      </w:r>
      <w:r>
        <w:rPr>
          <w:rFonts w:ascii="Times New Roman" w:cs="Times New Roman" w:eastAsia="Times New Roman" w:hAnsi="Times New Roman"/>
          <w:sz w:val="18"/>
          <w:szCs w:val="18"/>
          <w:b w:val="1"/>
          <w:bCs w:val="1"/>
          <w:u w:val="single" w:color="auto"/>
          <w:color w:val="auto"/>
        </w:rPr>
        <w:t xml:space="preserve"> I</w:t>
      </w:r>
      <w:r>
        <w:rPr>
          <w:rFonts w:ascii="Times New Roman" w:cs="Times New Roman" w:eastAsia="Times New Roman" w:hAnsi="Times New Roman"/>
          <w:sz w:val="14"/>
          <w:szCs w:val="14"/>
          <w:b w:val="1"/>
          <w:bCs w:val="1"/>
          <w:u w:val="single" w:color="auto"/>
          <w:color w:val="auto"/>
        </w:rPr>
        <w:t>NTEREST</w:t>
      </w:r>
    </w:p>
    <w:p>
      <w:pPr>
        <w:spacing w:after="0" w:line="12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To avoid conflicts of interest and other compliance and business issues, Sixth Street Compliance reviews requests for outside business activities via STAR and requires those subject to the Code to periodically certify to their disclosure.</w:t>
      </w:r>
    </w:p>
    <w:p>
      <w:pPr>
        <w:spacing w:after="0" w:line="162"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Outside business activities are activities you are engaged in outside of Sixth Street, whether or not you receive compensation, including without limitation:</w:t>
      </w:r>
    </w:p>
    <w:p>
      <w:pPr>
        <w:spacing w:after="0" w:line="67" w:lineRule="exact"/>
        <w:rPr>
          <w:sz w:val="20"/>
          <w:szCs w:val="20"/>
          <w:color w:val="auto"/>
        </w:rPr>
      </w:pPr>
    </w:p>
    <w:p>
      <w:pPr>
        <w:ind w:left="960" w:hanging="424"/>
        <w:spacing w:after="0"/>
        <w:tabs>
          <w:tab w:leader="none" w:pos="96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employed by, serving as a director or officer for, or acting as a consultant for, another person or entity;</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Receiving compensation from another person or entity for business activities including, for example, a family business;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Receiving fees for an external work product, such as an article or speech; and/or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 elected or appointed political or governmental position.</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66" w:right="459" w:bottom="1440" w:gutter="0" w:footer="0" w:header="0"/>
        </w:sectPr>
      </w:pPr>
    </w:p>
    <w:bookmarkStart w:id="296" w:name="page297"/>
    <w:bookmarkEnd w:id="296"/>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purposes of this policy, the following are not considered to be outside business activities:</w:t>
      </w:r>
    </w:p>
    <w:p>
      <w:pPr>
        <w:spacing w:after="0" w:line="131" w:lineRule="exact"/>
        <w:rPr>
          <w:sz w:val="20"/>
          <w:szCs w:val="20"/>
          <w:color w:val="auto"/>
        </w:rPr>
      </w:pPr>
    </w:p>
    <w:p>
      <w:pPr>
        <w:ind w:left="964" w:right="460" w:hanging="424"/>
        <w:spacing w:after="0" w:line="282" w:lineRule="auto"/>
        <w:tabs>
          <w:tab w:leader="none" w:pos="964"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Participation in community organizations (e.g., local churches, homeowners’ associations, rotary clubs, charities or other community organizations), unless you are involved in any investment-related activities in connection therewith;</w:t>
      </w:r>
    </w:p>
    <w:p>
      <w:pPr>
        <w:spacing w:after="0" w:line="67" w:lineRule="exact"/>
        <w:rPr>
          <w:rFonts w:ascii="Times New Roman" w:cs="Times New Roman" w:eastAsia="Times New Roman" w:hAnsi="Times New Roman"/>
          <w:sz w:val="18"/>
          <w:szCs w:val="18"/>
          <w:color w:val="auto"/>
        </w:rPr>
      </w:pPr>
    </w:p>
    <w:p>
      <w:pPr>
        <w:ind w:left="964" w:right="900" w:hanging="424"/>
        <w:spacing w:after="0" w:line="282" w:lineRule="auto"/>
        <w:tabs>
          <w:tab w:leader="none" w:pos="964"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Association with a corporation, partnership, trust or other entity established for personal financial planning or holding personal investments; and/or</w:t>
      </w:r>
    </w:p>
    <w:p>
      <w:pPr>
        <w:spacing w:after="0" w:line="67" w:lineRule="exact"/>
        <w:rPr>
          <w:rFonts w:ascii="Times New Roman" w:cs="Times New Roman" w:eastAsia="Times New Roman" w:hAnsi="Times New Roman"/>
          <w:sz w:val="18"/>
          <w:szCs w:val="18"/>
          <w:color w:val="auto"/>
        </w:rPr>
      </w:pPr>
    </w:p>
    <w:p>
      <w:pPr>
        <w:ind w:left="964" w:right="140" w:hanging="424"/>
        <w:spacing w:after="0" w:line="282" w:lineRule="auto"/>
        <w:tabs>
          <w:tab w:leader="none" w:pos="964"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Involvement with personal or family-owned real estate-related holdings/investments, unless the employee spends more than a de minimis amount of their time involved in the operations or management of such entities.</w:t>
      </w:r>
    </w:p>
    <w:p>
      <w:pPr>
        <w:spacing w:after="0" w:line="162" w:lineRule="exact"/>
        <w:rPr>
          <w:sz w:val="20"/>
          <w:szCs w:val="20"/>
          <w:color w:val="auto"/>
        </w:rPr>
      </w:pPr>
    </w:p>
    <w:p>
      <w:pPr>
        <w:ind w:left="4" w:right="80"/>
        <w:spacing w:after="0" w:line="272" w:lineRule="auto"/>
        <w:rPr>
          <w:sz w:val="20"/>
          <w:szCs w:val="20"/>
          <w:color w:val="auto"/>
        </w:rPr>
      </w:pPr>
      <w:r>
        <w:rPr>
          <w:rFonts w:ascii="Times New Roman" w:cs="Times New Roman" w:eastAsia="Times New Roman" w:hAnsi="Times New Roman"/>
          <w:sz w:val="17"/>
          <w:szCs w:val="17"/>
          <w:color w:val="auto"/>
        </w:rPr>
        <w:t>Specifically, Sixth Street prohibits those subject to the Code from serving as officers or members of the board of any other entity, except with the advance STAR request and approval of Sixth Street Compliance. Sixth Street Compliance can deny such service for any reason. This approval requirement does not apply to service as an officer or board member of (i) any parent or subsidiary of Sixth Street or any not-for-profit or similar entity,</w:t>
      </w:r>
    </w:p>
    <w:p>
      <w:pPr>
        <w:spacing w:after="0" w:line="2" w:lineRule="exact"/>
        <w:rPr>
          <w:sz w:val="20"/>
          <w:szCs w:val="20"/>
          <w:color w:val="auto"/>
        </w:rPr>
      </w:pPr>
    </w:p>
    <w:p>
      <w:pPr>
        <w:ind w:left="4" w:right="100" w:hanging="4"/>
        <w:spacing w:after="0" w:line="260" w:lineRule="auto"/>
        <w:tabs>
          <w:tab w:leader="none" w:pos="269"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requested by Sixth Street, any portfolio company held by a Client, or (iii) any other entity for which such service was undertaken prior to date of Sixth Street’s initial adoption of the Code.</w:t>
      </w:r>
    </w:p>
    <w:p>
      <w:pPr>
        <w:spacing w:after="0" w:line="181" w:lineRule="exact"/>
        <w:rPr>
          <w:sz w:val="20"/>
          <w:szCs w:val="20"/>
          <w:color w:val="auto"/>
        </w:rPr>
      </w:pPr>
    </w:p>
    <w:p>
      <w:pPr>
        <w:ind w:left="4" w:right="780"/>
        <w:spacing w:after="0" w:line="282" w:lineRule="auto"/>
        <w:rPr>
          <w:sz w:val="20"/>
          <w:szCs w:val="20"/>
          <w:color w:val="auto"/>
        </w:rPr>
      </w:pPr>
      <w:r>
        <w:rPr>
          <w:rFonts w:ascii="Times New Roman" w:cs="Times New Roman" w:eastAsia="Times New Roman" w:hAnsi="Times New Roman"/>
          <w:sz w:val="18"/>
          <w:szCs w:val="18"/>
          <w:color w:val="auto"/>
        </w:rPr>
        <w:t>Additional potential conflicts of Sixth Street, such as those related to gifts, political contributions and brokerage activities are covered in other compliance policies in the Sixth Street Compliance Policies and Procedures Manual.</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C</w:t>
      </w:r>
      <w:r>
        <w:rPr>
          <w:rFonts w:ascii="Times New Roman" w:cs="Times New Roman" w:eastAsia="Times New Roman" w:hAnsi="Times New Roman"/>
          <w:sz w:val="14"/>
          <w:szCs w:val="14"/>
          <w:b w:val="1"/>
          <w:bCs w:val="1"/>
          <w:u w:val="single" w:color="auto"/>
          <w:color w:val="auto"/>
        </w:rPr>
        <w:t>LIENT AND</w:t>
      </w:r>
      <w:r>
        <w:rPr>
          <w:rFonts w:ascii="Times New Roman" w:cs="Times New Roman" w:eastAsia="Times New Roman" w:hAnsi="Times New Roman"/>
          <w:sz w:val="18"/>
          <w:szCs w:val="18"/>
          <w:b w:val="1"/>
          <w:bCs w:val="1"/>
          <w:u w:val="single" w:color="auto"/>
          <w:color w:val="auto"/>
        </w:rPr>
        <w:t xml:space="preserve"> I</w:t>
      </w:r>
      <w:r>
        <w:rPr>
          <w:rFonts w:ascii="Times New Roman" w:cs="Times New Roman" w:eastAsia="Times New Roman" w:hAnsi="Times New Roman"/>
          <w:sz w:val="14"/>
          <w:szCs w:val="14"/>
          <w:b w:val="1"/>
          <w:bCs w:val="1"/>
          <w:u w:val="single" w:color="auto"/>
          <w:color w:val="auto"/>
        </w:rPr>
        <w:t>NVESTOR</w:t>
      </w:r>
      <w:r>
        <w:rPr>
          <w:rFonts w:ascii="Times New Roman" w:cs="Times New Roman" w:eastAsia="Times New Roman" w:hAnsi="Times New Roman"/>
          <w:sz w:val="18"/>
          <w:szCs w:val="18"/>
          <w:b w:val="1"/>
          <w:bCs w:val="1"/>
          <w:u w:val="single" w:color="auto"/>
          <w:color w:val="auto"/>
        </w:rPr>
        <w:t xml:space="preserve"> C</w:t>
      </w:r>
      <w:r>
        <w:rPr>
          <w:rFonts w:ascii="Times New Roman" w:cs="Times New Roman" w:eastAsia="Times New Roman" w:hAnsi="Times New Roman"/>
          <w:sz w:val="14"/>
          <w:szCs w:val="14"/>
          <w:b w:val="1"/>
          <w:bCs w:val="1"/>
          <w:u w:val="single" w:color="auto"/>
          <w:color w:val="auto"/>
        </w:rPr>
        <w:t>ONFIDENTIALITY</w:t>
      </w:r>
    </w:p>
    <w:p>
      <w:pPr>
        <w:spacing w:after="0" w:line="121" w:lineRule="exact"/>
        <w:rPr>
          <w:sz w:val="20"/>
          <w:szCs w:val="20"/>
          <w:color w:val="auto"/>
        </w:rPr>
      </w:pPr>
    </w:p>
    <w:p>
      <w:pPr>
        <w:jc w:val="both"/>
        <w:ind w:left="4" w:right="160"/>
        <w:spacing w:after="0" w:line="289" w:lineRule="auto"/>
        <w:rPr>
          <w:sz w:val="20"/>
          <w:szCs w:val="20"/>
          <w:color w:val="auto"/>
        </w:rPr>
      </w:pPr>
      <w:r>
        <w:rPr>
          <w:rFonts w:ascii="Times New Roman" w:cs="Times New Roman" w:eastAsia="Times New Roman" w:hAnsi="Times New Roman"/>
          <w:sz w:val="17"/>
          <w:szCs w:val="17"/>
          <w:color w:val="auto"/>
        </w:rPr>
        <w:t>Any nonpublic information concerning our clients or investors that you acquire in connection with your association at Sixth Street is confidential. This includes information regarding actual and contemplated investments, financial circumstances and client and investor interests. You should not discuss client or investor business, including the existence of an investor relationship, with outsiders unless it is a necessary part of your job responsibilities.</w:t>
      </w:r>
    </w:p>
    <w:p>
      <w:pPr>
        <w:spacing w:after="0" w:line="158"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color w:val="auto"/>
        </w:rPr>
        <w:t>For the avoidance of doubt, no confidentiality, non-disparagement or other obligation you owe to us prohibits you from reporting possible violations of Federal or State law or regulation to any governmental agency or entity under any whistleblower protection provision of U.S. Federal or State law or regulation (including Section 21F of the Securities Exchange Act of 1934 or Section 806 of the Sarbanes-Oxley Act of 2002) or requires you to notify us of any such report. In making any such report, however, you are not authorized to disclose communications with counsel that were made for the purpose of receiving legal advice, that contain legal advice or that are protected by the attorney work product or similar privilege.</w:t>
      </w:r>
    </w:p>
    <w:p>
      <w:pPr>
        <w:spacing w:after="0" w:line="183" w:lineRule="exact"/>
        <w:rPr>
          <w:sz w:val="20"/>
          <w:szCs w:val="20"/>
          <w:color w:val="auto"/>
        </w:rPr>
      </w:pPr>
    </w:p>
    <w:p>
      <w:pPr>
        <w:jc w:val="both"/>
        <w:ind w:left="4" w:right="100"/>
        <w:spacing w:after="0" w:line="261" w:lineRule="auto"/>
        <w:rPr>
          <w:sz w:val="20"/>
          <w:szCs w:val="20"/>
          <w:color w:val="auto"/>
        </w:rPr>
      </w:pPr>
      <w:r>
        <w:rPr>
          <w:rFonts w:ascii="Times New Roman" w:cs="Times New Roman" w:eastAsia="Times New Roman" w:hAnsi="Times New Roman"/>
          <w:sz w:val="18"/>
          <w:szCs w:val="18"/>
          <w:color w:val="auto"/>
        </w:rPr>
        <w:t>In addition, you will not be held criminally or civilly liable under any federal or state trade secret law for disclosing a trade secret (1) in confidence to a federal, state or local government official (either directly or indirectly) or to an attorney, solely for the purpose of reporting or investigating a suspected violation of law or (2) in a complaint or other document filed under seal in a lawsuit or other proceeding. Notwithstanding this immunity from liability, you acknowledge that you may be held liable if you unlawfully access trade secrets by unauthorized means.</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4"/>
          </w:cols>
          <w:pgMar w:left="436" w:top="270" w:right="459" w:bottom="1440" w:gutter="0" w:footer="0" w:header="0"/>
        </w:sectPr>
      </w:pPr>
    </w:p>
    <w:bookmarkStart w:id="297" w:name="page298"/>
    <w:bookmarkEnd w:id="297"/>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w:t>
      </w:r>
      <w:r>
        <w:rPr>
          <w:rFonts w:ascii="Times New Roman" w:cs="Times New Roman" w:eastAsia="Times New Roman" w:hAnsi="Times New Roman"/>
          <w:sz w:val="14"/>
          <w:szCs w:val="14"/>
          <w:b w:val="1"/>
          <w:bCs w:val="1"/>
          <w:u w:val="single" w:color="auto"/>
          <w:color w:val="auto"/>
        </w:rPr>
        <w:t>NFORCEMENT OF</w:t>
      </w:r>
      <w:r>
        <w:rPr>
          <w:rFonts w:ascii="Times New Roman" w:cs="Times New Roman" w:eastAsia="Times New Roman" w:hAnsi="Times New Roman"/>
          <w:sz w:val="18"/>
          <w:szCs w:val="18"/>
          <w:b w:val="1"/>
          <w:bCs w:val="1"/>
          <w:u w:val="single" w:color="auto"/>
          <w:color w:val="auto"/>
        </w:rPr>
        <w:t xml:space="preserve"> T</w:t>
      </w:r>
      <w:r>
        <w:rPr>
          <w:rFonts w:ascii="Times New Roman" w:cs="Times New Roman" w:eastAsia="Times New Roman" w:hAnsi="Times New Roman"/>
          <w:sz w:val="14"/>
          <w:szCs w:val="14"/>
          <w:b w:val="1"/>
          <w:bCs w:val="1"/>
          <w:u w:val="single" w:color="auto"/>
          <w:color w:val="auto"/>
        </w:rPr>
        <w:t>HE</w:t>
      </w:r>
      <w:r>
        <w:rPr>
          <w:rFonts w:ascii="Times New Roman" w:cs="Times New Roman" w:eastAsia="Times New Roman" w:hAnsi="Times New Roman"/>
          <w:sz w:val="18"/>
          <w:szCs w:val="18"/>
          <w:b w:val="1"/>
          <w:bCs w:val="1"/>
          <w:u w:val="single" w:color="auto"/>
          <w:color w:val="auto"/>
        </w:rPr>
        <w:t xml:space="preserve"> C</w:t>
      </w:r>
      <w:r>
        <w:rPr>
          <w:rFonts w:ascii="Times New Roman" w:cs="Times New Roman" w:eastAsia="Times New Roman" w:hAnsi="Times New Roman"/>
          <w:sz w:val="14"/>
          <w:szCs w:val="14"/>
          <w:b w:val="1"/>
          <w:bCs w:val="1"/>
          <w:u w:val="single" w:color="auto"/>
          <w:color w:val="auto"/>
        </w:rPr>
        <w:t>ODE</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If Sixth Street Compliance determines that you may have breached the Code, Sixth Street Compliance will review and document the issue and discuss the issue with you, as appropriate. If Sixth Street Compliance determines that you have violated the Code, a sanction will be imposed. Sixth Street Compliance may review certain Code sanctions with senior members of Sixth Street’s management.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Sanctions may include, but are not limited to:</w:t>
      </w:r>
    </w:p>
    <w:p>
      <w:pPr>
        <w:spacing w:after="0" w:line="131" w:lineRule="exact"/>
        <w:rPr>
          <w:sz w:val="20"/>
          <w:szCs w:val="20"/>
          <w:color w:val="auto"/>
        </w:rPr>
      </w:pPr>
    </w:p>
    <w:p>
      <w:pPr>
        <w:ind w:left="960" w:hanging="424"/>
        <w:spacing w:after="0"/>
        <w:tabs>
          <w:tab w:leader="none" w:pos="96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verbal or written warnings;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censures;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training;</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oversight by Sixth Street Compliance;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re-certification of applicable policy;</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penalties or fines;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temporarily suspending, curtailing or adjusting participation in fundraising efforts or investment-related activity;</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unwinding of personal securities trades;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disgorgement of trading gains or payment of losses avoided;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 suspensions on a temporary or permanent basis of personal trading privileges;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employment without pay or termination of employment;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referral to a government regulatory agency, self-regulatory agency or other appropriate authority.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w:t>
      </w:r>
      <w:r>
        <w:rPr>
          <w:rFonts w:ascii="Times New Roman" w:cs="Times New Roman" w:eastAsia="Times New Roman" w:hAnsi="Times New Roman"/>
          <w:sz w:val="14"/>
          <w:szCs w:val="14"/>
          <w:b w:val="1"/>
          <w:bCs w:val="1"/>
          <w:u w:val="single" w:color="auto"/>
          <w:color w:val="auto"/>
        </w:rPr>
        <w:t>DMINISTRATION OF</w:t>
      </w:r>
      <w:r>
        <w:rPr>
          <w:rFonts w:ascii="Times New Roman" w:cs="Times New Roman" w:eastAsia="Times New Roman" w:hAnsi="Times New Roman"/>
          <w:sz w:val="18"/>
          <w:szCs w:val="18"/>
          <w:b w:val="1"/>
          <w:bCs w:val="1"/>
          <w:u w:val="single" w:color="auto"/>
          <w:color w:val="auto"/>
        </w:rPr>
        <w:t xml:space="preserve"> T</w:t>
      </w:r>
      <w:r>
        <w:rPr>
          <w:rFonts w:ascii="Times New Roman" w:cs="Times New Roman" w:eastAsia="Times New Roman" w:hAnsi="Times New Roman"/>
          <w:sz w:val="14"/>
          <w:szCs w:val="14"/>
          <w:b w:val="1"/>
          <w:bCs w:val="1"/>
          <w:u w:val="single" w:color="auto"/>
          <w:color w:val="auto"/>
        </w:rPr>
        <w:t>HE</w:t>
      </w:r>
      <w:r>
        <w:rPr>
          <w:rFonts w:ascii="Times New Roman" w:cs="Times New Roman" w:eastAsia="Times New Roman" w:hAnsi="Times New Roman"/>
          <w:sz w:val="18"/>
          <w:szCs w:val="18"/>
          <w:b w:val="1"/>
          <w:bCs w:val="1"/>
          <w:u w:val="single" w:color="auto"/>
          <w:color w:val="auto"/>
        </w:rPr>
        <w:t xml:space="preserve"> C</w:t>
      </w:r>
      <w:r>
        <w:rPr>
          <w:rFonts w:ascii="Times New Roman" w:cs="Times New Roman" w:eastAsia="Times New Roman" w:hAnsi="Times New Roman"/>
          <w:sz w:val="14"/>
          <w:szCs w:val="14"/>
          <w:b w:val="1"/>
          <w:bCs w:val="1"/>
          <w:u w:val="single" w:color="auto"/>
          <w:color w:val="auto"/>
        </w:rPr>
        <w:t>ODE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Interpretation and Administration</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Sixth Street Compliance is responsible for (i) establishing policies and procedures for the administration of the Code; (ii) granting exceptions or exemptions to any provision of the Code, on an individual or a group basis, provided that such exceptions or exemptions are consistent with the spirit of the principles of the Code; (iii) appointing one or more designees and defining the scope of his or her authority and day-to-day responsibilities (in addition to those specified in the Code); (iv) considering and approving amendments to the Code; and (v) reviewing and considering any decisions made by the designees.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80"/>
          </w:cols>
          <w:pgMar w:left="440" w:top="266" w:right="479" w:bottom="1440" w:gutter="0" w:footer="0" w:header="0"/>
        </w:sectPr>
      </w:pPr>
    </w:p>
    <w:bookmarkStart w:id="298" w:name="page299"/>
    <w:bookmarkEnd w:id="298"/>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Distribution and Acknowledgement of the Code</w:t>
      </w:r>
    </w:p>
    <w:p>
      <w:pPr>
        <w:spacing w:after="0" w:line="11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Sixth Street Compliance is required to provide you with a copy of the Code and any amendments thereto, and you are required to provide a written (or electronic) acknowledgement of your receipt of the Code and any amendments to the Code.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Review of Personal Holding and Transaction Reports and Additional Requests</w:t>
      </w:r>
    </w:p>
    <w:p>
      <w:pPr>
        <w:spacing w:after="0" w:line="1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All personal holding and transaction reports filed by you or received on your behalf pursuant to the Code will be maintained by Sixth Street Compliance. Such reports will be reviewed by Sixth Street Compliance. All personal holding and transaction reports filed by a member of Sixth Street Compliance shall be reviewed by a different member of Sixth Street Compliance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 Sixth Street Compliance member shall not review his or her own reports).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Recordkeeping Requirements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shall maintain in an easily accessible place the following records:</w:t>
      </w:r>
    </w:p>
    <w:p>
      <w:pPr>
        <w:spacing w:after="0" w:line="131" w:lineRule="exact"/>
        <w:rPr>
          <w:sz w:val="20"/>
          <w:szCs w:val="20"/>
          <w:color w:val="auto"/>
        </w:rPr>
      </w:pPr>
    </w:p>
    <w:p>
      <w:pPr>
        <w:ind w:left="960" w:hanging="424"/>
        <w:spacing w:after="0"/>
        <w:tabs>
          <w:tab w:leader="none" w:pos="96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Code and any code of ethics previously in effect for Sixth Street at any time during the past five years;</w:t>
      </w:r>
    </w:p>
    <w:p>
      <w:pPr>
        <w:spacing w:after="0" w:line="130" w:lineRule="exact"/>
        <w:rPr>
          <w:rFonts w:ascii="Times New Roman" w:cs="Times New Roman" w:eastAsia="Times New Roman" w:hAnsi="Times New Roman"/>
          <w:sz w:val="18"/>
          <w:szCs w:val="18"/>
          <w:color w:val="auto"/>
        </w:rPr>
      </w:pPr>
    </w:p>
    <w:p>
      <w:pPr>
        <w:ind w:left="960" w:right="40" w:hanging="424"/>
        <w:spacing w:after="0" w:line="282" w:lineRule="auto"/>
        <w:tabs>
          <w:tab w:leader="none" w:pos="96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record of any violation of the Code and of any action taken as a result of such violation for a period of five years following the end of the fiscal year in which the violation occurs;</w:t>
      </w:r>
    </w:p>
    <w:p>
      <w:pPr>
        <w:spacing w:after="0" w:line="67" w:lineRule="exact"/>
        <w:rPr>
          <w:rFonts w:ascii="Times New Roman" w:cs="Times New Roman" w:eastAsia="Times New Roman" w:hAnsi="Times New Roman"/>
          <w:sz w:val="18"/>
          <w:szCs w:val="18"/>
          <w:color w:val="auto"/>
        </w:rPr>
      </w:pPr>
    </w:p>
    <w:p>
      <w:pPr>
        <w:ind w:left="960" w:right="80" w:hanging="424"/>
        <w:spacing w:after="0" w:line="266" w:lineRule="auto"/>
        <w:tabs>
          <w:tab w:leader="none" w:pos="96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each personal holding or transaction report (or brokerage statements and/or trade confirmations provided in lieu thereof) submitted pursuant to the Code for a period of five years (such copies need be preserved in an easily accessible place only for the first two years);</w:t>
      </w:r>
    </w:p>
    <w:p>
      <w:pPr>
        <w:spacing w:after="0" w:line="81" w:lineRule="exact"/>
        <w:rPr>
          <w:rFonts w:ascii="Times New Roman" w:cs="Times New Roman" w:eastAsia="Times New Roman" w:hAnsi="Times New Roman"/>
          <w:sz w:val="18"/>
          <w:szCs w:val="18"/>
          <w:color w:val="auto"/>
        </w:rPr>
      </w:pPr>
    </w:p>
    <w:p>
      <w:pPr>
        <w:ind w:left="960" w:right="160" w:hanging="424"/>
        <w:spacing w:after="0" w:line="282" w:lineRule="auto"/>
        <w:tabs>
          <w:tab w:leader="none" w:pos="96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written acknowledgments of receipt of the Code for each person who is currently or was within the last five years subject to the Code;</w:t>
      </w:r>
    </w:p>
    <w:p>
      <w:pPr>
        <w:spacing w:after="0" w:line="67" w:lineRule="exact"/>
        <w:rPr>
          <w:rFonts w:ascii="Times New Roman" w:cs="Times New Roman" w:eastAsia="Times New Roman" w:hAnsi="Times New Roman"/>
          <w:sz w:val="18"/>
          <w:szCs w:val="18"/>
          <w:color w:val="auto"/>
        </w:rPr>
      </w:pPr>
    </w:p>
    <w:p>
      <w:pPr>
        <w:ind w:left="960" w:hanging="424"/>
        <w:spacing w:after="0" w:line="266" w:lineRule="auto"/>
        <w:tabs>
          <w:tab w:leader="none" w:pos="96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record of the names of all persons subject to the Code currently or within the past five years, even if some of them are no longer subject to the Code, the holdings and transactions reports made by these individuals, and records of all such individuals’ personal securities reports (and duplicate brokerage confirmations and account statements in lieu of these reports); and</w:t>
      </w:r>
    </w:p>
    <w:p>
      <w:pPr>
        <w:spacing w:after="0" w:line="81" w:lineRule="exact"/>
        <w:rPr>
          <w:rFonts w:ascii="Times New Roman" w:cs="Times New Roman" w:eastAsia="Times New Roman" w:hAnsi="Times New Roman"/>
          <w:sz w:val="18"/>
          <w:szCs w:val="18"/>
          <w:color w:val="auto"/>
        </w:rPr>
      </w:pPr>
    </w:p>
    <w:p>
      <w:pPr>
        <w:ind w:left="960" w:right="180" w:hanging="424"/>
        <w:spacing w:after="0" w:line="266" w:lineRule="auto"/>
        <w:tabs>
          <w:tab w:leader="none" w:pos="96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record of any decision, and the reasons supporting any decision, to approve the purchase by a person covered by the Code in an IPO or private placement transaction or other limited offering for a period of five years following the end of the fiscal year in which the approval is granted.</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68" w:right="459" w:bottom="1440" w:gutter="0" w:footer="0" w:header="0"/>
        </w:sectPr>
      </w:pPr>
    </w:p>
    <w:bookmarkStart w:id="299" w:name="page300"/>
    <w:bookmarkEnd w:id="29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Prohibition on Personal Securities Trading</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Notwithstanding anything contained herein to the contrary, Sixth Street Compliance may prohibit or limit the personal securities trading activities of persons covered by the Code for any or no reason at any time.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4"/>
          <w:szCs w:val="14"/>
          <w:b w:val="1"/>
          <w:bCs w:val="1"/>
          <w:color w:val="auto"/>
        </w:rPr>
        <w:t>AST</w:t>
      </w:r>
      <w:r>
        <w:rPr>
          <w:rFonts w:ascii="Times New Roman" w:cs="Times New Roman" w:eastAsia="Times New Roman" w:hAnsi="Times New Roman"/>
          <w:sz w:val="18"/>
          <w:szCs w:val="18"/>
          <w:b w:val="1"/>
          <w:bCs w:val="1"/>
          <w:color w:val="auto"/>
        </w:rPr>
        <w:t xml:space="preserve"> U</w:t>
      </w:r>
      <w:r>
        <w:rPr>
          <w:rFonts w:ascii="Times New Roman" w:cs="Times New Roman" w:eastAsia="Times New Roman" w:hAnsi="Times New Roman"/>
          <w:sz w:val="14"/>
          <w:szCs w:val="14"/>
          <w:b w:val="1"/>
          <w:bCs w:val="1"/>
          <w:color w:val="auto"/>
        </w:rPr>
        <w:t>PDATED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April 2022</w:t>
      </w:r>
    </w:p>
    <w:p>
      <w:pPr>
        <w:spacing w:after="0" w:line="16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20</w:t>
      </w:r>
    </w:p>
    <w:sectPr>
      <w:pgSz w:w="11900" w:h="16838" w:orient="portrait"/>
      <w:cols w:equalWidth="0" w:num="1">
        <w:col w:w="10680"/>
      </w:cols>
      <w:pgMar w:left="440" w:top="266" w:right="7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413BEC"/>
    <w:multiLevelType w:val="hybridMultilevel"/>
    <w:lvl w:ilvl="0">
      <w:lvlJc w:val="left"/>
      <w:lvlText w:val="•"/>
      <w:numFmt w:val="bullet"/>
      <w:start w:val="1"/>
    </w:lvl>
  </w:abstractNum>
  <w:abstractNum w:abstractNumId="1">
    <w:nsid w:val="17180B0B"/>
    <w:multiLevelType w:val="hybridMultilevel"/>
    <w:lvl w:ilvl="0">
      <w:lvlJc w:val="left"/>
      <w:lvlText w:val="•"/>
      <w:numFmt w:val="bullet"/>
      <w:start w:val="1"/>
    </w:lvl>
  </w:abstractNum>
  <w:abstractNum w:abstractNumId="2">
    <w:nsid w:val="579328B9"/>
    <w:multiLevelType w:val="hybridMultilevel"/>
    <w:lvl w:ilvl="0">
      <w:lvlJc w:val="left"/>
      <w:lvlText w:val="•"/>
      <w:numFmt w:val="bullet"/>
      <w:start w:val="1"/>
    </w:lvl>
  </w:abstractNum>
  <w:abstractNum w:abstractNumId="3">
    <w:nsid w:val="5D205E20"/>
    <w:multiLevelType w:val="hybridMultilevel"/>
    <w:lvl w:ilvl="0">
      <w:lvlJc w:val="left"/>
      <w:lvlText w:val="•"/>
      <w:numFmt w:val="bullet"/>
      <w:start w:val="1"/>
    </w:lvl>
  </w:abstractNum>
  <w:abstractNum w:abstractNumId="4">
    <w:nsid w:val="11CCA8BA"/>
    <w:multiLevelType w:val="hybridMultilevel"/>
    <w:lvl w:ilvl="0">
      <w:lvlJc w:val="left"/>
      <w:lvlText w:val="•"/>
      <w:numFmt w:val="bullet"/>
      <w:start w:val="1"/>
    </w:lvl>
  </w:abstractNum>
  <w:abstractNum w:abstractNumId="5">
    <w:nsid w:val="4D32AB86"/>
    <w:multiLevelType w:val="hybridMultilevel"/>
    <w:lvl w:ilvl="0">
      <w:lvlJc w:val="left"/>
      <w:lvlText w:val="•"/>
      <w:numFmt w:val="bullet"/>
      <w:start w:val="1"/>
    </w:lvl>
  </w:abstractNum>
  <w:abstractNum w:abstractNumId="6">
    <w:nsid w:val="3F07ACC3"/>
    <w:multiLevelType w:val="hybridMultilevel"/>
    <w:lvl w:ilvl="0">
      <w:lvlJc w:val="left"/>
      <w:lvlText w:val="•"/>
      <w:numFmt w:val="bullet"/>
      <w:start w:val="1"/>
    </w:lvl>
  </w:abstractNum>
  <w:abstractNum w:abstractNumId="7">
    <w:nsid w:val="6B47F63E"/>
    <w:multiLevelType w:val="hybridMultilevel"/>
    <w:lvl w:ilvl="0">
      <w:lvlJc w:val="left"/>
      <w:lvlText w:val="%1"/>
      <w:numFmt w:val="decimal"/>
      <w:start w:val="1"/>
    </w:lvl>
    <w:lvl w:ilvl="1">
      <w:lvlJc w:val="left"/>
      <w:lvlText w:val="•"/>
      <w:numFmt w:val="bullet"/>
      <w:start w:val="1"/>
    </w:lvl>
    <w:lvl w:ilvl="2">
      <w:lvlJc w:val="left"/>
      <w:lvlText w:val="•"/>
      <w:numFmt w:val="bullet"/>
      <w:start w:val="1"/>
    </w:lvl>
  </w:abstractNum>
  <w:abstractNum w:abstractNumId="8">
    <w:nsid w:val="5CB44A05"/>
    <w:multiLevelType w:val="hybridMultilevel"/>
    <w:lvl w:ilvl="0">
      <w:lvlJc w:val="left"/>
      <w:lvlText w:val="•"/>
      <w:numFmt w:val="bullet"/>
      <w:start w:val="1"/>
    </w:lvl>
    <w:lvl w:ilvl="1">
      <w:lvlJc w:val="left"/>
      <w:lvlText w:val="•"/>
      <w:numFmt w:val="bullet"/>
      <w:start w:val="1"/>
    </w:lvl>
  </w:abstractNum>
  <w:abstractNum w:abstractNumId="9">
    <w:nsid w:val="16CF80F1"/>
    <w:multiLevelType w:val="hybridMultilevel"/>
    <w:lvl w:ilvl="0">
      <w:lvlJc w:val="left"/>
      <w:lvlText w:val="•"/>
      <w:numFmt w:val="bullet"/>
      <w:start w:val="1"/>
    </w:lvl>
  </w:abstractNum>
  <w:abstractNum w:abstractNumId="10">
    <w:nsid w:val="1C695DEC"/>
    <w:multiLevelType w:val="hybridMultilevel"/>
    <w:lvl w:ilvl="0">
      <w:lvlJc w:val="left"/>
      <w:lvlText w:val="•"/>
      <w:numFmt w:val="bullet"/>
      <w:start w:val="1"/>
    </w:lvl>
  </w:abstractNum>
  <w:abstractNum w:abstractNumId="11">
    <w:nsid w:val="3FCFAED9"/>
    <w:multiLevelType w:val="hybridMultilevel"/>
    <w:lvl w:ilvl="0">
      <w:lvlJc w:val="left"/>
      <w:lvlText w:val="•"/>
      <w:numFmt w:val="bullet"/>
      <w:start w:val="1"/>
    </w:lvl>
  </w:abstractNum>
  <w:abstractNum w:abstractNumId="12">
    <w:nsid w:val="F856867"/>
    <w:multiLevelType w:val="hybridMultilevel"/>
    <w:lvl w:ilvl="0">
      <w:lvlJc w:val="left"/>
      <w:lvlText w:val="•"/>
      <w:numFmt w:val="bullet"/>
      <w:start w:val="1"/>
    </w:lvl>
    <w:lvl w:ilvl="1">
      <w:lvlJc w:val="left"/>
      <w:lvlText w:val="•"/>
      <w:numFmt w:val="bullet"/>
      <w:start w:val="1"/>
    </w:lvl>
  </w:abstractNum>
  <w:abstractNum w:abstractNumId="13">
    <w:nsid w:val="11B1CC33"/>
    <w:multiLevelType w:val="hybridMultilevel"/>
    <w:lvl w:ilvl="0">
      <w:lvlJc w:val="left"/>
      <w:lvlText w:val="•"/>
      <w:numFmt w:val="bullet"/>
      <w:start w:val="1"/>
    </w:lvl>
  </w:abstractNum>
  <w:abstractNum w:abstractNumId="14">
    <w:nsid w:val="2E22FBB7"/>
    <w:multiLevelType w:val="hybridMultilevel"/>
    <w:lvl w:ilvl="0">
      <w:lvlJc w:val="left"/>
      <w:lvlText w:val="•"/>
      <w:numFmt w:val="bullet"/>
      <w:start w:val="1"/>
    </w:lvl>
  </w:abstractNum>
  <w:abstractNum w:abstractNumId="15">
    <w:nsid w:val="29934699"/>
    <w:multiLevelType w:val="hybridMultilevel"/>
    <w:lvl w:ilvl="0">
      <w:lvlJc w:val="left"/>
      <w:lvlText w:val="•"/>
      <w:numFmt w:val="bullet"/>
      <w:start w:val="1"/>
    </w:lvl>
  </w:abstractNum>
  <w:abstractNum w:abstractNumId="16">
    <w:nsid w:val="77485850"/>
    <w:multiLevelType w:val="hybridMultilevel"/>
    <w:lvl w:ilvl="0">
      <w:lvlJc w:val="left"/>
      <w:lvlText w:val="•"/>
      <w:numFmt w:val="bullet"/>
      <w:start w:val="1"/>
    </w:lvl>
  </w:abstractNum>
  <w:abstractNum w:abstractNumId="17">
    <w:nsid w:val="744939A3"/>
    <w:multiLevelType w:val="hybridMultilevel"/>
    <w:lvl w:ilvl="0">
      <w:lvlJc w:val="left"/>
      <w:lvlText w:val="•"/>
      <w:numFmt w:val="bullet"/>
      <w:start w:val="1"/>
    </w:lvl>
  </w:abstractNum>
  <w:abstractNum w:abstractNumId="18">
    <w:nsid w:val="4FA0D2E3"/>
    <w:multiLevelType w:val="hybridMultilevel"/>
    <w:lvl w:ilvl="0">
      <w:lvlJc w:val="left"/>
      <w:lvlText w:val="•"/>
      <w:numFmt w:val="bullet"/>
      <w:start w:val="1"/>
    </w:lvl>
  </w:abstractNum>
  <w:abstractNum w:abstractNumId="19">
    <w:nsid w:val="6B1D2C14"/>
    <w:multiLevelType w:val="hybridMultilevel"/>
    <w:lvl w:ilvl="0">
      <w:lvlJc w:val="left"/>
      <w:lvlText w:val="•"/>
      <w:numFmt w:val="bullet"/>
      <w:start w:val="1"/>
    </w:lvl>
  </w:abstractNum>
  <w:abstractNum w:abstractNumId="20">
    <w:nsid w:val="68B867D3"/>
    <w:multiLevelType w:val="hybridMultilevel"/>
    <w:lvl w:ilvl="0">
      <w:lvlJc w:val="left"/>
      <w:lvlText w:val="•"/>
      <w:numFmt w:val="bullet"/>
      <w:start w:val="1"/>
    </w:lvl>
  </w:abstractNum>
  <w:abstractNum w:abstractNumId="21">
    <w:nsid w:val="3F7F5DD9"/>
    <w:multiLevelType w:val="hybridMultilevel"/>
    <w:lvl w:ilvl="0">
      <w:lvlJc w:val="left"/>
      <w:lvlText w:val="(%1)"/>
      <w:numFmt w:val="lowerLetter"/>
      <w:start w:val="3"/>
    </w:lvl>
  </w:abstractNum>
  <w:abstractNum w:abstractNumId="22">
    <w:nsid w:val="2AE05A34"/>
    <w:multiLevelType w:val="hybridMultilevel"/>
    <w:lvl w:ilvl="0">
      <w:lvlJc w:val="left"/>
      <w:lvlText w:val="•"/>
      <w:numFmt w:val="bullet"/>
      <w:start w:val="1"/>
    </w:lvl>
  </w:abstractNum>
  <w:abstractNum w:abstractNumId="23">
    <w:nsid w:val="32794FF7"/>
    <w:multiLevelType w:val="hybridMultilevel"/>
    <w:lvl w:ilvl="0">
      <w:lvlJc w:val="left"/>
      <w:lvlText w:val="•"/>
      <w:numFmt w:val="bullet"/>
      <w:start w:val="1"/>
    </w:lvl>
  </w:abstractNum>
  <w:abstractNum w:abstractNumId="24">
    <w:nsid w:val="5454945E"/>
    <w:multiLevelType w:val="hybridMultilevel"/>
    <w:lvl w:ilvl="0">
      <w:lvlJc w:val="left"/>
      <w:lvlText w:val="•"/>
      <w:numFmt w:val="bullet"/>
      <w:start w:val="1"/>
    </w:lvl>
  </w:abstractNum>
  <w:abstractNum w:abstractNumId="25">
    <w:nsid w:val="4DEFDFA0"/>
    <w:multiLevelType w:val="hybridMultilevel"/>
    <w:lvl w:ilvl="0">
      <w:lvlJc w:val="left"/>
      <w:lvlText w:val="•"/>
      <w:numFmt w:val="bullet"/>
      <w:start w:val="1"/>
    </w:lvl>
  </w:abstractNum>
  <w:abstractNum w:abstractNumId="26">
    <w:nsid w:val="2123D5F2"/>
    <w:multiLevelType w:val="hybridMultilevel"/>
    <w:lvl w:ilvl="0">
      <w:lvlJc w:val="left"/>
      <w:lvlText w:val="•"/>
      <w:numFmt w:val="bullet"/>
      <w:start w:val="1"/>
    </w:lvl>
  </w:abstractNum>
  <w:abstractNum w:abstractNumId="27">
    <w:nsid w:val="135B8110"/>
    <w:multiLevelType w:val="hybridMultilevel"/>
    <w:lvl w:ilvl="0">
      <w:lvlJc w:val="left"/>
      <w:lvlText w:val="•"/>
      <w:numFmt w:val="bullet"/>
      <w:start w:val="1"/>
    </w:lvl>
  </w:abstractNum>
  <w:abstractNum w:abstractNumId="28">
    <w:nsid w:val="94927A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9">
    <w:nsid w:val="DCDF8F6"/>
    <w:multiLevelType w:val="hybridMultilevel"/>
    <w:lvl w:ilvl="0">
      <w:lvlJc w:val="left"/>
      <w:lvlText w:val="%1"/>
      <w:numFmt w:val="decimal"/>
      <w:start w:val="1"/>
    </w:lvl>
    <w:lvl w:ilvl="1">
      <w:lvlJc w:val="left"/>
      <w:lvlText w:val="%2."/>
      <w:numFmt w:val="lowerRoman"/>
      <w:start w:val="3"/>
    </w:lvl>
  </w:abstractNum>
  <w:abstractNum w:abstractNumId="30">
    <w:nsid w:val="52D7B105"/>
    <w:multiLevelType w:val="hybridMultilevel"/>
    <w:lvl w:ilvl="0">
      <w:lvlJc w:val="left"/>
      <w:lvlText w:val="(%1)"/>
      <w:numFmt w:val="decimal"/>
      <w:start w:val="2"/>
    </w:lvl>
    <w:lvl w:ilvl="1">
      <w:lvlJc w:val="left"/>
      <w:lvlText w:val="%2"/>
      <w:numFmt w:val="lowerRoman"/>
      <w:start w:val="1"/>
    </w:lvl>
  </w:abstractNum>
  <w:abstractNum w:abstractNumId="31">
    <w:nsid w:val="2E8A6394"/>
    <w:multiLevelType w:val="hybridMultilevel"/>
    <w:lvl w:ilvl="0">
      <w:lvlJc w:val="left"/>
      <w:lvlText w:val="•"/>
      <w:numFmt w:val="bullet"/>
      <w:start w:val="1"/>
    </w:lvl>
  </w:abstractNum>
  <w:abstractNum w:abstractNumId="32">
    <w:nsid w:val="24E60401"/>
    <w:multiLevelType w:val="hybridMultilevel"/>
    <w:lvl w:ilvl="0">
      <w:lvlJc w:val="left"/>
      <w:lvlText w:val="•"/>
      <w:numFmt w:val="bullet"/>
      <w:start w:val="1"/>
    </w:lvl>
  </w:abstractNum>
  <w:abstractNum w:abstractNumId="33">
    <w:nsid w:val="2A6AD9BE"/>
    <w:multiLevelType w:val="hybridMultilevel"/>
    <w:lvl w:ilvl="0">
      <w:lvlJc w:val="left"/>
      <w:lvlText w:val="(%1)"/>
      <w:numFmt w:val="lowerRoman"/>
      <w:start w:val="2"/>
    </w:lvl>
  </w:abstractNum>
  <w:abstractNum w:abstractNumId="34">
    <w:nsid w:val="BAAC1B4"/>
    <w:multiLevelType w:val="hybridMultilevel"/>
    <w:lvl w:ilvl="0">
      <w:lvlJc w:val="left"/>
      <w:lvlText w:val="(%1)"/>
      <w:numFmt w:val="lowerRoman"/>
      <w:start w:val="3"/>
    </w:lvl>
  </w:abstractNum>
  <w:abstractNum w:abstractNumId="35">
    <w:nsid w:val="36B2ACBC"/>
    <w:multiLevelType w:val="hybridMultilevel"/>
    <w:lvl w:ilvl="0">
      <w:lvlJc w:val="left"/>
      <w:lvlText w:val="(%1)"/>
      <w:numFmt w:val="lowerRoman"/>
      <w:start w:val="4"/>
    </w:lvl>
  </w:abstractNum>
  <w:abstractNum w:abstractNumId="36">
    <w:nsid w:val="779D8544"/>
    <w:multiLevelType w:val="hybridMultilevel"/>
    <w:lvl w:ilvl="0">
      <w:lvlJc w:val="left"/>
      <w:lvlText w:val="•"/>
      <w:numFmt w:val="bullet"/>
      <w:start w:val="1"/>
    </w:lvl>
  </w:abstractNum>
  <w:abstractNum w:abstractNumId="37">
    <w:nsid w:val="4AB26E78"/>
    <w:multiLevelType w:val="hybridMultilevel"/>
    <w:lvl w:ilvl="0">
      <w:lvlJc w:val="left"/>
      <w:lvlText w:val="•"/>
      <w:numFmt w:val="bullet"/>
      <w:start w:val="1"/>
    </w:lvl>
    <w:lvl w:ilvl="1">
      <w:lvlJc w:val="left"/>
      <w:lvlText w:val="•"/>
      <w:numFmt w:val="bullet"/>
      <w:start w:val="1"/>
    </w:lvl>
  </w:abstractNum>
  <w:abstractNum w:abstractNumId="38">
    <w:nsid w:val="21FAA2FA"/>
    <w:multiLevelType w:val="hybridMultilevel"/>
    <w:lvl w:ilvl="0">
      <w:lvlJc w:val="left"/>
      <w:lvlText w:val="•"/>
      <w:numFmt w:val="bullet"/>
      <w:start w:val="1"/>
    </w:lvl>
  </w:abstractNum>
  <w:abstractNum w:abstractNumId="39">
    <w:nsid w:val="5451CF49"/>
    <w:multiLevelType w:val="hybridMultilevel"/>
    <w:lvl w:ilvl="0">
      <w:lvlJc w:val="left"/>
      <w:lvlText w:val="•"/>
      <w:numFmt w:val="bullet"/>
      <w:start w:val="1"/>
    </w:lvl>
  </w:abstractNum>
  <w:abstractNum w:abstractNumId="40">
    <w:nsid w:val="6181EF69"/>
    <w:multiLevelType w:val="hybridMultilevel"/>
    <w:lvl w:ilvl="0">
      <w:lvlJc w:val="left"/>
      <w:lvlText w:val="•"/>
      <w:numFmt w:val="bullet"/>
      <w:start w:val="1"/>
    </w:lvl>
  </w:abstractNum>
  <w:abstractNum w:abstractNumId="41">
    <w:nsid w:val="3E6400E6"/>
    <w:multiLevelType w:val="hybridMultilevel"/>
    <w:lvl w:ilvl="0">
      <w:lvlJc w:val="left"/>
      <w:lvlText w:val="•"/>
      <w:numFmt w:val="bullet"/>
      <w:start w:val="1"/>
    </w:lvl>
  </w:abstractNum>
  <w:abstractNum w:abstractNumId="42">
    <w:nsid w:val="14217E23"/>
    <w:multiLevelType w:val="hybridMultilevel"/>
    <w:lvl w:ilvl="0">
      <w:lvlJc w:val="left"/>
      <w:lvlText w:val="•"/>
      <w:numFmt w:val="bullet"/>
      <w:start w:val="1"/>
    </w:lvl>
  </w:abstractNum>
  <w:abstractNum w:abstractNumId="43">
    <w:nsid w:val="710757D0"/>
    <w:multiLevelType w:val="hybridMultilevel"/>
    <w:lvl w:ilvl="0">
      <w:lvlJc w:val="left"/>
      <w:lvlText w:val="•"/>
      <w:numFmt w:val="bullet"/>
      <w:start w:val="1"/>
    </w:lvl>
  </w:abstractNum>
  <w:abstractNum w:abstractNumId="44">
    <w:nsid w:val="5015CD1A"/>
    <w:multiLevelType w:val="hybridMultilevel"/>
    <w:lvl w:ilvl="0">
      <w:lvlJc w:val="left"/>
      <w:lvlText w:val="•"/>
      <w:numFmt w:val="bullet"/>
      <w:start w:val="1"/>
    </w:lvl>
  </w:abstractNum>
  <w:abstractNum w:abstractNumId="45">
    <w:nsid w:val="424479DA"/>
    <w:multiLevelType w:val="hybridMultilevel"/>
    <w:lvl w:ilvl="0">
      <w:lvlJc w:val="left"/>
      <w:lvlText w:val="•"/>
      <w:numFmt w:val="bullet"/>
      <w:start w:val="1"/>
    </w:lvl>
  </w:abstractNum>
  <w:abstractNum w:abstractNumId="46">
    <w:nsid w:val="1A9A9E69"/>
    <w:multiLevelType w:val="hybridMultilevel"/>
    <w:lvl w:ilvl="0">
      <w:lvlJc w:val="left"/>
      <w:lvlText w:val="(%1)"/>
      <w:numFmt w:val="lowerRoman"/>
      <w:start w:val="1"/>
    </w:lvl>
  </w:abstractNum>
  <w:abstractNum w:abstractNumId="47">
    <w:nsid w:val="475E256A"/>
    <w:multiLevelType w:val="hybridMultilevel"/>
    <w:lvl w:ilvl="0">
      <w:lvlJc w:val="left"/>
      <w:lvlText w:val="(%1)"/>
      <w:numFmt w:val="lowerRoman"/>
      <w:start w:val="3"/>
    </w:lvl>
  </w:abstractNum>
  <w:abstractNum w:abstractNumId="48">
    <w:nsid w:val="368DB37E"/>
    <w:multiLevelType w:val="hybridMultilevel"/>
    <w:lvl w:ilvl="0">
      <w:lvlJc w:val="left"/>
      <w:lvlText w:val="(%1)"/>
      <w:numFmt w:val="lowerRoman"/>
      <w:start w:val="2"/>
    </w:lvl>
  </w:abstractNum>
  <w:abstractNum w:abstractNumId="49">
    <w:nsid w:val="6A3B714C"/>
    <w:multiLevelType w:val="hybridMultilevel"/>
    <w:lvl w:ilvl="0">
      <w:lvlJc w:val="left"/>
      <w:lvlText w:val="•"/>
      <w:numFmt w:val="bullet"/>
      <w:start w:val="1"/>
    </w:lvl>
  </w:abstractNum>
  <w:abstractNum w:abstractNumId="50">
    <w:nsid w:val="327B517E"/>
    <w:multiLevelType w:val="hybridMultilevel"/>
    <w:lvl w:ilvl="0">
      <w:lvlJc w:val="left"/>
      <w:lvlText w:val="•"/>
      <w:numFmt w:val="bullet"/>
      <w:start w:val="1"/>
    </w:lvl>
  </w:abstractNum>
  <w:abstractNum w:abstractNumId="51">
    <w:nsid w:val="1F461B51"/>
    <w:multiLevelType w:val="hybridMultilevel"/>
    <w:lvl w:ilvl="0">
      <w:lvlJc w:val="left"/>
      <w:lvlText w:val="•"/>
      <w:numFmt w:val="bullet"/>
      <w:start w:val="1"/>
    </w:lvl>
  </w:abstractNum>
  <w:abstractNum w:abstractNumId="52">
    <w:nsid w:val="29BACF25"/>
    <w:multiLevelType w:val="hybridMultilevel"/>
    <w:lvl w:ilvl="0">
      <w:lvlJc w:val="left"/>
      <w:lvlText w:val="•"/>
      <w:numFmt w:val="bullet"/>
      <w:start w:val="1"/>
    </w:lvl>
  </w:abstractNum>
  <w:abstractNum w:abstractNumId="53">
    <w:nsid w:val="5D5BABB3"/>
    <w:multiLevelType w:val="hybridMultilevel"/>
    <w:lvl w:ilvl="0">
      <w:lvlJc w:val="left"/>
      <w:lvlText w:val="•"/>
      <w:numFmt w:val="bullet"/>
      <w:start w:val="1"/>
    </w:lvl>
  </w:abstractNum>
  <w:abstractNum w:abstractNumId="54">
    <w:nsid w:val="51BF6B48"/>
    <w:multiLevelType w:val="hybridMultilevel"/>
    <w:lvl w:ilvl="0">
      <w:lvlJc w:val="left"/>
      <w:lvlText w:val="•"/>
      <w:numFmt w:val="bullet"/>
      <w:start w:val="1"/>
    </w:lvl>
  </w:abstractNum>
  <w:abstractNum w:abstractNumId="55">
    <w:nsid w:val="7E0F6384"/>
    <w:multiLevelType w:val="hybridMultilevel"/>
    <w:lvl w:ilvl="0">
      <w:lvlJc w:val="left"/>
      <w:lvlText w:val="•"/>
      <w:numFmt w:val="bullet"/>
      <w:start w:val="1"/>
    </w:lvl>
  </w:abstractNum>
  <w:abstractNum w:abstractNumId="56">
    <w:nsid w:val="2B4B8B53"/>
    <w:multiLevelType w:val="hybridMultilevel"/>
    <w:lvl w:ilvl="0">
      <w:lvlJc w:val="left"/>
      <w:lvlText w:val="•"/>
      <w:numFmt w:val="bullet"/>
      <w:start w:val="1"/>
    </w:lvl>
  </w:abstractNum>
  <w:abstractNum w:abstractNumId="57">
    <w:nsid w:val="72E3413A"/>
    <w:multiLevelType w:val="hybridMultilevel"/>
    <w:lvl w:ilvl="0">
      <w:lvlJc w:val="left"/>
      <w:lvlText w:val="•"/>
      <w:numFmt w:val="bullet"/>
      <w:start w:val="1"/>
    </w:lvl>
  </w:abstractNum>
  <w:abstractNum w:abstractNumId="58">
    <w:nsid w:val="116AE494"/>
    <w:multiLevelType w:val="hybridMultilevel"/>
    <w:lvl w:ilvl="0">
      <w:lvlJc w:val="left"/>
      <w:lvlText w:val="(%1)"/>
      <w:numFmt w:val="lowerLetter"/>
      <w:start w:val="2"/>
    </w:lvl>
  </w:abstractNum>
  <w:abstractNum w:abstractNumId="59">
    <w:nsid w:val="3494B2FB"/>
    <w:multiLevelType w:val="hybridMultilevel"/>
    <w:lvl w:ilvl="0">
      <w:lvlJc w:val="left"/>
      <w:lvlText w:val="•"/>
      <w:numFmt w:val="bullet"/>
      <w:start w:val="1"/>
    </w:lvl>
  </w:abstractNum>
  <w:abstractNum w:abstractNumId="60">
    <w:nsid w:val="B13A31"/>
    <w:multiLevelType w:val="hybridMultilevel"/>
    <w:lvl w:ilvl="0">
      <w:lvlJc w:val="left"/>
      <w:lvlText w:val="•"/>
      <w:numFmt w:val="bullet"/>
      <w:start w:val="1"/>
    </w:lvl>
  </w:abstractNum>
  <w:abstractNum w:abstractNumId="61">
    <w:nsid w:val="64429599"/>
    <w:multiLevelType w:val="hybridMultilevel"/>
    <w:lvl w:ilvl="0">
      <w:lvlJc w:val="left"/>
      <w:lvlText w:val="•"/>
      <w:numFmt w:val="bullet"/>
      <w:start w:val="1"/>
    </w:lvl>
  </w:abstractNum>
  <w:abstractNum w:abstractNumId="62">
    <w:nsid w:val="631F1690"/>
    <w:multiLevelType w:val="hybridMultilevel"/>
    <w:lvl w:ilvl="0">
      <w:lvlJc w:val="left"/>
      <w:lvlText w:val="•"/>
      <w:numFmt w:val="bullet"/>
      <w:start w:val="1"/>
    </w:lvl>
  </w:abstractNum>
  <w:abstractNum w:abstractNumId="63">
    <w:nsid w:val="25973E32"/>
    <w:multiLevelType w:val="hybridMultilevel"/>
    <w:lvl w:ilvl="0">
      <w:lvlJc w:val="left"/>
      <w:lvlText w:val="(%1)"/>
      <w:numFmt w:val="lowerRoman"/>
      <w:start w:val="1"/>
    </w:lvl>
  </w:abstractNum>
  <w:abstractNum w:abstractNumId="64">
    <w:nsid w:val="EAD6F57"/>
    <w:multiLevelType w:val="hybridMultilevel"/>
    <w:lvl w:ilvl="0">
      <w:lvlJc w:val="left"/>
      <w:lvlText w:val="•"/>
      <w:numFmt w:val="bullet"/>
      <w:start w:val="1"/>
    </w:lvl>
  </w:abstractNum>
  <w:abstractNum w:abstractNumId="65">
    <w:nsid w:val="6EC9D844"/>
    <w:multiLevelType w:val="hybridMultilevel"/>
    <w:lvl w:ilvl="0">
      <w:lvlJc w:val="left"/>
      <w:lvlText w:val="•"/>
      <w:numFmt w:val="bullet"/>
      <w:start w:val="1"/>
    </w:lvl>
  </w:abstractNum>
  <w:abstractNum w:abstractNumId="66">
    <w:nsid w:val="5C49EAEE"/>
    <w:multiLevelType w:val="hybridMultilevel"/>
    <w:lvl w:ilvl="0">
      <w:lvlJc w:val="left"/>
      <w:lvlText w:val="•"/>
      <w:numFmt w:val="bullet"/>
      <w:start w:val="1"/>
    </w:lvl>
  </w:abstractNum>
  <w:abstractNum w:abstractNumId="67">
    <w:nsid w:val="64AF49B"/>
    <w:multiLevelType w:val="hybridMultilevel"/>
    <w:lvl w:ilvl="0">
      <w:lvlJc w:val="left"/>
      <w:lvlText w:val="•"/>
      <w:numFmt w:val="bullet"/>
      <w:start w:val="1"/>
    </w:lvl>
  </w:abstractNum>
  <w:abstractNum w:abstractNumId="68">
    <w:nsid w:val="397C46BC"/>
    <w:multiLevelType w:val="hybridMultilevel"/>
    <w:lvl w:ilvl="0">
      <w:lvlJc w:val="left"/>
      <w:lvlText w:val="•"/>
      <w:numFmt w:val="bullet"/>
      <w:start w:val="1"/>
    </w:lvl>
  </w:abstractNum>
  <w:abstractNum w:abstractNumId="69">
    <w:nsid w:val="7E448DE9"/>
    <w:multiLevelType w:val="hybridMultilevel"/>
    <w:lvl w:ilvl="0">
      <w:lvlJc w:val="left"/>
      <w:lvlText w:val="•"/>
      <w:numFmt w:val="bullet"/>
      <w:start w:val="1"/>
    </w:lvl>
  </w:abstractNum>
  <w:abstractNum w:abstractNumId="70">
    <w:nsid w:val="5A9CC3E5"/>
    <w:multiLevelType w:val="hybridMultilevel"/>
    <w:lvl w:ilvl="0">
      <w:lvlJc w:val="left"/>
      <w:lvlText w:val="•"/>
      <w:numFmt w:val="bullet"/>
      <w:start w:val="1"/>
    </w:lvl>
  </w:abstractNum>
  <w:abstractNum w:abstractNumId="71">
    <w:nsid w:val="1AFE3625"/>
    <w:multiLevelType w:val="hybridMultilevel"/>
    <w:lvl w:ilvl="0">
      <w:lvlJc w:val="left"/>
      <w:lvlText w:val="(%1)"/>
      <w:numFmt w:val="lowerLetter"/>
      <w:start w:val="1"/>
    </w:lvl>
  </w:abstractNum>
  <w:abstractNum w:abstractNumId="72">
    <w:nsid w:val="3CA88ECF"/>
    <w:multiLevelType w:val="hybridMultilevel"/>
    <w:lvl w:ilvl="0">
      <w:lvlJc w:val="left"/>
      <w:lvlText w:val="•"/>
      <w:numFmt w:val="bullet"/>
      <w:start w:val="1"/>
    </w:lvl>
  </w:abstractNum>
  <w:abstractNum w:abstractNumId="73">
    <w:nsid w:val="6EBE4208"/>
    <w:multiLevelType w:val="hybridMultilevel"/>
    <w:lvl w:ilvl="0">
      <w:lvlJc w:val="left"/>
      <w:lvlText w:val="•"/>
      <w:numFmt w:val="bullet"/>
      <w:start w:val="1"/>
    </w:lvl>
  </w:abstractNum>
  <w:abstractNum w:abstractNumId="74">
    <w:nsid w:val="C058DF5"/>
    <w:multiLevelType w:val="hybridMultilevel"/>
    <w:lvl w:ilvl="0">
      <w:lvlJc w:val="left"/>
      <w:lvlText w:val="(%1)"/>
      <w:numFmt w:val="lowerLetter"/>
      <w:start w:val="1"/>
    </w:lvl>
  </w:abstractNum>
  <w:abstractNum w:abstractNumId="75">
    <w:nsid w:val="CBE5BE9"/>
    <w:multiLevelType w:val="hybridMultilevel"/>
    <w:lvl w:ilvl="0">
      <w:lvlJc w:val="left"/>
      <w:lvlText w:val="(%1)"/>
      <w:numFmt w:val="lowerLetter"/>
      <w:start w:val="2"/>
    </w:lvl>
  </w:abstractNum>
  <w:abstractNum w:abstractNumId="76">
    <w:nsid w:val="3102BBE2"/>
    <w:multiLevelType w:val="hybridMultilevel"/>
    <w:lvl w:ilvl="0">
      <w:lvlJc w:val="left"/>
      <w:lvlText w:val="(%1)"/>
      <w:numFmt w:val="lowerLetter"/>
      <w:start w:val="1"/>
    </w:lvl>
    <w:lvl w:ilvl="1">
      <w:lvlJc w:val="left"/>
      <w:lvlText w:val="(%2)"/>
      <w:numFmt w:val="lowerRoman"/>
      <w:start w:val="1"/>
    </w:lvl>
  </w:abstractNum>
  <w:abstractNum w:abstractNumId="77">
    <w:nsid w:val="26A02C5E"/>
    <w:multiLevelType w:val="hybridMultilevel"/>
    <w:lvl w:ilvl="0">
      <w:lvlJc w:val="left"/>
      <w:lvlText w:val="(%1)"/>
      <w:numFmt w:val="lowerLetter"/>
      <w:start w:val="1"/>
    </w:lvl>
  </w:abstractNum>
  <w:abstractNum w:abstractNumId="78">
    <w:nsid w:val="541C8153"/>
    <w:multiLevelType w:val="hybridMultilevel"/>
    <w:lvl w:ilvl="0">
      <w:lvlJc w:val="left"/>
      <w:lvlText w:val="(%1)"/>
      <w:numFmt w:val="lowerLetter"/>
      <w:start w:val="1"/>
    </w:lvl>
  </w:abstractNum>
  <w:abstractNum w:abstractNumId="79">
    <w:nsid w:val="67906F60"/>
    <w:multiLevelType w:val="hybridMultilevel"/>
    <w:lvl w:ilvl="0">
      <w:lvlJc w:val="left"/>
      <w:lvlText w:val="(%1)"/>
      <w:numFmt w:val="lowerLetter"/>
      <w:start w:val="3"/>
    </w:lvl>
  </w:abstractNum>
  <w:abstractNum w:abstractNumId="80">
    <w:nsid w:val="10DB9DAA"/>
    <w:multiLevelType w:val="hybridMultilevel"/>
    <w:lvl w:ilvl="0">
      <w:lvlJc w:val="left"/>
      <w:lvlText w:val="%1"/>
      <w:numFmt w:val="lowerLetter"/>
      <w:start w:val="1"/>
    </w:lvl>
    <w:lvl w:ilvl="1">
      <w:lvlJc w:val="left"/>
      <w:lvlText w:val="(%2)"/>
      <w:numFmt w:val="lowerLetter"/>
      <w:start w:val="1"/>
    </w:lvl>
  </w:abstractNum>
  <w:abstractNum w:abstractNumId="81">
    <w:nsid w:val="697D2D2"/>
    <w:multiLevelType w:val="hybridMultilevel"/>
    <w:lvl w:ilvl="0">
      <w:lvlJc w:val="left"/>
      <w:lvlText w:val="(%1)"/>
      <w:numFmt w:val="lowerLetter"/>
      <w:start w:val="35"/>
    </w:lvl>
    <w:lvl w:ilvl="1">
      <w:lvlJc w:val="left"/>
      <w:lvlText w:val="(%2)"/>
      <w:numFmt w:val="lowerLetter"/>
      <w:start w:val="3"/>
    </w:lvl>
  </w:abstractNum>
  <w:abstractNum w:abstractNumId="82">
    <w:nsid w:val="6D68AB2"/>
    <w:multiLevelType w:val="hybridMultilevel"/>
    <w:lvl w:ilvl="0">
      <w:lvlJc w:val="left"/>
      <w:lvlText w:val="(%1)"/>
      <w:numFmt w:val="lowerLetter"/>
      <w:start w:val="1"/>
    </w:lvl>
  </w:abstractNum>
  <w:abstractNum w:abstractNumId="83">
    <w:nsid w:val="3A966CD0"/>
    <w:multiLevelType w:val="hybridMultilevel"/>
    <w:lvl w:ilvl="0">
      <w:lvlJc w:val="left"/>
      <w:lvlText w:val="(%1)"/>
      <w:numFmt w:val="lowerLetter"/>
      <w:start w:val="4"/>
    </w:lvl>
  </w:abstractNum>
  <w:abstractNum w:abstractNumId="84">
    <w:nsid w:val="63F37E85"/>
    <w:multiLevelType w:val="hybridMultilevel"/>
    <w:lvl w:ilvl="0">
      <w:lvlJc w:val="left"/>
      <w:lvlText w:val="(%1)"/>
      <w:numFmt w:val="lowerRoman"/>
      <w:start w:val="1"/>
    </w:lvl>
  </w:abstractNum>
  <w:abstractNum w:abstractNumId="85">
    <w:nsid w:val="5895F5FA"/>
    <w:multiLevelType w:val="hybridMultilevel"/>
    <w:lvl w:ilvl="0">
      <w:lvlJc w:val="left"/>
      <w:lvlText w:val="(%1)"/>
      <w:numFmt w:val="lowerLetter"/>
      <w:start w:val="1"/>
    </w:lvl>
  </w:abstractNum>
  <w:abstractNum w:abstractNumId="86">
    <w:nsid w:val="38A5D054"/>
    <w:multiLevelType w:val="hybridMultilevel"/>
    <w:lvl w:ilvl="0">
      <w:lvlJc w:val="left"/>
      <w:lvlText w:val="(%1)"/>
      <w:numFmt w:val="lowerLetter"/>
      <w:start w:val="2"/>
    </w:lvl>
  </w:abstractNum>
  <w:abstractNum w:abstractNumId="87">
    <w:nsid w:val="F3F09D8"/>
    <w:multiLevelType w:val="hybridMultilevel"/>
    <w:lvl w:ilvl="0">
      <w:lvlJc w:val="left"/>
      <w:lvlText w:val="(%1)"/>
      <w:numFmt w:val="lowerLetter"/>
      <w:start w:val="2"/>
    </w:lvl>
  </w:abstractNum>
  <w:abstractNum w:abstractNumId="88">
    <w:nsid w:val="4B793735"/>
    <w:multiLevelType w:val="hybridMultilevel"/>
    <w:lvl w:ilvl="0">
      <w:lvlJc w:val="left"/>
      <w:lvlText w:val="(%1)"/>
      <w:numFmt w:val="lowerLetter"/>
      <w:start w:val="1"/>
    </w:lvl>
  </w:abstractNum>
  <w:abstractNum w:abstractNumId="89">
    <w:nsid w:val="4A10B4E8"/>
    <w:multiLevelType w:val="hybridMultilevel"/>
    <w:lvl w:ilvl="0">
      <w:lvlJc w:val="left"/>
      <w:lvlText w:val="(%1)"/>
      <w:numFmt w:val="lowerLetter"/>
      <w:start w:val="2"/>
    </w:lvl>
  </w:abstractNum>
  <w:abstractNum w:abstractNumId="90">
    <w:nsid w:val="43D3BCD4"/>
    <w:multiLevelType w:val="hybridMultilevel"/>
    <w:lvl w:ilvl="0">
      <w:lvlJc w:val="left"/>
      <w:lvlText w:val="(%1)"/>
      <w:numFmt w:val="lowerLetter"/>
      <w:start w:val="1"/>
    </w:lvl>
  </w:abstractNum>
  <w:abstractNum w:abstractNumId="91">
    <w:nsid w:val="4C2A7166"/>
    <w:multiLevelType w:val="hybridMultilevel"/>
    <w:lvl w:ilvl="0">
      <w:lvlJc w:val="left"/>
      <w:lvlText w:val="(%1)"/>
      <w:numFmt w:val="lowerLetter"/>
      <w:start w:val="1"/>
    </w:lvl>
  </w:abstractNum>
  <w:abstractNum w:abstractNumId="92">
    <w:nsid w:val="2E534A82"/>
    <w:multiLevelType w:val="hybridMultilevel"/>
    <w:lvl w:ilvl="0">
      <w:lvlJc w:val="left"/>
      <w:lvlText w:val="(%1)"/>
      <w:numFmt w:val="lowerLetter"/>
      <w:start w:val="2"/>
    </w:lvl>
  </w:abstractNum>
  <w:abstractNum w:abstractNumId="93">
    <w:nsid w:val="26F2D364"/>
    <w:multiLevelType w:val="hybridMultilevel"/>
    <w:lvl w:ilvl="0">
      <w:lvlJc w:val="left"/>
      <w:lvlText w:val="%1"/>
      <w:numFmt w:val="lowerRoman"/>
      <w:start w:val="1"/>
    </w:lvl>
    <w:lvl w:ilvl="1">
      <w:lvlJc w:val="left"/>
      <w:lvlText w:val="(%2)"/>
      <w:numFmt w:val="lowerLetter"/>
      <w:start w:val="1"/>
    </w:lvl>
  </w:abstractNum>
  <w:abstractNum w:abstractNumId="94">
    <w:nsid w:val="71C1AF98"/>
    <w:multiLevelType w:val="hybridMultilevel"/>
    <w:lvl w:ilvl="0">
      <w:lvlJc w:val="left"/>
      <w:lvlText w:val="%1"/>
      <w:numFmt w:val="lowerRoman"/>
      <w:start w:val="1"/>
    </w:lvl>
    <w:lvl w:ilvl="1">
      <w:lvlJc w:val="left"/>
      <w:lvlText w:val="(%2)"/>
      <w:numFmt w:val="lowerLetter"/>
      <w:start w:val="9"/>
    </w:lvl>
  </w:abstractNum>
  <w:abstractNum w:abstractNumId="95">
    <w:nsid w:val="3D00B9D9"/>
    <w:multiLevelType w:val="hybridMultilevel"/>
    <w:lvl w:ilvl="0">
      <w:lvlJc w:val="left"/>
      <w:lvlText w:val="%1"/>
      <w:numFmt w:val="lowerRoman"/>
      <w:start w:val="1"/>
    </w:lvl>
    <w:lvl w:ilvl="1">
      <w:lvlJc w:val="left"/>
      <w:lvlText w:val="(%2)"/>
      <w:numFmt w:val="lowerLetter"/>
      <w:start w:val="35"/>
    </w:lvl>
  </w:abstractNum>
  <w:abstractNum w:abstractNumId="96">
    <w:nsid w:val="15BCABA8"/>
    <w:multiLevelType w:val="hybridMultilevel"/>
    <w:lvl w:ilvl="0">
      <w:lvlJc w:val="left"/>
      <w:lvlText w:val="%1"/>
      <w:numFmt w:val="lowerRoman"/>
      <w:start w:val="1"/>
    </w:lvl>
    <w:lvl w:ilvl="1">
      <w:lvlJc w:val="left"/>
      <w:lvlText w:val="(%2)"/>
      <w:numFmt w:val="lowerLetter"/>
      <w:start w:val="61"/>
    </w:lvl>
  </w:abstractNum>
  <w:abstractNum w:abstractNumId="97">
    <w:nsid w:val="4E0B9A87"/>
    <w:multiLevelType w:val="hybridMultilevel"/>
    <w:lvl w:ilvl="0">
      <w:lvlJc w:val="left"/>
      <w:lvlText w:val="(%1)"/>
      <w:numFmt w:val="lowerRoman"/>
      <w:start w:val="4"/>
    </w:lvl>
    <w:lvl w:ilvl="1">
      <w:lvlJc w:val="left"/>
      <w:lvlText w:val="%2"/>
      <w:numFmt w:val="lowerLetter"/>
      <w:start w:val="1"/>
    </w:lvl>
  </w:abstractNum>
  <w:abstractNum w:abstractNumId="98">
    <w:nsid w:val="434BAE75"/>
    <w:multiLevelType w:val="hybridMultilevel"/>
    <w:lvl w:ilvl="0">
      <w:lvlJc w:val="left"/>
      <w:lvlText w:val="(%1)"/>
      <w:numFmt w:val="lowerRoman"/>
      <w:start w:val="6"/>
    </w:lvl>
  </w:abstractNum>
  <w:abstractNum w:abstractNumId="99">
    <w:nsid w:val="4F38F265"/>
    <w:multiLevelType w:val="hybridMultilevel"/>
    <w:lvl w:ilvl="0">
      <w:lvlJc w:val="left"/>
      <w:lvlText w:val="(%1)"/>
      <w:numFmt w:val="lowerLetter"/>
      <w:start w:val="1"/>
    </w:lvl>
  </w:abstractNum>
  <w:abstractNum w:abstractNumId="100">
    <w:nsid w:val="4C502870"/>
    <w:multiLevelType w:val="hybridMultilevel"/>
    <w:lvl w:ilvl="0">
      <w:lvlJc w:val="left"/>
      <w:lvlText w:val="(%1)"/>
      <w:numFmt w:val="lowerLetter"/>
      <w:start w:val="2"/>
    </w:lvl>
  </w:abstractNum>
  <w:abstractNum w:abstractNumId="101">
    <w:nsid w:val="1DE8725A"/>
    <w:multiLevelType w:val="hybridMultilevel"/>
    <w:lvl w:ilvl="0">
      <w:lvlJc w:val="left"/>
      <w:lvlText w:val="(%1)"/>
      <w:numFmt w:val="lowerLetter"/>
      <w:start w:val="1"/>
    </w:lvl>
  </w:abstractNum>
  <w:abstractNum w:abstractNumId="102">
    <w:nsid w:val="6A37288A"/>
    <w:multiLevelType w:val="hybridMultilevel"/>
    <w:lvl w:ilvl="0">
      <w:lvlJc w:val="left"/>
      <w:lvlText w:val="(%1)"/>
      <w:numFmt w:val="lowerLetter"/>
      <w:start w:val="1"/>
    </w:lvl>
  </w:abstractNum>
  <w:abstractNum w:abstractNumId="103">
    <w:nsid w:val="8F8B73F"/>
    <w:multiLevelType w:val="hybridMultilevel"/>
    <w:lvl w:ilvl="0">
      <w:lvlJc w:val="left"/>
      <w:lvlText w:val="(%1)"/>
      <w:numFmt w:val="lowerLetter"/>
      <w:start w:val="2"/>
    </w:lvl>
  </w:abstractNum>
  <w:abstractNum w:abstractNumId="104">
    <w:nsid w:val="CA6B462"/>
    <w:multiLevelType w:val="hybridMultilevel"/>
    <w:lvl w:ilvl="0">
      <w:lvlJc w:val="left"/>
      <w:lvlText w:val="(%1)"/>
      <w:numFmt w:val="lowerLetter"/>
      <w:start w:val="2"/>
    </w:lvl>
  </w:abstractNum>
  <w:abstractNum w:abstractNumId="105">
    <w:nsid w:val="763CB680"/>
    <w:multiLevelType w:val="hybridMultilevel"/>
    <w:lvl w:ilvl="0">
      <w:lvlJc w:val="left"/>
      <w:lvlText w:val="(%1)"/>
      <w:numFmt w:val="decimal"/>
      <w:start w:val="1"/>
    </w:lvl>
  </w:abstractNum>
  <w:abstractNum w:abstractNumId="106">
    <w:nsid w:val="15B71329"/>
    <w:multiLevelType w:val="hybridMultilevel"/>
    <w:lvl w:ilvl="0">
      <w:lvlJc w:val="left"/>
      <w:lvlText w:val="(%1)"/>
      <w:numFmt w:val="lowerLetter"/>
      <w:start w:val="1"/>
    </w:lvl>
  </w:abstractNum>
  <w:abstractNum w:abstractNumId="107">
    <w:nsid w:val="3DA97044"/>
    <w:multiLevelType w:val="hybridMultilevel"/>
    <w:lvl w:ilvl="0">
      <w:lvlJc w:val="left"/>
      <w:lvlText w:val="(%1)"/>
      <w:numFmt w:val="lowerLetter"/>
      <w:start w:val="1"/>
    </w:lvl>
  </w:abstractNum>
  <w:abstractNum w:abstractNumId="108">
    <w:nsid w:val="1CDCE2DE"/>
    <w:multiLevelType w:val="hybridMultilevel"/>
    <w:lvl w:ilvl="0">
      <w:lvlJc w:val="left"/>
      <w:lvlText w:val="(%1)"/>
      <w:numFmt w:val="lowerLetter"/>
      <w:start w:val="3"/>
    </w:lvl>
  </w:abstractNum>
  <w:abstractNum w:abstractNumId="109">
    <w:nsid w:val="69D3947C"/>
    <w:multiLevelType w:val="hybridMultilevel"/>
    <w:lvl w:ilvl="0">
      <w:lvlJc w:val="left"/>
      <w:lvlText w:val="(%1)"/>
      <w:numFmt w:val="lowerLetter"/>
      <w:start w:val="1"/>
    </w:lvl>
  </w:abstractNum>
  <w:abstractNum w:abstractNumId="110">
    <w:nsid w:val="2539DFA5"/>
    <w:multiLevelType w:val="hybridMultilevel"/>
    <w:lvl w:ilvl="0">
      <w:lvlJc w:val="left"/>
      <w:lvlText w:val="%1"/>
      <w:numFmt w:val="decimal"/>
      <w:start w:val="1"/>
    </w:lvl>
    <w:lvl w:ilvl="1">
      <w:lvlJc w:val="left"/>
      <w:lvlText w:val="(%2)"/>
      <w:numFmt w:val="lowerLetter"/>
      <w:start w:val="6"/>
    </w:lvl>
  </w:abstractNum>
  <w:abstractNum w:abstractNumId="111">
    <w:nsid w:val="2DB88089"/>
    <w:multiLevelType w:val="hybridMultilevel"/>
    <w:lvl w:ilvl="0">
      <w:lvlJc w:val="left"/>
      <w:lvlText w:val="(%1)"/>
      <w:numFmt w:val="decimal"/>
      <w:start w:val="1"/>
    </w:lvl>
    <w:lvl w:ilvl="1">
      <w:lvlJc w:val="left"/>
      <w:lvlText w:val="(%2)"/>
      <w:numFmt w:val="lowerLetter"/>
      <w:start w:val="7"/>
    </w:lvl>
  </w:abstractNum>
  <w:abstractNum w:abstractNumId="112">
    <w:nsid w:val="706B674E"/>
    <w:multiLevelType w:val="hybridMultilevel"/>
    <w:lvl w:ilvl="0">
      <w:lvlJc w:val="left"/>
      <w:lvlText w:val="(%1)"/>
      <w:numFmt w:val="lowerLetter"/>
      <w:start w:val="2"/>
    </w:lvl>
  </w:abstractNum>
  <w:abstractNum w:abstractNumId="113">
    <w:nsid w:val="2C106A57"/>
    <w:multiLevelType w:val="hybridMultilevel"/>
    <w:lvl w:ilvl="0">
      <w:lvlJc w:val="left"/>
      <w:lvlText w:val="(%1)"/>
      <w:numFmt w:val="lowerLetter"/>
      <w:start w:val="4"/>
    </w:lvl>
  </w:abstractNum>
  <w:abstractNum w:abstractNumId="114">
    <w:nsid w:val="684EED59"/>
    <w:multiLevelType w:val="hybridMultilevel"/>
    <w:lvl w:ilvl="0">
      <w:lvlJc w:val="left"/>
      <w:lvlText w:val="(%1)"/>
      <w:numFmt w:val="lowerLetter"/>
      <w:start w:val="2"/>
    </w:lvl>
  </w:abstractNum>
  <w:abstractNum w:abstractNumId="115">
    <w:nsid w:val="545EE5D3"/>
    <w:multiLevelType w:val="hybridMultilevel"/>
    <w:lvl w:ilvl="0">
      <w:lvlJc w:val="left"/>
      <w:lvlText w:val="(%1)"/>
      <w:numFmt w:val="lowerLetter"/>
      <w:start w:val="1"/>
    </w:lvl>
  </w:abstractNum>
  <w:abstractNum w:abstractNumId="116">
    <w:nsid w:val="4A66051"/>
    <w:multiLevelType w:val="hybridMultilevel"/>
    <w:lvl w:ilvl="0">
      <w:lvlJc w:val="left"/>
      <w:lvlText w:val="(%1)"/>
      <w:numFmt w:val="lowerLetter"/>
      <w:start w:val="2"/>
    </w:lvl>
  </w:abstractNum>
  <w:abstractNum w:abstractNumId="117">
    <w:nsid w:val="20F4BDAD"/>
    <w:multiLevelType w:val="hybridMultilevel"/>
    <w:lvl w:ilvl="0">
      <w:lvlJc w:val="left"/>
      <w:lvlText w:val="(%1)"/>
      <w:numFmt w:val="lowerLetter"/>
      <w:start w:val="6"/>
    </w:lvl>
  </w:abstractNum>
  <w:abstractNum w:abstractNumId="118">
    <w:nsid w:val="639DEFAC"/>
    <w:multiLevelType w:val="hybridMultilevel"/>
    <w:lvl w:ilvl="0">
      <w:lvlJc w:val="left"/>
      <w:lvlText w:val="(%1)"/>
      <w:numFmt w:val="lowerLetter"/>
      <w:start w:val="2"/>
    </w:lvl>
  </w:abstractNum>
  <w:abstractNum w:abstractNumId="119">
    <w:nsid w:val="501F9786"/>
    <w:multiLevelType w:val="hybridMultilevel"/>
    <w:lvl w:ilvl="0">
      <w:lvlJc w:val="left"/>
      <w:lvlText w:val="(%1)"/>
      <w:numFmt w:val="lowerLetter"/>
      <w:start w:val="1"/>
    </w:lvl>
  </w:abstractNum>
  <w:abstractNum w:abstractNumId="120">
    <w:nsid w:val="6B057295"/>
    <w:multiLevelType w:val="hybridMultilevel"/>
    <w:lvl w:ilvl="0">
      <w:lvlJc w:val="left"/>
      <w:lvlText w:val="%1"/>
      <w:numFmt w:val="decimal"/>
      <w:start w:val="1"/>
    </w:lvl>
    <w:lvl w:ilvl="1">
      <w:lvlJc w:val="left"/>
      <w:lvlText w:val="(%2)"/>
      <w:numFmt w:val="lowerRoman"/>
      <w:start w:val="2"/>
    </w:lvl>
  </w:abstractNum>
  <w:abstractNum w:abstractNumId="121">
    <w:nsid w:val="2771AC80"/>
    <w:multiLevelType w:val="hybridMultilevel"/>
    <w:lvl w:ilvl="0">
      <w:lvlJc w:val="left"/>
      <w:lvlText w:val="(%1)"/>
      <w:numFmt w:val="lowerRoman"/>
      <w:start w:val="1"/>
    </w:lvl>
  </w:abstractNum>
  <w:abstractNum w:abstractNumId="122">
    <w:nsid w:val="1C4A08EC"/>
    <w:multiLevelType w:val="hybridMultilevel"/>
    <w:lvl w:ilvl="0">
      <w:lvlJc w:val="left"/>
      <w:lvlText w:val="%1"/>
      <w:numFmt w:val="lowerLetter"/>
      <w:start w:val="1"/>
    </w:lvl>
    <w:lvl w:ilvl="1">
      <w:lvlJc w:val="left"/>
      <w:lvlText w:val="(%2)"/>
      <w:numFmt w:val="lowerLetter"/>
      <w:start w:val="61"/>
    </w:lvl>
  </w:abstractNum>
  <w:abstractNum w:abstractNumId="123">
    <w:nsid w:val="1958BD17"/>
    <w:multiLevelType w:val="hybridMultilevel"/>
    <w:lvl w:ilvl="0">
      <w:lvlJc w:val="left"/>
      <w:lvlText w:val="(%1)"/>
      <w:numFmt w:val="lowerLetter"/>
      <w:start w:val="6"/>
    </w:lvl>
    <w:lvl w:ilvl="1">
      <w:lvlJc w:val="left"/>
      <w:lvlText w:val="%2"/>
      <w:numFmt w:val="lowerLetter"/>
      <w:start w:val="1"/>
    </w:lvl>
  </w:abstractNum>
  <w:abstractNum w:abstractNumId="124">
    <w:nsid w:val="4E647FE4"/>
    <w:multiLevelType w:val="hybridMultilevel"/>
    <w:lvl w:ilvl="0">
      <w:lvlJc w:val="left"/>
      <w:lvlText w:val="%1"/>
      <w:numFmt w:val="lowerLetter"/>
      <w:start w:val="1"/>
    </w:lvl>
    <w:lvl w:ilvl="1">
      <w:lvlJc w:val="left"/>
      <w:lvlText w:val="(%2)"/>
      <w:numFmt w:val="lowerLetter"/>
      <w:start w:val="7"/>
    </w:lvl>
  </w:abstractNum>
  <w:abstractNum w:abstractNumId="125">
    <w:nsid w:val="E0BB885"/>
    <w:multiLevelType w:val="hybridMultilevel"/>
    <w:lvl w:ilvl="0">
      <w:lvlJc w:val="left"/>
      <w:lvlText w:val="(%1)"/>
      <w:numFmt w:val="lowerLetter"/>
      <w:start w:val="35"/>
    </w:lvl>
    <w:lvl w:ilvl="1">
      <w:lvlJc w:val="left"/>
      <w:lvlText w:val="(%2)"/>
      <w:numFmt w:val="lowerLetter"/>
      <w:start w:val="9"/>
    </w:lvl>
  </w:abstractNum>
  <w:abstractNum w:abstractNumId="126">
    <w:nsid w:val="565976F1"/>
    <w:multiLevelType w:val="hybridMultilevel"/>
    <w:lvl w:ilvl="0">
      <w:lvlJc w:val="left"/>
      <w:lvlText w:val="(%1)"/>
      <w:numFmt w:val="lowerRoman"/>
      <w:start w:val="6"/>
    </w:lvl>
  </w:abstractNum>
  <w:abstractNum w:abstractNumId="127">
    <w:nsid w:val="64212B8C"/>
    <w:multiLevelType w:val="hybridMultilevel"/>
    <w:lvl w:ilvl="0">
      <w:lvlJc w:val="left"/>
      <w:lvlText w:val="(%1)"/>
      <w:numFmt w:val="lowerLetter"/>
      <w:start w:val="10"/>
    </w:lvl>
  </w:abstractNum>
  <w:abstractNum w:abstractNumId="128">
    <w:nsid w:val="5C17530C"/>
    <w:multiLevelType w:val="hybridMultilevel"/>
    <w:lvl w:ilvl="0">
      <w:lvlJc w:val="left"/>
      <w:lvlText w:val="(%1)"/>
      <w:numFmt w:val="lowerLetter"/>
      <w:start w:val="16"/>
    </w:lvl>
    <w:lvl w:ilvl="1">
      <w:lvlJc w:val="left"/>
      <w:lvlText w:val="(%2)"/>
      <w:numFmt w:val="lowerRoman"/>
      <w:start w:val="1"/>
    </w:lvl>
  </w:abstractNum>
  <w:abstractNum w:abstractNumId="129">
    <w:nsid w:val="19A52566"/>
    <w:multiLevelType w:val="hybridMultilevel"/>
    <w:lvl w:ilvl="0">
      <w:lvlJc w:val="left"/>
      <w:lvlText w:val="%1"/>
      <w:numFmt w:val="lowerLetter"/>
      <w:start w:val="1"/>
    </w:lvl>
    <w:lvl w:ilvl="1">
      <w:lvlJc w:val="left"/>
      <w:lvlText w:val="(%2)"/>
      <w:numFmt w:val="lowerLetter"/>
      <w:start w:val="20"/>
    </w:lvl>
    <w:lvl w:ilvl="2">
      <w:lvlJc w:val="left"/>
      <w:lvlText w:val="%3"/>
      <w:numFmt w:val="upperLetter"/>
      <w:start w:val="1"/>
    </w:lvl>
  </w:abstractNum>
  <w:abstractNum w:abstractNumId="130">
    <w:nsid w:val="335A1DF1"/>
    <w:multiLevelType w:val="hybridMultilevel"/>
    <w:lvl w:ilvl="0">
      <w:lvlJc w:val="left"/>
      <w:lvlText w:val="(%1)"/>
      <w:numFmt w:val="lowerLetter"/>
      <w:start w:val="35"/>
    </w:lvl>
    <w:lvl w:ilvl="1">
      <w:lvlJc w:val="left"/>
      <w:lvlText w:val="(%2)"/>
      <w:numFmt w:val="lowerLetter"/>
      <w:start w:val="23"/>
    </w:lvl>
    <w:lvl w:ilvl="2">
      <w:lvlJc w:val="left"/>
      <w:lvlText w:val="(%3)"/>
      <w:numFmt w:val="upperLetter"/>
      <w:start w:val="1"/>
    </w:lvl>
  </w:abstractNum>
  <w:abstractNum w:abstractNumId="131">
    <w:nsid w:val="28677B7C"/>
    <w:multiLevelType w:val="hybridMultilevel"/>
    <w:lvl w:ilvl="0">
      <w:lvlJc w:val="left"/>
      <w:lvlText w:val="2"/>
      <w:numFmt w:val="bullet"/>
      <w:start w:val="1"/>
    </w:lvl>
  </w:abstractNum>
  <w:abstractNum w:abstractNumId="132">
    <w:nsid w:val="378D97C0"/>
    <w:multiLevelType w:val="hybridMultilevel"/>
    <w:lvl w:ilvl="0">
      <w:lvlJc w:val="left"/>
      <w:lvlText w:val="(%1)"/>
      <w:numFmt w:val="upperLetter"/>
      <w:start w:val="2"/>
    </w:lvl>
  </w:abstractNum>
  <w:abstractNum w:abstractNumId="133">
    <w:nsid w:val="1D91467C"/>
    <w:multiLevelType w:val="hybridMultilevel"/>
    <w:lvl w:ilvl="0">
      <w:lvlJc w:val="left"/>
      <w:lvlText w:val="3"/>
      <w:numFmt w:val="bullet"/>
      <w:start w:val="1"/>
    </w:lvl>
  </w:abstractNum>
  <w:abstractNum w:abstractNumId="134">
    <w:nsid w:val="316032BB"/>
    <w:multiLevelType w:val="hybridMultilevel"/>
    <w:lvl w:ilvl="0">
      <w:lvlJc w:val="left"/>
      <w:lvlText w:val="4"/>
      <w:numFmt w:val="bullet"/>
      <w:start w:val="1"/>
    </w:lvl>
  </w:abstractNum>
  <w:abstractNum w:abstractNumId="135">
    <w:nsid w:val="44344C22"/>
    <w:multiLevelType w:val="hybridMultilevel"/>
    <w:lvl w:ilvl="0">
      <w:lvlJc w:val="left"/>
      <w:lvlText w:val="%1"/>
      <w:numFmt w:val="lowerLetter"/>
      <w:start w:val="1"/>
    </w:lvl>
    <w:lvl w:ilvl="1">
      <w:lvlJc w:val="left"/>
      <w:lvlText w:val="(%2)"/>
      <w:numFmt w:val="upperLetter"/>
      <w:start w:val="3"/>
    </w:lvl>
  </w:abstractNum>
  <w:abstractNum w:abstractNumId="136">
    <w:nsid w:val="13CDFCFC"/>
    <w:multiLevelType w:val="hybridMultilevel"/>
    <w:lvl w:ilvl="0">
      <w:lvlJc w:val="left"/>
      <w:lvlText w:val="(%1)"/>
      <w:numFmt w:val="lowerLetter"/>
      <w:start w:val="24"/>
    </w:lvl>
    <w:lvl w:ilvl="1">
      <w:lvlJc w:val="left"/>
      <w:lvlText w:val="%2"/>
      <w:numFmt w:val="upperLetter"/>
      <w:start w:val="1"/>
    </w:lvl>
  </w:abstractNum>
  <w:abstractNum w:abstractNumId="137">
    <w:nsid w:val="471745E4"/>
    <w:multiLevelType w:val="hybridMultilevel"/>
    <w:lvl w:ilvl="0">
      <w:lvlJc w:val="left"/>
      <w:lvlText w:val="5"/>
      <w:numFmt w:val="bullet"/>
      <w:start w:val="1"/>
    </w:lvl>
  </w:abstractNum>
  <w:abstractNum w:abstractNumId="138">
    <w:nsid w:val="1DDBC66"/>
    <w:multiLevelType w:val="hybridMultilevel"/>
    <w:lvl w:ilvl="0">
      <w:lvlJc w:val="left"/>
      <w:lvlText w:val="6"/>
      <w:numFmt w:val="bullet"/>
      <w:start w:val="1"/>
    </w:lvl>
  </w:abstractNum>
  <w:abstractNum w:abstractNumId="139">
    <w:nsid w:val="30AADFDA"/>
    <w:multiLevelType w:val="hybridMultilevel"/>
    <w:lvl w:ilvl="0">
      <w:lvlJc w:val="left"/>
      <w:lvlText w:val="7"/>
      <w:numFmt w:val="bullet"/>
      <w:start w:val="1"/>
    </w:lvl>
  </w:abstractNum>
  <w:abstractNum w:abstractNumId="140">
    <w:nsid w:val="30EADA61"/>
    <w:multiLevelType w:val="hybridMultilevel"/>
    <w:lvl w:ilvl="0">
      <w:lvlJc w:val="left"/>
      <w:lvlText w:val="8"/>
      <w:numFmt w:val="bullet"/>
      <w:start w:val="1"/>
    </w:lvl>
  </w:abstractNum>
  <w:abstractNum w:abstractNumId="141">
    <w:nsid w:val="27179C0B"/>
    <w:multiLevelType w:val="hybridMultilevel"/>
    <w:lvl w:ilvl="0">
      <w:lvlJc w:val="left"/>
      <w:lvlText w:val="9"/>
      <w:numFmt w:val="bullet"/>
      <w:start w:val="1"/>
    </w:lvl>
  </w:abstractNum>
  <w:abstractNum w:abstractNumId="142">
    <w:nsid w:val="5E636063"/>
    <w:multiLevelType w:val="hybridMultilevel"/>
    <w:lvl w:ilvl="0">
      <w:lvlJc w:val="left"/>
      <w:lvlText w:val="%1"/>
      <w:numFmt w:val="decimal"/>
      <w:start w:val="10"/>
    </w:lvl>
  </w:abstractNum>
  <w:abstractNum w:abstractNumId="143">
    <w:nsid w:val="215641AF"/>
    <w:multiLevelType w:val="hybridMultilevel"/>
    <w:lvl w:ilvl="0">
      <w:lvlJc w:val="left"/>
      <w:lvlText w:val="(%1)"/>
      <w:numFmt w:val="lowerLetter"/>
      <w:start w:val="26"/>
    </w:lvl>
  </w:abstractNum>
  <w:abstractNum w:abstractNumId="144">
    <w:nsid w:val="53280662"/>
    <w:multiLevelType w:val="hybridMultilevel"/>
    <w:lvl w:ilvl="0">
      <w:lvlJc w:val="left"/>
      <w:lvlText w:val="%1"/>
      <w:numFmt w:val="lowerLetter"/>
      <w:start w:val="1"/>
    </w:lvl>
    <w:lvl w:ilvl="1">
      <w:lvlJc w:val="left"/>
      <w:lvlText w:val="(%2)"/>
      <w:numFmt w:val="lowerLetter"/>
      <w:start w:val="27"/>
    </w:lvl>
  </w:abstractNum>
  <w:abstractNum w:abstractNumId="145">
    <w:nsid w:val="46B24DBC"/>
    <w:multiLevelType w:val="hybridMultilevel"/>
    <w:lvl w:ilvl="0">
      <w:lvlJc w:val="left"/>
      <w:lvlText w:val="(%1)"/>
      <w:numFmt w:val="lowerLetter"/>
      <w:start w:val="9"/>
    </w:lvl>
    <w:lvl w:ilvl="1">
      <w:lvlJc w:val="left"/>
      <w:lvlText w:val="(%2)"/>
      <w:numFmt w:val="lowerLetter"/>
      <w:start w:val="29"/>
    </w:lvl>
  </w:abstractNum>
  <w:abstractNum w:abstractNumId="146">
    <w:nsid w:val="75B52783"/>
    <w:multiLevelType w:val="hybridMultilevel"/>
    <w:lvl w:ilvl="0">
      <w:lvlJc w:val="left"/>
      <w:lvlText w:val="%1"/>
      <w:numFmt w:val="lowerLetter"/>
      <w:start w:val="1"/>
    </w:lvl>
    <w:lvl w:ilvl="1">
      <w:lvlJc w:val="left"/>
      <w:lvlText w:val="(%2)"/>
      <w:numFmt w:val="lowerLetter"/>
      <w:start w:val="30"/>
    </w:lvl>
  </w:abstractNum>
  <w:abstractNum w:abstractNumId="147">
    <w:nsid w:val="57CE66B4"/>
    <w:multiLevelType w:val="hybridMultilevel"/>
    <w:lvl w:ilvl="0">
      <w:lvlJc w:val="left"/>
      <w:lvlText w:val="(%1)"/>
      <w:numFmt w:val="lowerLetter"/>
      <w:start w:val="9"/>
    </w:lvl>
    <w:lvl w:ilvl="1">
      <w:lvlJc w:val="left"/>
      <w:lvlText w:val="(%2)"/>
      <w:numFmt w:val="lowerLetter"/>
      <w:start w:val="32"/>
    </w:lvl>
  </w:abstractNum>
  <w:abstractNum w:abstractNumId="148">
    <w:nsid w:val="67A70B69"/>
    <w:multiLevelType w:val="hybridMultilevel"/>
    <w:lvl w:ilvl="0">
      <w:lvlJc w:val="left"/>
      <w:lvlText w:val="(%1)"/>
      <w:numFmt w:val="lowerLetter"/>
      <w:start w:val="33"/>
    </w:lvl>
    <w:lvl w:ilvl="1">
      <w:lvlJc w:val="left"/>
      <w:lvlText w:val="(%2)"/>
      <w:numFmt w:val="lowerRoman"/>
      <w:start w:val="1"/>
    </w:lvl>
  </w:abstractNum>
  <w:abstractNum w:abstractNumId="149">
    <w:nsid w:val="5953172F"/>
    <w:multiLevelType w:val="hybridMultilevel"/>
    <w:lvl w:ilvl="0">
      <w:lvlJc w:val="left"/>
      <w:lvlText w:val="(%1)"/>
      <w:numFmt w:val="lowerLetter"/>
      <w:start w:val="36"/>
    </w:lvl>
  </w:abstractNum>
  <w:abstractNum w:abstractNumId="150">
    <w:nsid w:val="27EDFE3A"/>
    <w:multiLevelType w:val="hybridMultilevel"/>
    <w:lvl w:ilvl="0">
      <w:lvlJc w:val="left"/>
      <w:lvlText w:val="(%1)"/>
      <w:numFmt w:val="lowerLetter"/>
      <w:start w:val="42"/>
    </w:lvl>
  </w:abstractNum>
  <w:abstractNum w:abstractNumId="151">
    <w:nsid w:val="52AC7DFF"/>
    <w:multiLevelType w:val="hybridMultilevel"/>
    <w:lvl w:ilvl="0">
      <w:lvlJc w:val="left"/>
      <w:lvlText w:val="(%1)"/>
      <w:numFmt w:val="lowerLetter"/>
      <w:start w:val="1"/>
    </w:lvl>
  </w:abstractNum>
  <w:abstractNum w:abstractNumId="152">
    <w:nsid w:val="C4C3AF"/>
    <w:multiLevelType w:val="hybridMultilevel"/>
    <w:lvl w:ilvl="0">
      <w:lvlJc w:val="left"/>
      <w:lvlText w:val="(%1)"/>
      <w:numFmt w:val="lowerLetter"/>
      <w:start w:val="1"/>
    </w:lvl>
  </w:abstractNum>
  <w:abstractNum w:abstractNumId="153">
    <w:nsid w:val="44380727"/>
    <w:multiLevelType w:val="hybridMultilevel"/>
    <w:lvl w:ilvl="0">
      <w:lvlJc w:val="left"/>
      <w:lvlText w:val="(%1)"/>
      <w:numFmt w:val="lowerLetter"/>
      <w:start w:val="3"/>
    </w:lvl>
  </w:abstractNum>
  <w:abstractNum w:abstractNumId="154">
    <w:nsid w:val="6C053B16"/>
    <w:multiLevelType w:val="hybridMultilevel"/>
    <w:lvl w:ilvl="0">
      <w:lvlJc w:val="left"/>
      <w:lvlText w:val="%1"/>
      <w:numFmt w:val="lowerRoman"/>
      <w:start w:val="1"/>
    </w:lvl>
    <w:lvl w:ilvl="1">
      <w:lvlJc w:val="left"/>
      <w:lvlText w:val="(%2)"/>
      <w:numFmt w:val="lowerLetter"/>
      <w:start w:val="1"/>
    </w:lvl>
  </w:abstractNum>
  <w:abstractNum w:abstractNumId="155">
    <w:nsid w:val="4F294393"/>
    <w:multiLevelType w:val="hybridMultilevel"/>
    <w:lvl w:ilvl="0">
      <w:lvlJc w:val="left"/>
      <w:lvlText w:val="(%1)"/>
      <w:numFmt w:val="lowerRoman"/>
      <w:start w:val="1"/>
    </w:lvl>
    <w:lvl w:ilvl="1">
      <w:lvlJc w:val="left"/>
      <w:lvlText w:val="%2"/>
      <w:numFmt w:val="lowerLetter"/>
      <w:start w:val="1"/>
    </w:lvl>
  </w:abstractNum>
  <w:abstractNum w:abstractNumId="156">
    <w:nsid w:val="5243BFAC"/>
    <w:multiLevelType w:val="hybridMultilevel"/>
    <w:lvl w:ilvl="0">
      <w:lvlJc w:val="left"/>
      <w:lvlText w:val="(%1)"/>
      <w:numFmt w:val="lowerLetter"/>
      <w:start w:val="2"/>
    </w:lvl>
  </w:abstractNum>
  <w:abstractNum w:abstractNumId="157">
    <w:nsid w:val="425EB207"/>
    <w:multiLevelType w:val="hybridMultilevel"/>
    <w:lvl w:ilvl="0">
      <w:lvlJc w:val="left"/>
      <w:lvlText w:val="(%1)"/>
      <w:numFmt w:val="lowerLetter"/>
      <w:start w:val="6"/>
    </w:lvl>
  </w:abstractNum>
  <w:abstractNum w:abstractNumId="158">
    <w:nsid w:val="334A6F1F"/>
    <w:multiLevelType w:val="hybridMultilevel"/>
    <w:lvl w:ilvl="0">
      <w:lvlJc w:val="left"/>
      <w:lvlText w:val="(%1)"/>
      <w:numFmt w:val="lowerLetter"/>
      <w:start w:val="1"/>
    </w:lvl>
  </w:abstractNum>
  <w:abstractNum w:abstractNumId="159">
    <w:nsid w:val="2E5B12B8"/>
    <w:multiLevelType w:val="hybridMultilevel"/>
    <w:lvl w:ilvl="0">
      <w:lvlJc w:val="left"/>
      <w:lvlText w:val="(%1)"/>
      <w:numFmt w:val="lowerLetter"/>
      <w:start w:val="3"/>
    </w:lvl>
  </w:abstractNum>
  <w:abstractNum w:abstractNumId="160">
    <w:nsid w:val="5C03D76D"/>
    <w:multiLevelType w:val="hybridMultilevel"/>
    <w:lvl w:ilvl="0">
      <w:lvlJc w:val="left"/>
      <w:lvlText w:val="(%1)"/>
      <w:numFmt w:val="lowerRoman"/>
      <w:start w:val="1"/>
    </w:lvl>
  </w:abstractNum>
  <w:abstractNum w:abstractNumId="161">
    <w:nsid w:val="66A48D11"/>
    <w:multiLevelType w:val="hybridMultilevel"/>
    <w:lvl w:ilvl="0">
      <w:lvlJc w:val="left"/>
      <w:lvlText w:val="(%1)"/>
      <w:numFmt w:val="lowerLetter"/>
      <w:start w:val="2"/>
    </w:lvl>
    <w:lvl w:ilvl="1">
      <w:lvlJc w:val="left"/>
      <w:lvlText w:val="(%2)"/>
      <w:numFmt w:val="lowerRoman"/>
      <w:start w:val="1"/>
    </w:lvl>
  </w:abstractNum>
  <w:abstractNum w:abstractNumId="162">
    <w:nsid w:val="56C28E34"/>
    <w:multiLevelType w:val="hybridMultilevel"/>
    <w:lvl w:ilvl="0">
      <w:lvlJc w:val="left"/>
      <w:lvlText w:val="(%1)"/>
      <w:numFmt w:val="lowerLetter"/>
      <w:start w:val="2"/>
    </w:lvl>
  </w:abstractNum>
  <w:abstractNum w:abstractNumId="163">
    <w:nsid w:val="13916F2D"/>
    <w:multiLevelType w:val="hybridMultilevel"/>
    <w:lvl w:ilvl="0">
      <w:lvlJc w:val="left"/>
      <w:lvlText w:val="(%1)"/>
      <w:numFmt w:val="lowerLetter"/>
      <w:start w:val="1"/>
    </w:lvl>
  </w:abstractNum>
  <w:abstractNum w:abstractNumId="164">
    <w:nsid w:val="435D38D"/>
    <w:multiLevelType w:val="hybridMultilevel"/>
    <w:lvl w:ilvl="0">
      <w:lvlJc w:val="left"/>
      <w:lvlText w:val="%1"/>
      <w:numFmt w:val="decimal"/>
      <w:start w:val="1"/>
    </w:lvl>
    <w:lvl w:ilvl="1">
      <w:lvlJc w:val="left"/>
      <w:lvlText w:val="(%2)"/>
      <w:numFmt w:val="lowerLetter"/>
      <w:start w:val="2"/>
    </w:lvl>
  </w:abstractNum>
  <w:abstractNum w:abstractNumId="165">
    <w:nsid w:val="822C0EF"/>
    <w:multiLevelType w:val="hybridMultilevel"/>
    <w:lvl w:ilvl="0">
      <w:lvlJc w:val="left"/>
      <w:lvlText w:val="(%1)"/>
      <w:numFmt w:val="decimal"/>
      <w:start w:val="3"/>
    </w:lvl>
    <w:lvl w:ilvl="1">
      <w:lvlJc w:val="left"/>
      <w:lvlText w:val="(%2)"/>
      <w:numFmt w:val="lowerLetter"/>
      <w:start w:val="3"/>
    </w:lvl>
  </w:abstractNum>
  <w:abstractNum w:abstractNumId="166">
    <w:nsid w:val="57C5BB4F"/>
    <w:multiLevelType w:val="hybridMultilevel"/>
    <w:lvl w:ilvl="0">
      <w:lvlJc w:val="left"/>
      <w:lvlText w:val="(%1)"/>
      <w:numFmt w:val="decimal"/>
      <w:start w:val="1"/>
    </w:lvl>
    <w:lvl w:ilvl="1">
      <w:lvlJc w:val="left"/>
      <w:lvlText w:val="%2"/>
      <w:numFmt w:val="lowerLetter"/>
      <w:start w:val="1"/>
    </w:lvl>
  </w:abstractNum>
  <w:abstractNum w:abstractNumId="167">
    <w:nsid w:val="1803D089"/>
    <w:multiLevelType w:val="hybridMultilevel"/>
    <w:lvl w:ilvl="0">
      <w:lvlJc w:val="left"/>
      <w:lvlText w:val="(%1)"/>
      <w:numFmt w:val="lowerLetter"/>
      <w:start w:val="4"/>
    </w:lvl>
  </w:abstractNum>
  <w:abstractNum w:abstractNumId="168">
    <w:nsid w:val="4F3A06D4"/>
    <w:multiLevelType w:val="hybridMultilevel"/>
    <w:lvl w:ilvl="0">
      <w:lvlJc w:val="left"/>
      <w:lvlText w:val="(%1)"/>
      <w:numFmt w:val="upperLetter"/>
      <w:start w:val="4"/>
    </w:lvl>
  </w:abstractNum>
  <w:abstractNum w:abstractNumId="169">
    <w:nsid w:val="59A377B6"/>
    <w:multiLevelType w:val="hybridMultilevel"/>
    <w:lvl w:ilvl="0">
      <w:lvlJc w:val="left"/>
      <w:lvlText w:val="☐"/>
      <w:numFmt w:val="bullet"/>
      <w:start w:val="1"/>
    </w:lvl>
  </w:abstractNum>
  <w:abstractNum w:abstractNumId="170">
    <w:nsid w:val="48AEB063"/>
    <w:multiLevelType w:val="hybridMultilevel"/>
    <w:lvl w:ilvl="0">
      <w:lvlJc w:val="left"/>
      <w:lvlText w:val="%1."/>
      <w:numFmt w:val="upperLetter"/>
      <w:start w:val="61"/>
    </w:lvl>
  </w:abstractNum>
  <w:abstractNum w:abstractNumId="171">
    <w:nsid w:val="24E135"/>
    <w:multiLevelType w:val="hybridMultilevel"/>
    <w:lvl w:ilvl="0">
      <w:lvlJc w:val="left"/>
      <w:lvlText w:val="(%1)"/>
      <w:numFmt w:val="upperLetter"/>
      <w:start w:val="1"/>
    </w:lvl>
  </w:abstractNum>
  <w:abstractNum w:abstractNumId="172">
    <w:nsid w:val="BB13C1"/>
    <w:multiLevelType w:val="hybridMultilevel"/>
    <w:lvl w:ilvl="0">
      <w:lvlJc w:val="left"/>
      <w:lvlText w:val="☐"/>
      <w:numFmt w:val="bullet"/>
      <w:start w:val="1"/>
    </w:lvl>
  </w:abstractNum>
  <w:abstractNum w:abstractNumId="173">
    <w:nsid w:val="271210C7"/>
    <w:multiLevelType w:val="hybridMultilevel"/>
    <w:lvl w:ilvl="0">
      <w:lvlJc w:val="left"/>
      <w:lvlText w:val="(%1)"/>
      <w:numFmt w:val="upperLetter"/>
      <w:start w:val="2"/>
    </w:lvl>
  </w:abstractNum>
  <w:abstractNum w:abstractNumId="174">
    <w:nsid w:val="217B22E4"/>
    <w:multiLevelType w:val="hybridMultilevel"/>
    <w:lvl w:ilvl="0">
      <w:lvlJc w:val="left"/>
      <w:lvlText w:val="(%1)"/>
      <w:numFmt w:val="upperLetter"/>
      <w:start w:val="3"/>
    </w:lvl>
  </w:abstractNum>
  <w:abstractNum w:abstractNumId="175">
    <w:nsid w:val="53E31A24"/>
    <w:multiLevelType w:val="hybridMultilevel"/>
    <w:lvl w:ilvl="0">
      <w:lvlJc w:val="left"/>
      <w:lvlText w:val="%1"/>
      <w:numFmt w:val="decimal"/>
      <w:start w:val="12"/>
    </w:lvl>
  </w:abstractNum>
  <w:abstractNum w:abstractNumId="176">
    <w:nsid w:val="6DC45E83"/>
    <w:multiLevelType w:val="hybridMultilevel"/>
    <w:lvl w:ilvl="0">
      <w:lvlJc w:val="left"/>
      <w:lvlText w:val="%1"/>
      <w:numFmt w:val="decimal"/>
      <w:start w:val="14"/>
    </w:lvl>
  </w:abstractNum>
  <w:abstractNum w:abstractNumId="177">
    <w:nsid w:val="17304A67"/>
    <w:multiLevelType w:val="hybridMultilevel"/>
    <w:lvl w:ilvl="0">
      <w:lvlJc w:val="left"/>
      <w:lvlText w:val="%1"/>
      <w:numFmt w:val="decimal"/>
      <w:start w:val="15"/>
    </w:lvl>
  </w:abstractNum>
  <w:abstractNum w:abstractNumId="178">
    <w:nsid w:val="2BB180D8"/>
    <w:multiLevelType w:val="hybridMultilevel"/>
    <w:lvl w:ilvl="0">
      <w:lvlJc w:val="left"/>
      <w:lvlText w:val="(%1)"/>
      <w:numFmt w:val="lowerRoman"/>
      <w:start w:val="2"/>
    </w:lvl>
  </w:abstractNum>
  <w:abstractNum w:abstractNumId="179">
    <w:nsid w:val="556B69ED"/>
    <w:multiLevelType w:val="hybridMultilevel"/>
    <w:lvl w:ilvl="0">
      <w:lvlJc w:val="left"/>
      <w:lvlText w:val="%1"/>
      <w:numFmt w:val="decimal"/>
      <w:start w:val="19"/>
    </w:lvl>
  </w:abstractNum>
  <w:abstractNum w:abstractNumId="180">
    <w:nsid w:val="70836196"/>
    <w:multiLevelType w:val="hybridMultilevel"/>
    <w:lvl w:ilvl="0">
      <w:lvlJc w:val="left"/>
      <w:lvlText w:val="(%1)"/>
      <w:numFmt w:val="decimal"/>
      <w:start w:val="2"/>
    </w:lvl>
  </w:abstractNum>
  <w:abstractNum w:abstractNumId="181">
    <w:nsid w:val="539F7F12"/>
    <w:multiLevelType w:val="hybridMultilevel"/>
    <w:lvl w:ilvl="0">
      <w:lvlJc w:val="left"/>
      <w:lvlText w:val="☐"/>
      <w:numFmt w:val="bullet"/>
      <w:start w:val="1"/>
    </w:lvl>
  </w:abstractNum>
  <w:abstractNum w:abstractNumId="182">
    <w:nsid w:val="2817E7EC"/>
    <w:multiLevelType w:val="hybridMultilevel"/>
    <w:lvl w:ilvl="0">
      <w:lvlJc w:val="left"/>
      <w:lvlText w:val="%1."/>
      <w:numFmt w:val="upperLetter"/>
      <w:start w:val="22"/>
    </w:lvl>
  </w:abstractNum>
  <w:abstractNum w:abstractNumId="183">
    <w:nsid w:val="71482545"/>
    <w:multiLevelType w:val="hybridMultilevel"/>
    <w:lvl w:ilvl="0">
      <w:lvlJc w:val="left"/>
      <w:lvlText w:val="%1"/>
      <w:numFmt w:val="decimal"/>
      <w:start w:val="21"/>
    </w:lvl>
  </w:abstractNum>
  <w:abstractNum w:abstractNumId="184">
    <w:nsid w:val="17D78639"/>
    <w:multiLevelType w:val="hybridMultilevel"/>
    <w:lvl w:ilvl="0">
      <w:lvlJc w:val="left"/>
      <w:lvlText w:val="%1"/>
      <w:numFmt w:val="decimal"/>
      <w:start w:val="22"/>
    </w:lvl>
  </w:abstractNum>
  <w:abstractNum w:abstractNumId="185">
    <w:nsid w:val="141D2302"/>
    <w:multiLevelType w:val="hybridMultilevel"/>
    <w:lvl w:ilvl="0">
      <w:lvlJc w:val="left"/>
      <w:lvlText w:val="(%1)"/>
      <w:numFmt w:val="lowerRoman"/>
      <w:start w:val="4"/>
    </w:lvl>
  </w:abstractNum>
  <w:abstractNum w:abstractNumId="186">
    <w:nsid w:val="407168D8"/>
    <w:multiLevelType w:val="hybridMultilevel"/>
    <w:lvl w:ilvl="0">
      <w:lvlJc w:val="left"/>
      <w:lvlText w:val="☐"/>
      <w:numFmt w:val="bullet"/>
      <w:start w:val="1"/>
    </w:lvl>
  </w:abstractNum>
  <w:abstractNum w:abstractNumId="187">
    <w:nsid w:val="6A1B45E5"/>
    <w:multiLevelType w:val="hybridMultilevel"/>
    <w:lvl w:ilvl="0">
      <w:lvlJc w:val="left"/>
      <w:lvlText w:val="%1"/>
      <w:numFmt w:val="decimal"/>
      <w:start w:val="24"/>
    </w:lvl>
  </w:abstractNum>
  <w:abstractNum w:abstractNumId="188">
    <w:nsid w:val="567BD50A"/>
    <w:multiLevelType w:val="hybridMultilevel"/>
    <w:lvl w:ilvl="0">
      <w:lvlJc w:val="left"/>
      <w:lvlText w:val="☐"/>
      <w:numFmt w:val="bullet"/>
      <w:start w:val="1"/>
    </w:lvl>
  </w:abstractNum>
  <w:abstractNum w:abstractNumId="189">
    <w:nsid w:val="73BBD7F8"/>
    <w:multiLevelType w:val="hybridMultilevel"/>
    <w:lvl w:ilvl="0">
      <w:lvlJc w:val="left"/>
      <w:lvlText w:val="☐"/>
      <w:numFmt w:val="bullet"/>
      <w:start w:val="1"/>
    </w:lvl>
  </w:abstractNum>
  <w:abstractNum w:abstractNumId="190">
    <w:nsid w:val="1876589D"/>
    <w:multiLevelType w:val="hybridMultilevel"/>
    <w:lvl w:ilvl="0">
      <w:lvlJc w:val="left"/>
      <w:lvlText w:val="(%1)"/>
      <w:numFmt w:val="upperLetter"/>
      <w:start w:val="4"/>
    </w:lvl>
  </w:abstractNum>
  <w:abstractNum w:abstractNumId="191">
    <w:nsid w:val="327FAC77"/>
    <w:multiLevelType w:val="hybridMultilevel"/>
    <w:lvl w:ilvl="0">
      <w:lvlJc w:val="left"/>
      <w:lvlText w:val="%1"/>
      <w:numFmt w:val="decimal"/>
      <w:start w:val="26"/>
    </w:lvl>
  </w:abstractNum>
  <w:abstractNum w:abstractNumId="192">
    <w:nsid w:val="5A606509"/>
    <w:multiLevelType w:val="hybridMultilevel"/>
    <w:lvl w:ilvl="0">
      <w:lvlJc w:val="left"/>
      <w:lvlText w:val="☐"/>
      <w:numFmt w:val="bullet"/>
      <w:start w:val="1"/>
    </w:lvl>
  </w:abstractNum>
  <w:abstractNum w:abstractNumId="193">
    <w:nsid w:val="6F38E6D1"/>
    <w:multiLevelType w:val="hybridMultilevel"/>
    <w:lvl w:ilvl="0">
      <w:lvlJc w:val="left"/>
      <w:lvlText w:val="(%1)"/>
      <w:numFmt w:val="upperLetter"/>
      <w:start w:val="6"/>
    </w:lvl>
    <w:lvl w:ilvl="1">
      <w:lvlJc w:val="left"/>
      <w:lvlText w:val="(%2)"/>
      <w:numFmt w:val="decimal"/>
      <w:start w:val="1"/>
    </w:lvl>
  </w:abstractNum>
  <w:abstractNum w:abstractNumId="194">
    <w:nsid w:val="46111BA5"/>
    <w:multiLevelType w:val="hybridMultilevel"/>
    <w:lvl w:ilvl="0">
      <w:lvlJc w:val="left"/>
      <w:lvlText w:val="(%1)"/>
      <w:numFmt w:val="decimal"/>
      <w:start w:val="2"/>
    </w:lvl>
    <w:lvl w:ilvl="1">
      <w:lvlJc w:val="left"/>
      <w:lvlText w:val="(%2)"/>
      <w:numFmt w:val="lowerLetter"/>
      <w:start w:val="1"/>
    </w:lvl>
  </w:abstractNum>
  <w:abstractNum w:abstractNumId="195">
    <w:nsid w:val="5E963896"/>
    <w:multiLevelType w:val="hybridMultilevel"/>
    <w:lvl w:ilvl="0">
      <w:lvlJc w:val="left"/>
      <w:lvlText w:val="(%1)"/>
      <w:numFmt w:val="upperLetter"/>
      <w:start w:val="7"/>
    </w:lvl>
  </w:abstractNum>
  <w:abstractNum w:abstractNumId="196">
    <w:nsid w:val="775BA7C1"/>
    <w:multiLevelType w:val="hybridMultilevel"/>
    <w:lvl w:ilvl="0">
      <w:lvlJc w:val="left"/>
      <w:lvlText w:val="%1"/>
      <w:numFmt w:val="decimal"/>
      <w:start w:val="28"/>
    </w:lvl>
  </w:abstractNum>
  <w:abstractNum w:abstractNumId="197">
    <w:nsid w:val="1DD6D6F4"/>
    <w:multiLevelType w:val="hybridMultilevel"/>
    <w:lvl w:ilvl="0">
      <w:lvlJc w:val="left"/>
      <w:lvlText w:val="%1"/>
      <w:numFmt w:val="decimal"/>
      <w:start w:val="30"/>
    </w:lvl>
  </w:abstractNum>
  <w:abstractNum w:abstractNumId="198">
    <w:nsid w:val="769A091F"/>
    <w:multiLevelType w:val="hybridMultilevel"/>
    <w:lvl w:ilvl="0">
      <w:lvlJc w:val="left"/>
      <w:lvlText w:val="%1."/>
      <w:numFmt w:val="upperLetter"/>
      <w:start w:val="24"/>
    </w:lvl>
  </w:abstractNum>
  <w:abstractNum w:abstractNumId="199">
    <w:nsid w:val="4695AE95"/>
    <w:multiLevelType w:val="hybridMultilevel"/>
    <w:lvl w:ilvl="0">
      <w:lvlJc w:val="left"/>
      <w:lvlText w:val="(%1)"/>
      <w:numFmt w:val="upperLetter"/>
      <w:start w:val="1"/>
    </w:lvl>
  </w:abstractNum>
  <w:abstractNum w:abstractNumId="200">
    <w:nsid w:val="777A4EAA"/>
    <w:multiLevelType w:val="hybridMultilevel"/>
    <w:lvl w:ilvl="0">
      <w:lvlJc w:val="left"/>
      <w:lvlText w:val="(%1)"/>
      <w:numFmt w:val="upperLetter"/>
      <w:start w:val="1"/>
    </w:lvl>
  </w:abstractNum>
  <w:abstractNum w:abstractNumId="201">
    <w:nsid w:val="3F48B982"/>
    <w:multiLevelType w:val="hybridMultilevel"/>
    <w:lvl w:ilvl="0">
      <w:lvlJc w:val="left"/>
      <w:lvlText w:val="(%1)"/>
      <w:numFmt w:val="upperLetter"/>
      <w:start w:val="4"/>
    </w:lvl>
  </w:abstractNum>
  <w:abstractNum w:abstractNumId="202">
    <w:nsid w:val="46BA8FCA"/>
    <w:multiLevelType w:val="hybridMultilevel"/>
    <w:lvl w:ilvl="0">
      <w:lvlJc w:val="left"/>
      <w:lvlText w:val="☐"/>
      <w:numFmt w:val="bullet"/>
      <w:start w:val="1"/>
    </w:lvl>
  </w:abstractNum>
  <w:abstractNum w:abstractNumId="203">
    <w:nsid w:val="7835626C"/>
    <w:multiLevelType w:val="hybridMultilevel"/>
    <w:lvl w:ilvl="0">
      <w:lvlJc w:val="left"/>
      <w:lvlText w:val="%1"/>
      <w:numFmt w:val="decimal"/>
      <w:start w:val="33"/>
    </w:lvl>
  </w:abstractNum>
  <w:abstractNum w:abstractNumId="204">
    <w:nsid w:val="665ACA49"/>
    <w:multiLevelType w:val="hybridMultilevel"/>
    <w:lvl w:ilvl="0">
      <w:lvlJc w:val="left"/>
      <w:lvlText w:val="(%1)"/>
      <w:numFmt w:val="lowerLetter"/>
      <w:start w:val="4"/>
    </w:lvl>
  </w:abstractNum>
  <w:abstractNum w:abstractNumId="205">
    <w:nsid w:val="6835B2AE"/>
    <w:multiLevelType w:val="hybridMultilevel"/>
    <w:lvl w:ilvl="0">
      <w:lvlJc w:val="left"/>
      <w:lvlText w:val="%1"/>
      <w:numFmt w:val="decimal"/>
      <w:start w:val="34"/>
    </w:lvl>
    <w:lvl w:ilvl="1">
      <w:lvlJc w:val="left"/>
      <w:lvlText w:val="(%2)"/>
      <w:numFmt w:val="lowerLetter"/>
      <w:start w:val="1"/>
    </w:lvl>
    <w:lvl w:ilvl="2">
      <w:lvlJc w:val="left"/>
      <w:lvlText w:val="(%3)"/>
      <w:numFmt w:val="lowerRoman"/>
      <w:start w:val="1"/>
    </w:lvl>
  </w:abstractNum>
  <w:abstractNum w:abstractNumId="206">
    <w:nsid w:val="4C187C90"/>
    <w:multiLevelType w:val="hybridMultilevel"/>
    <w:lvl w:ilvl="0">
      <w:lvlJc w:val="left"/>
      <w:lvlText w:val="(%1)"/>
      <w:numFmt w:val="upperLetter"/>
      <w:start w:val="5"/>
    </w:lvl>
    <w:lvl w:ilvl="1">
      <w:lvlJc w:val="left"/>
      <w:lvlText w:val="☐"/>
      <w:numFmt w:val="bullet"/>
      <w:start w:val="1"/>
    </w:lvl>
    <w:lvl w:ilvl="2">
      <w:lvlJc w:val="left"/>
      <w:lvlText w:val="☐"/>
      <w:numFmt w:val="bullet"/>
      <w:start w:val="1"/>
    </w:lvl>
  </w:abstractNum>
  <w:abstractNum w:abstractNumId="207">
    <w:nsid w:val="541F28CD"/>
    <w:multiLevelType w:val="hybridMultilevel"/>
    <w:lvl w:ilvl="0">
      <w:lvlJc w:val="left"/>
      <w:lvlText w:val="☐"/>
      <w:numFmt w:val="bullet"/>
      <w:start w:val="1"/>
    </w:lvl>
  </w:abstractNum>
  <w:abstractNum w:abstractNumId="208">
    <w:nsid w:val="7F65FD16"/>
    <w:multiLevelType w:val="hybridMultilevel"/>
    <w:lvl w:ilvl="0">
      <w:lvlJc w:val="left"/>
      <w:lvlText w:val="%1"/>
      <w:numFmt w:val="decimal"/>
      <w:start w:val="36"/>
    </w:lvl>
  </w:abstractNum>
  <w:abstractNum w:abstractNumId="209">
    <w:nsid w:val="77C9FD68"/>
    <w:multiLevelType w:val="hybridMultilevel"/>
    <w:lvl w:ilvl="0">
      <w:lvlJc w:val="left"/>
      <w:lvlText w:val="☐"/>
      <w:numFmt w:val="bullet"/>
      <w:start w:val="1"/>
    </w:lvl>
  </w:abstractNum>
  <w:abstractNum w:abstractNumId="210">
    <w:nsid w:val="298A92BA"/>
    <w:multiLevelType w:val="hybridMultilevel"/>
    <w:lvl w:ilvl="0">
      <w:lvlJc w:val="left"/>
      <w:lvlText w:val="☐"/>
      <w:numFmt w:val="bullet"/>
      <w:start w:val="1"/>
    </w:lvl>
    <w:lvl w:ilvl="1">
      <w:lvlJc w:val="left"/>
      <w:lvlText w:val="(%2)"/>
      <w:numFmt w:val="lowerLetter"/>
      <w:start w:val="1"/>
    </w:lvl>
  </w:abstractNum>
  <w:abstractNum w:abstractNumId="211">
    <w:nsid w:val="6FE95EAC"/>
    <w:multiLevelType w:val="hybridMultilevel"/>
    <w:lvl w:ilvl="0">
      <w:lvlJc w:val="left"/>
      <w:lvlText w:val="%1"/>
      <w:numFmt w:val="decimal"/>
      <w:start w:val="40"/>
    </w:lvl>
  </w:abstractNum>
  <w:abstractNum w:abstractNumId="212">
    <w:nsid w:val="4B697C7A"/>
    <w:multiLevelType w:val="hybridMultilevel"/>
    <w:lvl w:ilvl="0">
      <w:lvlJc w:val="left"/>
      <w:lvlText w:val="☐"/>
      <w:numFmt w:val="bullet"/>
      <w:start w:val="1"/>
    </w:lvl>
    <w:lvl w:ilvl="1">
      <w:lvlJc w:val="left"/>
      <w:lvlText w:val="(%2)"/>
      <w:numFmt w:val="lowerLetter"/>
      <w:start w:val="1"/>
    </w:lvl>
  </w:abstractNum>
  <w:abstractNum w:abstractNumId="213">
    <w:nsid w:val="51A27AA6"/>
    <w:multiLevelType w:val="hybridMultilevel"/>
    <w:lvl w:ilvl="0">
      <w:lvlJc w:val="left"/>
      <w:lvlText w:val="☐"/>
      <w:numFmt w:val="bullet"/>
      <w:start w:val="1"/>
    </w:lvl>
  </w:abstractNum>
  <w:abstractNum w:abstractNumId="214">
    <w:nsid w:val="613183F2"/>
    <w:multiLevelType w:val="hybridMultilevel"/>
    <w:lvl w:ilvl="0">
      <w:lvlJc w:val="left"/>
      <w:lvlText w:val="☐"/>
      <w:numFmt w:val="bullet"/>
      <w:start w:val="1"/>
    </w:lvl>
    <w:lvl w:ilvl="1">
      <w:lvlJc w:val="left"/>
      <w:lvlText w:val="(%2)"/>
      <w:numFmt w:val="lowerLetter"/>
      <w:start w:val="1"/>
    </w:lvl>
  </w:abstractNum>
  <w:abstractNum w:abstractNumId="215">
    <w:nsid w:val="634102B4"/>
    <w:multiLevelType w:val="hybridMultilevel"/>
    <w:lvl w:ilvl="0">
      <w:lvlJc w:val="left"/>
      <w:lvlText w:val="%1"/>
      <w:numFmt w:val="decimal"/>
      <w:start w:val="43"/>
    </w:lvl>
  </w:abstractNum>
  <w:abstractNum w:abstractNumId="216">
    <w:nsid w:val="65BF9DA8"/>
    <w:multiLevelType w:val="hybridMultilevel"/>
    <w:lvl w:ilvl="0">
      <w:lvlJc w:val="left"/>
      <w:lvlText w:val="(%1)"/>
      <w:numFmt w:val="upperLetter"/>
      <w:start w:val="2"/>
    </w:lvl>
  </w:abstractNum>
  <w:abstractNum w:abstractNumId="217">
    <w:nsid w:val="21A2ECCA"/>
    <w:multiLevelType w:val="hybridMultilevel"/>
    <w:lvl w:ilvl="0">
      <w:lvlJc w:val="left"/>
      <w:lvlText w:val="%1"/>
      <w:numFmt w:val="decimal"/>
      <w:start w:val="45"/>
    </w:lvl>
  </w:abstractNum>
  <w:abstractNum w:abstractNumId="218">
    <w:nsid w:val="4D5C4899"/>
    <w:multiLevelType w:val="hybridMultilevel"/>
    <w:lvl w:ilvl="0">
      <w:lvlJc w:val="left"/>
      <w:lvlText w:val="%1"/>
      <w:numFmt w:val="decimal"/>
      <w:start w:val="48"/>
    </w:lvl>
  </w:abstractNum>
  <w:abstractNum w:abstractNumId="219">
    <w:nsid w:val="3C3B72B2"/>
    <w:multiLevelType w:val="hybridMultilevel"/>
    <w:lvl w:ilvl="0">
      <w:lvlJc w:val="left"/>
      <w:lvlText w:val="(%1)"/>
      <w:numFmt w:val="upperLetter"/>
      <w:start w:val="3"/>
    </w:lvl>
  </w:abstractNum>
  <w:abstractNum w:abstractNumId="220">
    <w:nsid w:val="155EC4C2"/>
    <w:multiLevelType w:val="hybridMultilevel"/>
    <w:lvl w:ilvl="0">
      <w:lvlJc w:val="left"/>
      <w:lvlText w:val="☐"/>
      <w:numFmt w:val="bullet"/>
      <w:start w:val="1"/>
    </w:lvl>
  </w:abstractNum>
  <w:abstractNum w:abstractNumId="221">
    <w:nsid w:val="65D2A137"/>
    <w:multiLevelType w:val="hybridMultilevel"/>
    <w:lvl w:ilvl="0">
      <w:lvlJc w:val="left"/>
      <w:lvlText w:val="•"/>
      <w:numFmt w:val="bullet"/>
      <w:start w:val="1"/>
    </w:lvl>
  </w:abstractNum>
  <w:abstractNum w:abstractNumId="222">
    <w:nsid w:val="6EBB1F2A"/>
    <w:multiLevelType w:val="hybridMultilevel"/>
    <w:lvl w:ilvl="0">
      <w:lvlJc w:val="left"/>
      <w:lvlText w:val="•"/>
      <w:numFmt w:val="bullet"/>
      <w:start w:val="1"/>
    </w:lvl>
  </w:abstractNum>
  <w:abstractNum w:abstractNumId="223">
    <w:nsid w:val="6FBF29CB"/>
    <w:multiLevelType w:val="hybridMultilevel"/>
    <w:lvl w:ilvl="0">
      <w:lvlJc w:val="left"/>
      <w:lvlText w:val="•"/>
      <w:numFmt w:val="bullet"/>
      <w:start w:val="1"/>
    </w:lvl>
    <w:lvl w:ilvl="1">
      <w:lvlJc w:val="left"/>
      <w:lvlText w:val="•"/>
      <w:numFmt w:val="bullet"/>
      <w:start w:val="1"/>
    </w:lvl>
  </w:abstractNum>
  <w:abstractNum w:abstractNumId="224">
    <w:nsid w:val="550B8808"/>
    <w:multiLevelType w:val="hybridMultilevel"/>
    <w:lvl w:ilvl="0">
      <w:lvlJc w:val="left"/>
      <w:lvlText w:val="•"/>
      <w:numFmt w:val="bullet"/>
      <w:start w:val="1"/>
    </w:lvl>
  </w:abstractNum>
  <w:abstractNum w:abstractNumId="225">
    <w:nsid w:val="34CC3ACF"/>
    <w:multiLevelType w:val="hybridMultilevel"/>
    <w:lvl w:ilvl="0">
      <w:lvlJc w:val="left"/>
      <w:lvlText w:val="•"/>
      <w:numFmt w:val="bullet"/>
      <w:start w:val="1"/>
    </w:lvl>
  </w:abstractNum>
  <w:abstractNum w:abstractNumId="226">
    <w:nsid w:val="4E556261"/>
    <w:multiLevelType w:val="hybridMultilevel"/>
    <w:lvl w:ilvl="0">
      <w:lvlJc w:val="left"/>
      <w:lvlText w:val="•"/>
      <w:numFmt w:val="bullet"/>
      <w:start w:val="1"/>
    </w:lvl>
  </w:abstractNum>
  <w:abstractNum w:abstractNumId="227">
    <w:nsid w:val="4C672FC9"/>
    <w:multiLevelType w:val="hybridMultilevel"/>
    <w:lvl w:ilvl="0">
      <w:lvlJc w:val="left"/>
      <w:lvlText w:val="(%1)"/>
      <w:numFmt w:val="lowerRoman"/>
      <w:start w:val="2"/>
    </w:lvl>
  </w:abstractNum>
  <w:abstractNum w:abstractNumId="228">
    <w:nsid w:val="52A311C3"/>
    <w:multiLevelType w:val="hybridMultilevel"/>
    <w:lvl w:ilvl="0">
      <w:lvlJc w:val="left"/>
      <w:lvlText w:val="%1."/>
      <w:numFmt w:val="decimal"/>
      <w:start w:val="1"/>
    </w:lvl>
  </w:abstractNum>
  <w:abstractNum w:abstractNumId="229">
    <w:nsid w:val="44EF6B80"/>
    <w:multiLevelType w:val="hybridMultilevel"/>
    <w:lvl w:ilvl="0">
      <w:lvlJc w:val="left"/>
      <w:lvlText w:val="(%1)"/>
      <w:numFmt w:val="lowerLetter"/>
      <w:start w:val="1"/>
    </w:lvl>
  </w:abstractNum>
  <w:abstractNum w:abstractNumId="230">
    <w:nsid w:val="12FCDE5E"/>
    <w:multiLevelType w:val="hybridMultilevel"/>
    <w:lvl w:ilvl="0">
      <w:lvlJc w:val="left"/>
      <w:lvlText w:val="(%1)"/>
      <w:numFmt w:val="lowerLetter"/>
      <w:start w:val="61"/>
    </w:lvl>
  </w:abstractNum>
  <w:abstractNum w:abstractNumId="231">
    <w:nsid w:val="4A1D606E"/>
    <w:multiLevelType w:val="hybridMultilevel"/>
    <w:lvl w:ilvl="0">
      <w:lvlJc w:val="left"/>
      <w:lvlText w:val="(%1)"/>
      <w:numFmt w:val="lowerLetter"/>
      <w:start w:val="61"/>
    </w:lvl>
  </w:abstractNum>
  <w:abstractNum w:abstractNumId="232">
    <w:nsid w:val="4382503"/>
    <w:multiLevelType w:val="hybridMultilevel"/>
    <w:lvl w:ilvl="0">
      <w:lvlJc w:val="left"/>
      <w:lvlText w:val="(%1)"/>
      <w:numFmt w:val="lowerLetter"/>
      <w:start w:val="2"/>
    </w:lvl>
  </w:abstractNum>
  <w:abstractNum w:abstractNumId="233">
    <w:nsid w:val="59B76E28"/>
    <w:multiLevelType w:val="hybridMultilevel"/>
    <w:lvl w:ilvl="0">
      <w:lvlJc w:val="left"/>
      <w:lvlText w:val="%1."/>
      <w:numFmt w:val="decimal"/>
      <w:start w:val="2"/>
    </w:lvl>
  </w:abstractNum>
  <w:abstractNum w:abstractNumId="234">
    <w:nsid w:val="4252C2DA"/>
    <w:multiLevelType w:val="hybridMultilevel"/>
    <w:lvl w:ilvl="0">
      <w:lvlJc w:val="left"/>
      <w:lvlText w:val="(%1)"/>
      <w:numFmt w:val="lowerLetter"/>
      <w:start w:val="1"/>
    </w:lvl>
  </w:abstractNum>
  <w:abstractNum w:abstractNumId="235">
    <w:nsid w:val="6A92EF4C"/>
    <w:multiLevelType w:val="hybridMultilevel"/>
    <w:lvl w:ilvl="0">
      <w:lvlJc w:val="left"/>
      <w:lvlText w:val="(%1)"/>
      <w:numFmt w:val="lowerLetter"/>
      <w:start w:val="5"/>
    </w:lvl>
  </w:abstractNum>
  <w:abstractNum w:abstractNumId="236">
    <w:nsid w:val="41ED20D7"/>
    <w:multiLevelType w:val="hybridMultilevel"/>
    <w:lvl w:ilvl="0">
      <w:lvlJc w:val="left"/>
      <w:lvlText w:val="(%1)"/>
      <w:numFmt w:val="lowerLetter"/>
      <w:start w:val="25"/>
    </w:lvl>
  </w:abstractNum>
  <w:abstractNum w:abstractNumId="237">
    <w:nsid w:val="E6B3F6A"/>
    <w:multiLevelType w:val="hybridMultilevel"/>
    <w:lvl w:ilvl="0">
      <w:lvlJc w:val="left"/>
      <w:lvlText w:val="(%1)"/>
      <w:numFmt w:val="lowerLetter"/>
      <w:start w:val="27"/>
    </w:lvl>
  </w:abstractNum>
  <w:abstractNum w:abstractNumId="238">
    <w:nsid w:val="3EB21819"/>
    <w:multiLevelType w:val="hybridMultilevel"/>
    <w:lvl w:ilvl="0">
      <w:lvlJc w:val="left"/>
      <w:lvlText w:val="%1."/>
      <w:numFmt w:val="decimal"/>
      <w:start w:val="3"/>
    </w:lvl>
  </w:abstractNum>
  <w:abstractNum w:abstractNumId="239">
    <w:nsid w:val="41531DED"/>
    <w:multiLevelType w:val="hybridMultilevel"/>
    <w:lvl w:ilvl="0">
      <w:lvlJc w:val="left"/>
      <w:lvlText w:val="(%1)"/>
      <w:numFmt w:val="lowerLetter"/>
      <w:start w:val="1"/>
    </w:lvl>
    <w:lvl w:ilvl="1">
      <w:lvlJc w:val="left"/>
      <w:lvlText w:val="(%2)"/>
      <w:numFmt w:val="lowerRoman"/>
      <w:start w:val="1"/>
    </w:lvl>
  </w:abstractNum>
  <w:abstractNum w:abstractNumId="240">
    <w:nsid w:val="6353CD2"/>
    <w:multiLevelType w:val="hybridMultilevel"/>
    <w:lvl w:ilvl="0">
      <w:lvlJc w:val="left"/>
      <w:lvlText w:val="1"/>
      <w:numFmt w:val="bullet"/>
      <w:start w:val="1"/>
    </w:lvl>
  </w:abstractNum>
  <w:abstractNum w:abstractNumId="241">
    <w:nsid w:val="683CAAD3"/>
    <w:multiLevelType w:val="hybridMultilevel"/>
    <w:lvl w:ilvl="0">
      <w:lvlJc w:val="left"/>
      <w:lvlText w:val="2"/>
      <w:numFmt w:val="bullet"/>
      <w:start w:val="1"/>
    </w:lvl>
  </w:abstractNum>
  <w:abstractNum w:abstractNumId="242">
    <w:nsid w:val="313C7C99"/>
    <w:multiLevelType w:val="hybridMultilevel"/>
    <w:lvl w:ilvl="0">
      <w:lvlJc w:val="left"/>
      <w:lvlText w:val="•"/>
      <w:numFmt w:val="bullet"/>
      <w:start w:val="1"/>
    </w:lvl>
  </w:abstractNum>
  <w:abstractNum w:abstractNumId="243">
    <w:nsid w:val="519EB94C"/>
    <w:multiLevelType w:val="hybridMultilevel"/>
    <w:lvl w:ilvl="0">
      <w:lvlJc w:val="left"/>
      <w:lvlText w:val="(%1)"/>
      <w:numFmt w:val="lowerRoman"/>
      <w:start w:val="2"/>
    </w:lvl>
  </w:abstractNum>
  <w:abstractNum w:abstractNumId="244">
    <w:nsid w:val="39DF2579"/>
    <w:multiLevelType w:val="hybridMultilevel"/>
    <w:lvl w:ilvl="0">
      <w:lvlJc w:val="left"/>
      <w:lvlText w:val="(%1)"/>
      <w:numFmt w:val="upperLetter"/>
      <w:start w:val="1"/>
    </w:lvl>
    <w:lvl w:ilvl="1">
      <w:lvlJc w:val="left"/>
      <w:lvlText w:val="(%2)"/>
      <w:numFmt w:val="upperLetter"/>
      <w:start w:val="9"/>
    </w:lvl>
  </w:abstractNum>
  <w:abstractNum w:abstractNumId="245">
    <w:nsid w:val="126E008B"/>
    <w:multiLevelType w:val="hybridMultilevel"/>
    <w:lvl w:ilvl="0">
      <w:lvlJc w:val="left"/>
      <w:lvlText w:val="(%1)"/>
      <w:numFmt w:val="upperLetter"/>
      <w:start w:val="35"/>
    </w:lvl>
  </w:abstractNum>
  <w:abstractNum w:abstractNumId="246">
    <w:nsid w:val="34DFBC00"/>
    <w:multiLevelType w:val="hybridMultilevel"/>
    <w:lvl w:ilvl="0">
      <w:lvlJc w:val="left"/>
      <w:lvlText w:val="(%1)"/>
      <w:numFmt w:val="upperLetter"/>
      <w:start w:val="1"/>
    </w:lvl>
    <w:lvl w:ilvl="1">
      <w:lvlJc w:val="left"/>
      <w:lvlText w:val="(%2)"/>
      <w:numFmt w:val="upperLetter"/>
      <w:start w:val="9"/>
    </w:lvl>
  </w:abstractNum>
  <w:abstractNum w:abstractNumId="247">
    <w:nsid w:val="1F9EC322"/>
    <w:multiLevelType w:val="hybridMultilevel"/>
    <w:lvl w:ilvl="0">
      <w:lvlJc w:val="left"/>
      <w:lvlText w:val="(%1)"/>
      <w:numFmt w:val="upperLetter"/>
      <w:start w:val="35"/>
    </w:lvl>
  </w:abstractNum>
  <w:abstractNum w:abstractNumId="248">
    <w:nsid w:val="3410ED56"/>
    <w:multiLevelType w:val="hybridMultilevel"/>
    <w:lvl w:ilvl="0">
      <w:lvlJc w:val="left"/>
      <w:lvlText w:val="(%1)"/>
      <w:numFmt w:val="lowerLetter"/>
      <w:start w:val="3"/>
    </w:lvl>
  </w:abstractNum>
  <w:abstractNum w:abstractNumId="249">
    <w:nsid w:val="23C049A"/>
    <w:multiLevelType w:val="hybridMultilevel"/>
    <w:lvl w:ilvl="0">
      <w:lvlJc w:val="left"/>
      <w:lvlText w:val="%1."/>
      <w:numFmt w:val="decimal"/>
      <w:start w:val="4"/>
    </w:lvl>
  </w:abstractNum>
  <w:abstractNum w:abstractNumId="250">
    <w:nsid w:val="5BDA35D4"/>
    <w:multiLevelType w:val="hybridMultilevel"/>
    <w:lvl w:ilvl="0">
      <w:lvlJc w:val="left"/>
      <w:lvlText w:val="%1."/>
      <w:numFmt w:val="decimal"/>
      <w:start w:val="5"/>
    </w:lvl>
  </w:abstractNum>
  <w:abstractNum w:abstractNumId="251">
    <w:nsid w:val="496FB218"/>
    <w:multiLevelType w:val="hybridMultilevel"/>
    <w:lvl w:ilvl="0">
      <w:lvlJc w:val="left"/>
      <w:lvlText w:val="%1."/>
      <w:numFmt w:val="decimal"/>
      <w:start w:val="6"/>
    </w:lvl>
  </w:abstractNum>
  <w:abstractNum w:abstractNumId="252">
    <w:nsid w:val="680EA5D1"/>
    <w:multiLevelType w:val="hybridMultilevel"/>
    <w:lvl w:ilvl="0">
      <w:lvlJc w:val="left"/>
      <w:lvlText w:val="%1."/>
      <w:numFmt w:val="decimal"/>
      <w:start w:val="7"/>
    </w:lvl>
  </w:abstractNum>
  <w:abstractNum w:abstractNumId="253">
    <w:nsid w:val="4A9554FE"/>
    <w:multiLevelType w:val="hybridMultilevel"/>
    <w:lvl w:ilvl="0">
      <w:lvlJc w:val="left"/>
      <w:lvlText w:val="%1."/>
      <w:numFmt w:val="decimal"/>
      <w:start w:val="8"/>
    </w:lvl>
  </w:abstractNum>
  <w:abstractNum w:abstractNumId="254">
    <w:nsid w:val="392EDBE4"/>
    <w:multiLevelType w:val="hybridMultilevel"/>
    <w:lvl w:ilvl="0">
      <w:lvlJc w:val="left"/>
      <w:lvlText w:val="%1."/>
      <w:numFmt w:val="decimal"/>
      <w:start w:val="9"/>
    </w:lvl>
  </w:abstractNum>
  <w:abstractNum w:abstractNumId="255">
    <w:nsid w:val="3D1A2DD9"/>
    <w:multiLevelType w:val="hybridMultilevel"/>
    <w:lvl w:ilvl="0">
      <w:lvlJc w:val="left"/>
      <w:lvlText w:val="%1."/>
      <w:numFmt w:val="decimal"/>
      <w:start w:val="10"/>
    </w:lvl>
  </w:abstractNum>
  <w:abstractNum w:abstractNumId="256">
    <w:nsid w:val="7F618FCD"/>
    <w:multiLevelType w:val="hybridMultilevel"/>
    <w:lvl w:ilvl="0">
      <w:lvlJc w:val="left"/>
      <w:lvlText w:val="%1."/>
      <w:numFmt w:val="decimal"/>
      <w:start w:val="11"/>
    </w:lvl>
  </w:abstractNum>
  <w:abstractNum w:abstractNumId="257">
    <w:nsid w:val="7843E45"/>
    <w:multiLevelType w:val="hybridMultilevel"/>
    <w:lvl w:ilvl="0">
      <w:lvlJc w:val="left"/>
      <w:lvlText w:val="(%1)"/>
      <w:numFmt w:val="lowerLetter"/>
      <w:start w:val="1"/>
    </w:lvl>
  </w:abstractNum>
  <w:abstractNum w:abstractNumId="258">
    <w:nsid w:val="9815DA3"/>
    <w:multiLevelType w:val="hybridMultilevel"/>
    <w:lvl w:ilvl="0">
      <w:lvlJc w:val="left"/>
      <w:lvlText w:val="%1."/>
      <w:numFmt w:val="decimal"/>
      <w:start w:val="12"/>
    </w:lvl>
  </w:abstractNum>
  <w:abstractNum w:abstractNumId="259">
    <w:nsid w:val="5204A191"/>
    <w:multiLevelType w:val="hybridMultilevel"/>
    <w:lvl w:ilvl="0">
      <w:lvlJc w:val="left"/>
      <w:lvlText w:val="%1."/>
      <w:numFmt w:val="decimal"/>
      <w:start w:val="13"/>
    </w:lvl>
  </w:abstractNum>
  <w:abstractNum w:abstractNumId="260">
    <w:nsid w:val="4C73A9C6"/>
    <w:multiLevelType w:val="hybridMultilevel"/>
    <w:lvl w:ilvl="0">
      <w:lvlJc w:val="left"/>
      <w:lvlText w:val="%1."/>
      <w:numFmt w:val="decimal"/>
      <w:start w:val="14"/>
    </w:lvl>
  </w:abstractNum>
  <w:abstractNum w:abstractNumId="261">
    <w:nsid w:val="1C7E3C01"/>
    <w:multiLevelType w:val="hybridMultilevel"/>
    <w:lvl w:ilvl="0">
      <w:lvlJc w:val="left"/>
      <w:lvlText w:val="%1."/>
      <w:numFmt w:val="decimal"/>
      <w:start w:val="15"/>
    </w:lvl>
  </w:abstractNum>
  <w:abstractNum w:abstractNumId="262">
    <w:nsid w:val="1C2201FF"/>
    <w:multiLevelType w:val="hybridMultilevel"/>
    <w:lvl w:ilvl="0">
      <w:lvlJc w:val="left"/>
      <w:lvlText w:val="%1."/>
      <w:numFmt w:val="decimal"/>
      <w:start w:val="1"/>
    </w:lvl>
  </w:abstractNum>
  <w:abstractNum w:abstractNumId="263">
    <w:nsid w:val="50ABCEC9"/>
    <w:multiLevelType w:val="hybridMultilevel"/>
    <w:lvl w:ilvl="0">
      <w:lvlJc w:val="left"/>
      <w:lvlText w:val="(%1)"/>
      <w:numFmt w:val="lowerLetter"/>
      <w:start w:val="1"/>
    </w:lvl>
  </w:abstractNum>
  <w:abstractNum w:abstractNumId="264">
    <w:nsid w:val="7635AA2A"/>
    <w:multiLevelType w:val="hybridMultilevel"/>
    <w:lvl w:ilvl="0">
      <w:lvlJc w:val="left"/>
      <w:lvlText w:val="%1."/>
      <w:numFmt w:val="decimal"/>
      <w:start w:val="2"/>
    </w:lvl>
  </w:abstractNum>
  <w:abstractNum w:abstractNumId="265">
    <w:nsid w:val="5E74C4D9"/>
    <w:multiLevelType w:val="hybridMultilevel"/>
    <w:lvl w:ilvl="0">
      <w:lvlJc w:val="left"/>
      <w:lvlText w:val="%1."/>
      <w:numFmt w:val="decimal"/>
      <w:start w:val="3"/>
    </w:lvl>
  </w:abstractNum>
  <w:abstractNum w:abstractNumId="266">
    <w:nsid w:val="3B3EBE15"/>
    <w:multiLevelType w:val="hybridMultilevel"/>
    <w:lvl w:ilvl="0">
      <w:lvlJc w:val="left"/>
      <w:lvlText w:val="%1."/>
      <w:numFmt w:val="decimal"/>
      <w:start w:val="4"/>
    </w:lvl>
  </w:abstractNum>
  <w:abstractNum w:abstractNumId="267">
    <w:nsid w:val="3822CB01"/>
    <w:multiLevelType w:val="hybridMultilevel"/>
    <w:lvl w:ilvl="0">
      <w:lvlJc w:val="left"/>
      <w:lvlText w:val="(%1)"/>
      <w:numFmt w:val="lowerLetter"/>
      <w:start w:val="1"/>
    </w:lvl>
  </w:abstractNum>
  <w:abstractNum w:abstractNumId="268">
    <w:nsid w:val="6CE00443"/>
    <w:multiLevelType w:val="hybridMultilevel"/>
    <w:lvl w:ilvl="0">
      <w:lvlJc w:val="left"/>
      <w:lvlText w:val="(%1)"/>
      <w:numFmt w:val="lowerLetter"/>
      <w:start w:val="20"/>
    </w:lvl>
  </w:abstractNum>
  <w:abstractNum w:abstractNumId="269">
    <w:nsid w:val="79F0D62F"/>
    <w:multiLevelType w:val="hybridMultilevel"/>
    <w:lvl w:ilvl="0">
      <w:lvlJc w:val="left"/>
      <w:lvlText w:val="(%1)"/>
      <w:numFmt w:val="lowerLetter"/>
      <w:start w:val="27"/>
    </w:lvl>
  </w:abstractNum>
  <w:abstractNum w:abstractNumId="270">
    <w:nsid w:val="7975E8EE"/>
    <w:multiLevelType w:val="hybridMultilevel"/>
    <w:lvl w:ilvl="0">
      <w:lvlJc w:val="left"/>
      <w:lvlText w:val="%1."/>
      <w:numFmt w:val="decimal"/>
      <w:start w:val="5"/>
    </w:lvl>
  </w:abstractNum>
  <w:abstractNum w:abstractNumId="271">
    <w:nsid w:val="73154115"/>
    <w:multiLevelType w:val="hybridMultilevel"/>
    <w:lvl w:ilvl="0">
      <w:lvlJc w:val="left"/>
      <w:lvlText w:val="%1."/>
      <w:numFmt w:val="decimal"/>
      <w:start w:val="6"/>
    </w:lvl>
  </w:abstractNum>
  <w:abstractNum w:abstractNumId="272">
    <w:nsid w:val="622D8102"/>
    <w:multiLevelType w:val="hybridMultilevel"/>
    <w:lvl w:ilvl="0">
      <w:lvlJc w:val="left"/>
      <w:lvlText w:val="%1."/>
      <w:numFmt w:val="decimal"/>
      <w:start w:val="7"/>
    </w:lvl>
  </w:abstractNum>
  <w:abstractNum w:abstractNumId="273">
    <w:nsid w:val="2AB26587"/>
    <w:multiLevelType w:val="hybridMultilevel"/>
    <w:lvl w:ilvl="0">
      <w:lvlJc w:val="left"/>
      <w:lvlText w:val="(%1)"/>
      <w:numFmt w:val="lowerLetter"/>
      <w:start w:val="1"/>
    </w:lvl>
    <w:lvl w:ilvl="1">
      <w:lvlJc w:val="left"/>
      <w:lvlText w:val="(%2)"/>
      <w:numFmt w:val="lowerRoman"/>
      <w:start w:val="1"/>
    </w:lvl>
  </w:abstractNum>
  <w:abstractNum w:abstractNumId="274">
    <w:nsid w:val="44B3FA61"/>
    <w:multiLevelType w:val="hybridMultilevel"/>
    <w:lvl w:ilvl="0">
      <w:lvlJc w:val="left"/>
      <w:lvlText w:val="%1."/>
      <w:numFmt w:val="decimal"/>
      <w:start w:val="8"/>
    </w:lvl>
  </w:abstractNum>
  <w:abstractNum w:abstractNumId="275">
    <w:nsid w:val="1C0CA67C"/>
    <w:multiLevelType w:val="hybridMultilevel"/>
    <w:lvl w:ilvl="0">
      <w:lvlJc w:val="left"/>
      <w:lvlText w:val="%1."/>
      <w:numFmt w:val="decimal"/>
      <w:start w:val="9"/>
    </w:lvl>
  </w:abstractNum>
  <w:abstractNum w:abstractNumId="276">
    <w:nsid w:val="3D206613"/>
    <w:multiLevelType w:val="hybridMultilevel"/>
    <w:lvl w:ilvl="0">
      <w:lvlJc w:val="left"/>
      <w:lvlText w:val="%1."/>
      <w:numFmt w:val="decimal"/>
      <w:start w:val="10"/>
    </w:lvl>
  </w:abstractNum>
  <w:abstractNum w:abstractNumId="277">
    <w:nsid w:val="7993B662"/>
    <w:multiLevelType w:val="hybridMultilevel"/>
    <w:lvl w:ilvl="0">
      <w:lvlJc w:val="left"/>
      <w:lvlText w:val="%1."/>
      <w:numFmt w:val="decimal"/>
      <w:start w:val="11"/>
    </w:lvl>
  </w:abstractNum>
  <w:abstractNum w:abstractNumId="278">
    <w:nsid w:val="3BAB699E"/>
    <w:multiLevelType w:val="hybridMultilevel"/>
    <w:lvl w:ilvl="0">
      <w:lvlJc w:val="left"/>
      <w:lvlText w:val="(%1)"/>
      <w:numFmt w:val="lowerLetter"/>
      <w:start w:val="1"/>
    </w:lvl>
  </w:abstractNum>
  <w:abstractNum w:abstractNumId="279">
    <w:nsid w:val="71315369"/>
    <w:multiLevelType w:val="hybridMultilevel"/>
    <w:lvl w:ilvl="0">
      <w:lvlJc w:val="left"/>
      <w:lvlText w:val="%1."/>
      <w:numFmt w:val="decimal"/>
      <w:start w:val="1"/>
    </w:lvl>
  </w:abstractNum>
  <w:abstractNum w:abstractNumId="280">
    <w:nsid w:val="7BCFBAFC"/>
    <w:multiLevelType w:val="hybridMultilevel"/>
    <w:lvl w:ilvl="0">
      <w:lvlJc w:val="left"/>
      <w:lvlText w:val="%1."/>
      <w:numFmt w:val="decimal"/>
      <w:start w:val="5"/>
    </w:lvl>
  </w:abstractNum>
  <w:abstractNum w:abstractNumId="281">
    <w:nsid w:val="17859F72"/>
    <w:multiLevelType w:val="hybridMultilevel"/>
    <w:lvl w:ilvl="0">
      <w:lvlJc w:val="left"/>
      <w:lvlText w:val="%1."/>
      <w:numFmt w:val="decimal"/>
      <w:start w:val="12"/>
    </w:lvl>
  </w:abstractNum>
  <w:abstractNum w:abstractNumId="282">
    <w:nsid w:val="3AA10581"/>
    <w:multiLevelType w:val="hybridMultilevel"/>
    <w:lvl w:ilvl="0">
      <w:lvlJc w:val="left"/>
      <w:lvlText w:val="%1."/>
      <w:numFmt w:val="decimal"/>
      <w:start w:val="1"/>
    </w:lvl>
    <w:lvl w:ilvl="1">
      <w:lvlJc w:val="left"/>
      <w:lvlText w:val="(%2)"/>
      <w:numFmt w:val="lowerLetter"/>
      <w:start w:val="1"/>
    </w:lvl>
  </w:abstractNum>
  <w:abstractNum w:abstractNumId="283">
    <w:nsid w:val="63DE60CD"/>
    <w:multiLevelType w:val="hybridMultilevel"/>
    <w:lvl w:ilvl="0">
      <w:lvlJc w:val="left"/>
      <w:lvlText w:val="%1"/>
      <w:numFmt w:val="decimal"/>
      <w:start w:val="1"/>
    </w:lvl>
    <w:lvl w:ilvl="1">
      <w:lvlJc w:val="left"/>
      <w:lvlText w:val="(%2)"/>
      <w:numFmt w:val="lowerLetter"/>
      <w:start w:val="2"/>
    </w:lvl>
  </w:abstractNum>
  <w:abstractNum w:abstractNumId="284">
    <w:nsid w:val="621AF471"/>
    <w:multiLevelType w:val="hybridMultilevel"/>
    <w:lvl w:ilvl="0">
      <w:lvlJc w:val="left"/>
      <w:lvlText w:val="%1."/>
      <w:numFmt w:val="decimal"/>
      <w:start w:val="3"/>
    </w:lvl>
    <w:lvl w:ilvl="1">
      <w:lvlJc w:val="left"/>
      <w:lvlText w:val="(%2)"/>
      <w:numFmt w:val="lowerLetter"/>
      <w:start w:val="1"/>
    </w:lvl>
  </w:abstractNum>
  <w:abstractNum w:abstractNumId="285">
    <w:nsid w:val="73CFE165"/>
    <w:multiLevelType w:val="hybridMultilevel"/>
    <w:lvl w:ilvl="0">
      <w:lvlJc w:val="left"/>
      <w:lvlText w:val="(%1)"/>
      <w:numFmt w:val="lowerLetter"/>
      <w:start w:val="3"/>
    </w:lvl>
  </w:abstractNum>
  <w:abstractNum w:abstractNumId="286">
    <w:nsid w:val="20F88EA6"/>
    <w:multiLevelType w:val="hybridMultilevel"/>
    <w:lvl w:ilvl="0">
      <w:lvlJc w:val="left"/>
      <w:lvlText w:val="☐"/>
      <w:numFmt w:val="bullet"/>
      <w:start w:val="1"/>
    </w:lvl>
  </w:abstractNum>
  <w:abstractNum w:abstractNumId="287">
    <w:nsid w:val="617C843E"/>
    <w:multiLevelType w:val="hybridMultilevel"/>
    <w:lvl w:ilvl="0">
      <w:lvlJc w:val="left"/>
      <w:lvlText w:val="☐"/>
      <w:numFmt w:val="bullet"/>
      <w:start w:val="1"/>
    </w:lvl>
  </w:abstractNum>
  <w:abstractNum w:abstractNumId="288">
    <w:nsid w:val="7B541FAB"/>
    <w:multiLevelType w:val="hybridMultilevel"/>
    <w:lvl w:ilvl="0">
      <w:lvlJc w:val="left"/>
      <w:lvlText w:val="(%1)"/>
      <w:numFmt w:val="upperLetter"/>
      <w:start w:val="1"/>
    </w:lvl>
  </w:abstractNum>
  <w:abstractNum w:abstractNumId="289">
    <w:nsid w:val="2A79EC49"/>
    <w:multiLevelType w:val="hybridMultilevel"/>
    <w:lvl w:ilvl="0">
      <w:lvlJc w:val="left"/>
      <w:lvlText w:val="(%1)"/>
      <w:numFmt w:val="lowerRoman"/>
      <w:start w:val="1"/>
    </w:lvl>
  </w:abstractNum>
  <w:abstractNum w:abstractNumId="290">
    <w:nsid w:val="338125CF"/>
    <w:multiLevelType w:val="hybridMultilevel"/>
    <w:lvl w:ilvl="0">
      <w:lvlJc w:val="left"/>
      <w:lvlText w:val="•"/>
      <w:numFmt w:val="bullet"/>
      <w:start w:val="1"/>
    </w:lvl>
  </w:abstractNum>
  <w:abstractNum w:abstractNumId="291">
    <w:nsid w:val="47C7C971"/>
    <w:multiLevelType w:val="hybridMultilevel"/>
    <w:lvl w:ilvl="0">
      <w:lvlJc w:val="left"/>
      <w:lvlText w:val="•"/>
      <w:numFmt w:val="bullet"/>
      <w:start w:val="1"/>
    </w:lvl>
  </w:abstractNum>
  <w:abstractNum w:abstractNumId="292">
    <w:nsid w:val="46F8284B"/>
    <w:multiLevelType w:val="hybridMultilevel"/>
    <w:lvl w:ilvl="0">
      <w:lvlJc w:val="left"/>
      <w:lvlText w:val="%1."/>
      <w:numFmt w:val="upperLetter"/>
      <w:start w:val="1"/>
    </w:lvl>
  </w:abstractNum>
  <w:abstractNum w:abstractNumId="293">
    <w:nsid w:val="4FA327CE"/>
    <w:multiLevelType w:val="hybridMultilevel"/>
    <w:lvl w:ilvl="0">
      <w:lvlJc w:val="left"/>
      <w:lvlText w:val="%1."/>
      <w:numFmt w:val="upperLetter"/>
      <w:start w:val="2"/>
    </w:lvl>
  </w:abstractNum>
  <w:abstractNum w:abstractNumId="294">
    <w:nsid w:val="1873983A"/>
    <w:multiLevelType w:val="hybridMultilevel"/>
    <w:lvl w:ilvl="0">
      <w:lvlJc w:val="left"/>
      <w:lvlText w:val="•"/>
      <w:numFmt w:val="bullet"/>
      <w:start w:val="1"/>
    </w:lvl>
  </w:abstractNum>
  <w:abstractNum w:abstractNumId="295">
    <w:nsid w:val="3D2DD275"/>
    <w:multiLevelType w:val="hybridMultilevel"/>
    <w:lvl w:ilvl="0">
      <w:lvlJc w:val="left"/>
      <w:lvlText w:val="•"/>
      <w:numFmt w:val="bullet"/>
      <w:start w:val="1"/>
    </w:lvl>
  </w:abstractNum>
  <w:abstractNum w:abstractNumId="296">
    <w:nsid w:val="2E17ECA7"/>
    <w:multiLevelType w:val="hybridMultilevel"/>
    <w:lvl w:ilvl="0">
      <w:lvlJc w:val="left"/>
      <w:lvlText w:val="•"/>
      <w:numFmt w:val="bullet"/>
      <w:start w:val="1"/>
    </w:lvl>
  </w:abstractNum>
  <w:abstractNum w:abstractNumId="297">
    <w:nsid w:val="53B2564F"/>
    <w:multiLevelType w:val="hybridMultilevel"/>
    <w:lvl w:ilvl="0">
      <w:lvlJc w:val="left"/>
      <w:lvlText w:val="•"/>
      <w:numFmt w:val="bullet"/>
      <w:start w:val="1"/>
    </w:lvl>
  </w:abstractNum>
  <w:abstractNum w:abstractNumId="298">
    <w:nsid w:val="75509D76"/>
    <w:multiLevelType w:val="hybridMultilevel"/>
    <w:lvl w:ilvl="0">
      <w:lvlJc w:val="left"/>
      <w:lvlText w:val="%1"/>
      <w:numFmt w:val="decimal"/>
      <w:start w:val="13"/>
    </w:lvl>
  </w:abstractNum>
  <w:abstractNum w:abstractNumId="299">
    <w:nsid w:val="1AF7F0EA"/>
    <w:multiLevelType w:val="hybridMultilevel"/>
    <w:lvl w:ilvl="0">
      <w:lvlJc w:val="left"/>
      <w:lvlText w:val="•"/>
      <w:numFmt w:val="bullet"/>
      <w:start w:val="1"/>
    </w:lvl>
  </w:abstractNum>
  <w:abstractNum w:abstractNumId="300">
    <w:nsid w:val="4DA32C7E"/>
    <w:multiLevelType w:val="hybridMultilevel"/>
    <w:lvl w:ilvl="0">
      <w:lvlJc w:val="left"/>
      <w:lvlText w:val="•"/>
      <w:numFmt w:val="bullet"/>
      <w:start w:val="1"/>
    </w:lvl>
  </w:abstractNum>
  <w:abstractNum w:abstractNumId="301">
    <w:nsid w:val="6EC68664"/>
    <w:multiLevelType w:val="hybridMultilevel"/>
    <w:lvl w:ilvl="0">
      <w:lvlJc w:val="left"/>
      <w:lvlText w:val="•"/>
      <w:numFmt w:val="bullet"/>
      <w:start w:val="1"/>
    </w:lvl>
  </w:abstractNum>
  <w:abstractNum w:abstractNumId="302">
    <w:nsid w:val="E0D31FF"/>
    <w:multiLevelType w:val="hybridMultilevel"/>
    <w:lvl w:ilvl="0">
      <w:lvlJc w:val="left"/>
      <w:lvlText w:val="•"/>
      <w:numFmt w:val="bullet"/>
      <w:start w:val="1"/>
    </w:lvl>
  </w:abstractNum>
  <w:abstractNum w:abstractNumId="303">
    <w:nsid w:val="2FD0AD81"/>
    <w:multiLevelType w:val="hybridMultilevel"/>
    <w:lvl w:ilvl="0">
      <w:lvlJc w:val="left"/>
      <w:lvlText w:val="•"/>
      <w:numFmt w:val="bullet"/>
      <w:start w:val="1"/>
    </w:lvl>
  </w:abstractNum>
  <w:abstractNum w:abstractNumId="304">
    <w:nsid w:val="1978EBEB"/>
    <w:multiLevelType w:val="hybridMultilevel"/>
    <w:lvl w:ilvl="0">
      <w:lvlJc w:val="left"/>
      <w:lvlText w:val="(%1)"/>
      <w:numFmt w:val="lowerRoman"/>
      <w:start w:val="2"/>
    </w:lvl>
  </w:abstractNum>
  <w:abstractNum w:abstractNumId="305">
    <w:nsid w:val="52C12C61"/>
    <w:multiLevelType w:val="hybridMultilevel"/>
    <w:lvl w:ilvl="0">
      <w:lvlJc w:val="left"/>
      <w:lvlText w:val="(%1)"/>
      <w:numFmt w:val="lowerRoman"/>
      <w:start w:val="2"/>
    </w:lvl>
  </w:abstractNum>
  <w:abstractNum w:abstractNumId="306">
    <w:nsid w:val="4BDD53FD"/>
    <w:multiLevelType w:val="hybridMultilevel"/>
    <w:lvl w:ilvl="0">
      <w:lvlJc w:val="left"/>
      <w:lvlText w:val="•"/>
      <w:numFmt w:val="bullet"/>
      <w:start w:val="1"/>
    </w:lvl>
  </w:abstractNum>
  <w:abstractNum w:abstractNumId="307">
    <w:nsid w:val="569951FE"/>
    <w:multiLevelType w:val="hybridMultilevel"/>
    <w:lvl w:ilvl="0">
      <w:lvlJc w:val="left"/>
      <w:lvlText w:val="%1."/>
      <w:numFmt w:val="lowerLetter"/>
      <w:start w:val="1"/>
    </w:lvl>
  </w:abstractNum>
  <w:abstractNum w:abstractNumId="308">
    <w:nsid w:val="4C54E2C3"/>
    <w:multiLevelType w:val="hybridMultilevel"/>
    <w:lvl w:ilvl="0">
      <w:lvlJc w:val="left"/>
      <w:lvlText w:val="•"/>
      <w:numFmt w:val="bullet"/>
      <w:start w:val="1"/>
    </w:lvl>
  </w:abstractNum>
  <w:abstractNum w:abstractNumId="309">
    <w:nsid w:val="788BD9B"/>
    <w:multiLevelType w:val="hybridMultilevel"/>
    <w:lvl w:ilvl="0">
      <w:lvlJc w:val="left"/>
      <w:lvlText w:val="•"/>
      <w:numFmt w:val="bullet"/>
      <w:start w:val="1"/>
    </w:lvl>
  </w:abstractNum>
  <w:abstractNum w:abstractNumId="310">
    <w:nsid w:val="47CAA567"/>
    <w:multiLevelType w:val="hybridMultilevel"/>
    <w:lvl w:ilvl="0">
      <w:lvlJc w:val="left"/>
      <w:lvlText w:val="(%1)"/>
      <w:numFmt w:val="lowerRoman"/>
      <w:start w:val="2"/>
    </w:lvl>
  </w:abstractNum>
  <w:abstractNum w:abstractNumId="311">
    <w:nsid w:val="48249DBF"/>
    <w:multiLevelType w:val="hybridMultilevel"/>
    <w:lvl w:ilvl="0">
      <w:lvlJc w:val="left"/>
      <w:lvlText w:val="•"/>
      <w:numFmt w:val="bullet"/>
      <w:start w:val="1"/>
    </w:lvl>
  </w:abstractNum>
  <w:abstractNum w:abstractNumId="312">
    <w:nsid w:val="1F0E5D0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jpe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2022-06-28T08:21:02Z</dcterms:created>
  <dcterms:modified xsi:type="dcterms:W3CDTF">2022-06-28T08:21:02Z</dcterms:modified>
</cp:coreProperties>
</file>