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Lending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814-01543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88-1710161</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87"/>
              </w:rPr>
              <w:t>Dallas, Texas</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vMerge w:val="restart"/>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bl>
    <w:p>
      <w:pPr>
        <w:spacing w:after="0" w:line="36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Arial" w:cs="Arial" w:eastAsia="Arial" w:hAnsi="Arial"/>
          <w:sz w:val="18"/>
          <w:szCs w:val="18"/>
          <w:b w:val="1"/>
          <w:bCs w:val="1"/>
          <w:color w:val="auto"/>
        </w:rPr>
        <w:t>Unregistered Sale of Equity Securities.</w:t>
      </w:r>
    </w:p>
    <w:p>
      <w:pPr>
        <w:spacing w:after="0" w:line="117"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On September 26, 2023, the Company issued unregistered common shares of beneficial interest in the Company, par value $0.001 (the “</w:t>
      </w:r>
      <w:r>
        <w:rPr>
          <w:rFonts w:ascii="Arial" w:cs="Arial" w:eastAsia="Arial" w:hAnsi="Arial"/>
          <w:sz w:val="16"/>
          <w:szCs w:val="16"/>
          <w:b w:val="1"/>
          <w:bCs w:val="1"/>
          <w:color w:val="auto"/>
        </w:rPr>
        <w:t>Shares</w:t>
      </w:r>
      <w:r>
        <w:rPr>
          <w:rFonts w:ascii="Arial" w:cs="Arial" w:eastAsia="Arial" w:hAnsi="Arial"/>
          <w:sz w:val="16"/>
          <w:szCs w:val="16"/>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pursuant to Section 4(a)(2) of the Securities Act, Regulation D thereunder, and/or Regulation S thereunder. The following table details the amount of Shares sold and consideration therefor:</w:t>
      </w:r>
    </w:p>
    <w:p>
      <w:pPr>
        <w:spacing w:after="0" w:line="16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Unregistered Sale</w:t>
            </w:r>
          </w:p>
        </w:tc>
        <w:tc>
          <w:tcPr>
            <w:tcW w:w="46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September 26, 2023</w:t>
            </w:r>
          </w:p>
        </w:tc>
        <w:tc>
          <w:tcPr>
            <w:tcW w:w="4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5,387,887</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$150,000,000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97"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SIXTH STREET LENDING PARTNERS</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September 29, 2023</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Ian Simmonds</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2023-09-29T15:29:55Z</dcterms:created>
  <dcterms:modified xsi:type="dcterms:W3CDTF">2023-09-29T15:29:55Z</dcterms:modified>
</cp:coreProperties>
</file>