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SCHEDULE 13G</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SIXTH STREET LENDING PARTNERS</w:t>
      </w:r>
    </w:p>
    <w:p>
      <w:pPr>
        <w:spacing w:after="0" w:line="3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Common shares of beneficial interest, par value $0.001 per share</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(Title of Class of Securities)</w:t>
      </w:r>
    </w:p>
    <w:p>
      <w:pPr>
        <w:spacing w:after="0" w:line="20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(CUSIP Number)</w:t>
      </w:r>
    </w:p>
    <w:p>
      <w:pPr>
        <w:spacing w:after="0" w:line="20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2022</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52"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sz w:val="24"/>
          <w:szCs w:val="24"/>
          <w:color w:val="auto"/>
        </w:rPr>
      </w:pPr>
    </w:p>
    <w:p>
      <w:pPr>
        <w:ind w:left="34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ind w:right="10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w:t>
      </w:r>
      <w:r>
        <w:rPr>
          <w:rFonts w:ascii="Arial" w:cs="Arial" w:eastAsia="Arial" w:hAnsi="Arial"/>
          <w:sz w:val="18"/>
          <w:szCs w:val="18"/>
          <w:u w:val="single" w:color="auto"/>
          <w:color w:val="auto"/>
        </w:rPr>
        <w:t>Act</w:t>
      </w:r>
      <w:r>
        <w:rPr>
          <w:rFonts w:ascii="Arial" w:cs="Arial" w:eastAsia="Arial" w:hAnsi="Arial"/>
          <w:sz w:val="18"/>
          <w:szCs w:val="18"/>
          <w:color w:val="auto"/>
        </w:rPr>
        <w:t xml:space="preserve">”) or otherwise subject to the liabilities of that section of the Act but shall be subject to all other provisions of the Act (however, see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13" w:right="419" w:bottom="1440" w:gutter="0" w:footer="0" w:header="0"/>
        </w:sectPr>
      </w:pPr>
    </w:p>
    <w:bookmarkStart w:id="1" w:name="page2"/>
    <w:bookmarkEnd w:id="1"/>
    <w:p>
      <w:pPr>
        <w:ind w:left="912" w:hanging="568"/>
        <w:spacing w:after="0"/>
        <w:tabs>
          <w:tab w:leader="none" w:pos="912"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66262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6626225"/>
                    </a:xfrm>
                    <a:prstGeom prst="rect">
                      <a:avLst/>
                    </a:prstGeom>
                    <a:noFill/>
                  </pic:spPr>
                </pic:pic>
              </a:graphicData>
            </a:graphic>
          </wp:anchor>
        </w:drawing>
        <w:t>Names of Reporting Persons</w:t>
      </w:r>
    </w:p>
    <w:p>
      <w:pPr>
        <w:spacing w:after="0" w:line="221" w:lineRule="exact"/>
        <w:rPr>
          <w:rFonts w:ascii="Arial" w:cs="Arial" w:eastAsia="Arial" w:hAnsi="Arial"/>
          <w:sz w:val="18"/>
          <w:szCs w:val="18"/>
          <w:color w:val="auto"/>
        </w:rPr>
      </w:pPr>
    </w:p>
    <w:p>
      <w:pPr>
        <w:ind w:left="912"/>
        <w:spacing w:after="0"/>
        <w:rPr>
          <w:rFonts w:ascii="Arial" w:cs="Arial" w:eastAsia="Arial" w:hAnsi="Arial"/>
          <w:sz w:val="18"/>
          <w:szCs w:val="18"/>
          <w:color w:val="auto"/>
        </w:rPr>
      </w:pPr>
      <w:r>
        <w:rPr>
          <w:rFonts w:ascii="Arial" w:cs="Arial" w:eastAsia="Arial" w:hAnsi="Arial"/>
          <w:sz w:val="18"/>
          <w:szCs w:val="18"/>
          <w:b w:val="1"/>
          <w:bCs w:val="1"/>
          <w:color w:val="auto"/>
        </w:rPr>
        <w:t>Victorian Funds Management Corporation</w:t>
      </w:r>
    </w:p>
    <w:p>
      <w:pPr>
        <w:spacing w:after="0" w:line="229" w:lineRule="exact"/>
        <w:rPr>
          <w:rFonts w:ascii="Arial" w:cs="Arial" w:eastAsia="Arial" w:hAnsi="Arial"/>
          <w:sz w:val="18"/>
          <w:szCs w:val="18"/>
          <w:color w:val="auto"/>
        </w:rPr>
      </w:pPr>
    </w:p>
    <w:p>
      <w:pPr>
        <w:ind w:left="912" w:hanging="568"/>
        <w:spacing w:after="0"/>
        <w:tabs>
          <w:tab w:leader="none" w:pos="912"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92" w:lineRule="exact"/>
        <w:rPr>
          <w:sz w:val="20"/>
          <w:szCs w:val="20"/>
          <w:color w:val="auto"/>
        </w:rPr>
      </w:pPr>
    </w:p>
    <w:p>
      <w:pPr>
        <w:ind w:left="912"/>
        <w:spacing w:after="0" w:line="207" w:lineRule="exact"/>
        <w:tabs>
          <w:tab w:leader="none" w:pos="2152"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(b) </w:t>
      </w:r>
      <w:r>
        <w:rPr>
          <w:rFonts w:ascii="MS PGothic" w:cs="MS PGothic" w:eastAsia="MS PGothic" w:hAnsi="MS PGothic"/>
          <w:sz w:val="16"/>
          <w:szCs w:val="16"/>
          <w:color w:val="auto"/>
        </w:rPr>
        <w:t>☐</w:t>
      </w:r>
    </w:p>
    <w:p>
      <w:pPr>
        <w:spacing w:after="0" w:line="258" w:lineRule="exact"/>
        <w:rPr>
          <w:sz w:val="20"/>
          <w:szCs w:val="20"/>
          <w:color w:val="auto"/>
        </w:rPr>
      </w:pPr>
    </w:p>
    <w:p>
      <w:pPr>
        <w:ind w:left="912" w:hanging="568"/>
        <w:spacing w:after="0"/>
        <w:tabs>
          <w:tab w:leader="none" w:pos="912"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912" w:hanging="568"/>
        <w:spacing w:after="0"/>
        <w:tabs>
          <w:tab w:leader="none" w:pos="912"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1" w:lineRule="exact"/>
        <w:rPr>
          <w:rFonts w:ascii="Arial" w:cs="Arial" w:eastAsia="Arial" w:hAnsi="Arial"/>
          <w:sz w:val="18"/>
          <w:szCs w:val="18"/>
          <w:color w:val="auto"/>
        </w:rPr>
      </w:pPr>
    </w:p>
    <w:p>
      <w:pPr>
        <w:ind w:left="912"/>
        <w:spacing w:after="0"/>
        <w:rPr>
          <w:rFonts w:ascii="Arial" w:cs="Arial" w:eastAsia="Arial" w:hAnsi="Arial"/>
          <w:sz w:val="18"/>
          <w:szCs w:val="18"/>
          <w:color w:val="auto"/>
        </w:rPr>
      </w:pPr>
      <w:r>
        <w:rPr>
          <w:rFonts w:ascii="Arial" w:cs="Arial" w:eastAsia="Arial" w:hAnsi="Arial"/>
          <w:sz w:val="18"/>
          <w:szCs w:val="18"/>
          <w:b w:val="1"/>
          <w:bCs w:val="1"/>
          <w:color w:val="auto"/>
        </w:rPr>
        <w:t>Australia</w:t>
      </w:r>
    </w:p>
    <w:p>
      <w:pPr>
        <w:spacing w:after="0" w:line="229" w:lineRule="exact"/>
        <w:rPr>
          <w:rFonts w:ascii="Arial" w:cs="Arial" w:eastAsia="Arial" w:hAnsi="Arial"/>
          <w:sz w:val="18"/>
          <w:szCs w:val="18"/>
          <w:color w:val="auto"/>
        </w:rPr>
      </w:pPr>
    </w:p>
    <w:p>
      <w:pPr>
        <w:ind w:left="2932" w:hanging="570"/>
        <w:spacing w:after="0"/>
        <w:tabs>
          <w:tab w:leader="none" w:pos="2932" w:val="left"/>
        </w:tabs>
        <w:numPr>
          <w:ilvl w:val="1"/>
          <w:numId w:val="5"/>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21" w:lineRule="exact"/>
        <w:rPr>
          <w:rFonts w:ascii="Arial" w:cs="Arial" w:eastAsia="Arial" w:hAnsi="Arial"/>
          <w:sz w:val="18"/>
          <w:szCs w:val="18"/>
          <w:color w:val="auto"/>
        </w:rPr>
      </w:pPr>
    </w:p>
    <w:p>
      <w:pPr>
        <w:ind w:left="2932"/>
        <w:spacing w:after="0"/>
        <w:rPr>
          <w:rFonts w:ascii="Arial" w:cs="Arial" w:eastAsia="Arial" w:hAnsi="Arial"/>
          <w:sz w:val="18"/>
          <w:szCs w:val="18"/>
          <w:color w:val="auto"/>
        </w:rPr>
      </w:pPr>
      <w:r>
        <w:rPr>
          <w:rFonts w:ascii="Arial" w:cs="Arial" w:eastAsia="Arial" w:hAnsi="Arial"/>
          <w:sz w:val="18"/>
          <w:szCs w:val="18"/>
          <w:b w:val="1"/>
          <w:bCs w:val="1"/>
          <w:color w:val="auto"/>
        </w:rPr>
        <w:t>1,973,500</w:t>
      </w:r>
    </w:p>
    <w:p>
      <w:pPr>
        <w:spacing w:after="0" w:line="229" w:lineRule="exact"/>
        <w:rPr>
          <w:sz w:val="20"/>
          <w:szCs w:val="20"/>
          <w:color w:val="auto"/>
        </w:rPr>
      </w:pPr>
    </w:p>
    <w:tbl>
      <w:tblPr>
        <w:tblLayout w:type="fixed"/>
        <w:tblInd w:w="592" w:type="dxa"/>
        <w:tblCellMar>
          <w:top w:w="0" w:type="dxa"/>
          <w:left w:w="0" w:type="dxa"/>
          <w:bottom w:w="0" w:type="dxa"/>
          <w:right w:w="0" w:type="dxa"/>
        </w:tblCellMar>
      </w:tblPr>
      <w:tr>
        <w:trPr>
          <w:trHeight w:val="216"/>
        </w:trPr>
        <w:tc>
          <w:tcPr>
            <w:tcW w:w="1440" w:type="dxa"/>
            <w:vAlign w:val="bottom"/>
          </w:tcPr>
          <w:p>
            <w:pPr>
              <w:jc w:val="center"/>
              <w:ind w:right="490"/>
              <w:spacing w:after="0"/>
              <w:rPr>
                <w:sz w:val="20"/>
                <w:szCs w:val="20"/>
                <w:color w:val="auto"/>
              </w:rPr>
            </w:pPr>
            <w:r>
              <w:rPr>
                <w:rFonts w:ascii="Arial" w:cs="Arial" w:eastAsia="Arial" w:hAnsi="Arial"/>
                <w:sz w:val="18"/>
                <w:szCs w:val="18"/>
                <w:color w:val="auto"/>
                <w:w w:val="92"/>
              </w:rPr>
              <w:t>Number of</w:t>
            </w:r>
          </w:p>
        </w:tc>
        <w:tc>
          <w:tcPr>
            <w:tcW w:w="680" w:type="dxa"/>
            <w:vAlign w:val="bottom"/>
          </w:tcPr>
          <w:p>
            <w:pPr>
              <w:jc w:val="right"/>
              <w:ind w:right="130"/>
              <w:spacing w:after="0"/>
              <w:rPr>
                <w:sz w:val="20"/>
                <w:szCs w:val="20"/>
                <w:color w:val="auto"/>
              </w:rPr>
            </w:pPr>
            <w:r>
              <w:rPr>
                <w:rFonts w:ascii="Arial" w:cs="Arial" w:eastAsia="Arial" w:hAnsi="Arial"/>
                <w:sz w:val="18"/>
                <w:szCs w:val="18"/>
                <w:color w:val="auto"/>
              </w:rPr>
              <w:t>6.</w:t>
            </w:r>
          </w:p>
        </w:tc>
        <w:tc>
          <w:tcPr>
            <w:tcW w:w="8520" w:type="dxa"/>
            <w:vAlign w:val="bottom"/>
          </w:tcPr>
          <w:p>
            <w:pPr>
              <w:ind w:left="2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440" w:type="dxa"/>
            <w:vAlign w:val="bottom"/>
          </w:tcPr>
          <w:p>
            <w:pPr>
              <w:jc w:val="center"/>
              <w:ind w:right="470"/>
              <w:spacing w:after="0"/>
              <w:rPr>
                <w:sz w:val="20"/>
                <w:szCs w:val="20"/>
                <w:color w:val="auto"/>
              </w:rPr>
            </w:pPr>
            <w:r>
              <w:rPr>
                <w:rFonts w:ascii="Arial" w:cs="Arial" w:eastAsia="Arial" w:hAnsi="Arial"/>
                <w:sz w:val="18"/>
                <w:szCs w:val="18"/>
                <w:color w:val="auto"/>
                <w:w w:val="84"/>
              </w:rPr>
              <w:t>Shares</w:t>
            </w:r>
          </w:p>
        </w:tc>
        <w:tc>
          <w:tcPr>
            <w:tcW w:w="680" w:type="dxa"/>
            <w:vAlign w:val="bottom"/>
          </w:tcPr>
          <w:p>
            <w:pPr>
              <w:spacing w:after="0"/>
              <w:rPr>
                <w:sz w:val="18"/>
                <w:szCs w:val="18"/>
                <w:color w:val="auto"/>
              </w:rPr>
            </w:pPr>
          </w:p>
        </w:tc>
        <w:tc>
          <w:tcPr>
            <w:tcW w:w="852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16"/>
        </w:trPr>
        <w:tc>
          <w:tcPr>
            <w:tcW w:w="1440" w:type="dxa"/>
            <w:vAlign w:val="bottom"/>
          </w:tcPr>
          <w:p>
            <w:pPr>
              <w:jc w:val="center"/>
              <w:ind w:right="470"/>
              <w:spacing w:after="0"/>
              <w:rPr>
                <w:sz w:val="20"/>
                <w:szCs w:val="20"/>
                <w:color w:val="auto"/>
              </w:rPr>
            </w:pPr>
            <w:r>
              <w:rPr>
                <w:rFonts w:ascii="Arial" w:cs="Arial" w:eastAsia="Arial" w:hAnsi="Arial"/>
                <w:sz w:val="18"/>
                <w:szCs w:val="18"/>
                <w:color w:val="auto"/>
                <w:w w:val="96"/>
              </w:rPr>
              <w:t>Beneficially</w:t>
            </w:r>
          </w:p>
        </w:tc>
        <w:tc>
          <w:tcPr>
            <w:tcW w:w="680" w:type="dxa"/>
            <w:vAlign w:val="bottom"/>
          </w:tcPr>
          <w:p>
            <w:pPr>
              <w:spacing w:after="0"/>
              <w:rPr>
                <w:sz w:val="18"/>
                <w:szCs w:val="18"/>
                <w:color w:val="auto"/>
              </w:rPr>
            </w:pPr>
          </w:p>
        </w:tc>
        <w:tc>
          <w:tcPr>
            <w:tcW w:w="8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1440" w:type="dxa"/>
            <w:vAlign w:val="bottom"/>
            <w:vMerge w:val="restart"/>
          </w:tcPr>
          <w:p>
            <w:pPr>
              <w:jc w:val="center"/>
              <w:ind w:right="490"/>
              <w:spacing w:after="0"/>
              <w:rPr>
                <w:sz w:val="20"/>
                <w:szCs w:val="20"/>
                <w:color w:val="auto"/>
              </w:rPr>
            </w:pPr>
            <w:r>
              <w:rPr>
                <w:rFonts w:ascii="Arial" w:cs="Arial" w:eastAsia="Arial" w:hAnsi="Arial"/>
                <w:sz w:val="18"/>
                <w:szCs w:val="18"/>
                <w:color w:val="auto"/>
                <w:w w:val="93"/>
              </w:rPr>
              <w:t>Owned By</w:t>
            </w:r>
          </w:p>
        </w:tc>
        <w:tc>
          <w:tcPr>
            <w:tcW w:w="680" w:type="dxa"/>
            <w:vAlign w:val="bottom"/>
            <w:tcBorders>
              <w:bottom w:val="single" w:sz="8" w:color="auto"/>
            </w:tcBorders>
          </w:tcPr>
          <w:p>
            <w:pPr>
              <w:spacing w:after="0"/>
              <w:rPr>
                <w:sz w:val="10"/>
                <w:szCs w:val="10"/>
                <w:color w:val="auto"/>
              </w:rPr>
            </w:pPr>
          </w:p>
        </w:tc>
        <w:tc>
          <w:tcPr>
            <w:tcW w:w="85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44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85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440" w:type="dxa"/>
            <w:vAlign w:val="bottom"/>
          </w:tcPr>
          <w:p>
            <w:pPr>
              <w:jc w:val="center"/>
              <w:ind w:right="470"/>
              <w:spacing w:after="0"/>
              <w:rPr>
                <w:sz w:val="20"/>
                <w:szCs w:val="20"/>
                <w:color w:val="auto"/>
              </w:rPr>
            </w:pPr>
            <w:r>
              <w:rPr>
                <w:rFonts w:ascii="Arial" w:cs="Arial" w:eastAsia="Arial" w:hAnsi="Arial"/>
                <w:sz w:val="18"/>
                <w:szCs w:val="18"/>
                <w:color w:val="auto"/>
                <w:w w:val="87"/>
              </w:rPr>
              <w:t>Each</w:t>
            </w:r>
          </w:p>
        </w:tc>
        <w:tc>
          <w:tcPr>
            <w:tcW w:w="680" w:type="dxa"/>
            <w:vAlign w:val="bottom"/>
          </w:tcPr>
          <w:p>
            <w:pPr>
              <w:jc w:val="right"/>
              <w:ind w:right="130"/>
              <w:spacing w:after="0"/>
              <w:rPr>
                <w:sz w:val="20"/>
                <w:szCs w:val="20"/>
                <w:color w:val="auto"/>
              </w:rPr>
            </w:pPr>
            <w:r>
              <w:rPr>
                <w:rFonts w:ascii="Arial" w:cs="Arial" w:eastAsia="Arial" w:hAnsi="Arial"/>
                <w:sz w:val="18"/>
                <w:szCs w:val="18"/>
                <w:color w:val="auto"/>
              </w:rPr>
              <w:t>7.</w:t>
            </w:r>
          </w:p>
        </w:tc>
        <w:tc>
          <w:tcPr>
            <w:tcW w:w="8520" w:type="dxa"/>
            <w:vAlign w:val="bottom"/>
          </w:tcPr>
          <w:p>
            <w:pPr>
              <w:ind w:left="2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40" w:type="dxa"/>
            <w:vAlign w:val="bottom"/>
          </w:tcPr>
          <w:p>
            <w:pPr>
              <w:jc w:val="center"/>
              <w:ind w:right="470"/>
              <w:spacing w:after="0"/>
              <w:rPr>
                <w:sz w:val="20"/>
                <w:szCs w:val="20"/>
                <w:color w:val="auto"/>
              </w:rPr>
            </w:pPr>
            <w:r>
              <w:rPr>
                <w:rFonts w:ascii="Arial" w:cs="Arial" w:eastAsia="Arial" w:hAnsi="Arial"/>
                <w:sz w:val="18"/>
                <w:szCs w:val="18"/>
                <w:color w:val="auto"/>
                <w:w w:val="92"/>
              </w:rPr>
              <w:t>Reporting</w:t>
            </w:r>
          </w:p>
        </w:tc>
        <w:tc>
          <w:tcPr>
            <w:tcW w:w="680" w:type="dxa"/>
            <w:vAlign w:val="bottom"/>
          </w:tcPr>
          <w:p>
            <w:pPr>
              <w:spacing w:after="0"/>
              <w:rPr>
                <w:sz w:val="18"/>
                <w:szCs w:val="18"/>
                <w:color w:val="auto"/>
              </w:rPr>
            </w:pPr>
          </w:p>
        </w:tc>
        <w:tc>
          <w:tcPr>
            <w:tcW w:w="852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1,973,500</w:t>
            </w:r>
          </w:p>
        </w:tc>
        <w:tc>
          <w:tcPr>
            <w:tcW w:w="0" w:type="dxa"/>
            <w:vAlign w:val="bottom"/>
          </w:tcPr>
          <w:p>
            <w:pPr>
              <w:spacing w:after="0"/>
              <w:rPr>
                <w:sz w:val="1"/>
                <w:szCs w:val="1"/>
                <w:color w:val="auto"/>
              </w:rPr>
            </w:pPr>
          </w:p>
        </w:tc>
      </w:tr>
      <w:tr>
        <w:trPr>
          <w:trHeight w:val="230"/>
        </w:trPr>
        <w:tc>
          <w:tcPr>
            <w:tcW w:w="1440" w:type="dxa"/>
            <w:vAlign w:val="bottom"/>
          </w:tcPr>
          <w:p>
            <w:pPr>
              <w:jc w:val="center"/>
              <w:ind w:right="470"/>
              <w:spacing w:after="0"/>
              <w:rPr>
                <w:sz w:val="20"/>
                <w:szCs w:val="20"/>
                <w:color w:val="auto"/>
              </w:rPr>
            </w:pPr>
            <w:r>
              <w:rPr>
                <w:rFonts w:ascii="Arial" w:cs="Arial" w:eastAsia="Arial" w:hAnsi="Arial"/>
                <w:sz w:val="18"/>
                <w:szCs w:val="18"/>
                <w:color w:val="auto"/>
                <w:w w:val="89"/>
              </w:rPr>
              <w:t>Person With</w:t>
            </w:r>
          </w:p>
        </w:tc>
        <w:tc>
          <w:tcPr>
            <w:tcW w:w="680" w:type="dxa"/>
            <w:vAlign w:val="bottom"/>
          </w:tcPr>
          <w:p>
            <w:pPr>
              <w:spacing w:after="0"/>
              <w:rPr>
                <w:sz w:val="20"/>
                <w:szCs w:val="20"/>
                <w:color w:val="auto"/>
              </w:rPr>
            </w:pPr>
          </w:p>
        </w:tc>
        <w:tc>
          <w:tcPr>
            <w:tcW w:w="85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932" w:hanging="570"/>
        <w:spacing w:after="0"/>
        <w:tabs>
          <w:tab w:leader="none" w:pos="2932" w:val="left"/>
        </w:tabs>
        <w:numPr>
          <w:ilvl w:val="1"/>
          <w:numId w:val="6"/>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21" w:lineRule="exact"/>
        <w:rPr>
          <w:rFonts w:ascii="Arial" w:cs="Arial" w:eastAsia="Arial" w:hAnsi="Arial"/>
          <w:sz w:val="18"/>
          <w:szCs w:val="18"/>
          <w:color w:val="auto"/>
        </w:rPr>
      </w:pPr>
    </w:p>
    <w:p>
      <w:pPr>
        <w:ind w:left="2932"/>
        <w:spacing w:after="0"/>
        <w:rPr>
          <w:rFonts w:ascii="Arial" w:cs="Arial" w:eastAsia="Arial" w:hAnsi="Arial"/>
          <w:sz w:val="18"/>
          <w:szCs w:val="18"/>
          <w:color w:val="auto"/>
        </w:rPr>
      </w:pPr>
      <w:r>
        <w:rPr>
          <w:rFonts w:ascii="Arial" w:cs="Arial" w:eastAsia="Arial" w:hAnsi="Arial"/>
          <w:sz w:val="18"/>
          <w:szCs w:val="18"/>
          <w:b w:val="1"/>
          <w:bCs w:val="1"/>
          <w:color w:val="auto"/>
        </w:rPr>
        <w:t>0</w:t>
      </w:r>
    </w:p>
    <w:p>
      <w:pPr>
        <w:spacing w:after="0" w:line="229" w:lineRule="exact"/>
        <w:rPr>
          <w:rFonts w:ascii="Arial" w:cs="Arial" w:eastAsia="Arial" w:hAnsi="Arial"/>
          <w:sz w:val="18"/>
          <w:szCs w:val="18"/>
          <w:color w:val="auto"/>
        </w:rPr>
      </w:pPr>
    </w:p>
    <w:p>
      <w:pPr>
        <w:ind w:left="912" w:hanging="568"/>
        <w:spacing w:after="0"/>
        <w:tabs>
          <w:tab w:leader="none" w:pos="912"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1" w:lineRule="exact"/>
        <w:rPr>
          <w:rFonts w:ascii="Arial" w:cs="Arial" w:eastAsia="Arial" w:hAnsi="Arial"/>
          <w:sz w:val="18"/>
          <w:szCs w:val="18"/>
          <w:color w:val="auto"/>
        </w:rPr>
      </w:pPr>
    </w:p>
    <w:p>
      <w:pPr>
        <w:ind w:left="912"/>
        <w:spacing w:after="0"/>
        <w:rPr>
          <w:rFonts w:ascii="Arial" w:cs="Arial" w:eastAsia="Arial" w:hAnsi="Arial"/>
          <w:sz w:val="18"/>
          <w:szCs w:val="18"/>
          <w:color w:val="auto"/>
        </w:rPr>
      </w:pPr>
      <w:r>
        <w:rPr>
          <w:rFonts w:ascii="Arial" w:cs="Arial" w:eastAsia="Arial" w:hAnsi="Arial"/>
          <w:sz w:val="18"/>
          <w:szCs w:val="18"/>
          <w:b w:val="1"/>
          <w:bCs w:val="1"/>
          <w:color w:val="auto"/>
        </w:rPr>
        <w:t>1,973,500</w:t>
      </w:r>
    </w:p>
    <w:p>
      <w:pPr>
        <w:spacing w:after="0" w:line="196" w:lineRule="exact"/>
        <w:rPr>
          <w:sz w:val="20"/>
          <w:szCs w:val="20"/>
          <w:color w:val="auto"/>
        </w:rPr>
      </w:pPr>
    </w:p>
    <w:p>
      <w:pPr>
        <w:ind w:left="912" w:hanging="613"/>
        <w:spacing w:after="0" w:line="207" w:lineRule="exact"/>
        <w:tabs>
          <w:tab w:leader="none" w:pos="912" w:val="left"/>
        </w:tabs>
        <w:numPr>
          <w:ilvl w:val="1"/>
          <w:numId w:val="8"/>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(9) Excludes Certain Shares (See Instructions) </w:t>
      </w:r>
      <w:r>
        <w:rPr>
          <w:rFonts w:ascii="MS PGothic" w:cs="MS PGothic" w:eastAsia="MS PGothic" w:hAnsi="MS PGothic"/>
          <w:sz w:val="18"/>
          <w:szCs w:val="18"/>
          <w:color w:val="auto"/>
        </w:rPr>
        <w: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9" w:lineRule="exact"/>
        <w:rPr>
          <w:rFonts w:ascii="Arial" w:cs="Arial" w:eastAsia="Arial" w:hAnsi="Arial"/>
          <w:sz w:val="18"/>
          <w:szCs w:val="18"/>
          <w:color w:val="auto"/>
        </w:rPr>
      </w:pPr>
    </w:p>
    <w:p>
      <w:pPr>
        <w:ind w:left="912" w:hanging="609"/>
        <w:spacing w:after="0"/>
        <w:tabs>
          <w:tab w:leader="none" w:pos="912" w:val="left"/>
        </w:tabs>
        <w:numPr>
          <w:ilvl w:val="1"/>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4" w:lineRule="exact"/>
        <w:rPr>
          <w:rFonts w:ascii="Arial" w:cs="Arial" w:eastAsia="Arial" w:hAnsi="Arial"/>
          <w:sz w:val="18"/>
          <w:szCs w:val="18"/>
          <w:color w:val="auto"/>
        </w:rPr>
      </w:pPr>
    </w:p>
    <w:p>
      <w:pPr>
        <w:ind w:left="912"/>
        <w:spacing w:after="0"/>
        <w:rPr>
          <w:rFonts w:ascii="Arial" w:cs="Arial" w:eastAsia="Arial" w:hAnsi="Arial"/>
          <w:sz w:val="18"/>
          <w:szCs w:val="18"/>
          <w:color w:val="auto"/>
        </w:rPr>
      </w:pPr>
      <w:r>
        <w:rPr>
          <w:rFonts w:ascii="Arial" w:cs="Arial" w:eastAsia="Arial" w:hAnsi="Arial"/>
          <w:sz w:val="18"/>
          <w:szCs w:val="18"/>
          <w:b w:val="1"/>
          <w:bCs w:val="1"/>
          <w:color w:val="auto"/>
        </w:rPr>
        <w:t>9.02%</w:t>
      </w:r>
      <w:r>
        <w:rPr>
          <w:rFonts w:ascii="Arial" w:cs="Arial" w:eastAsia="Arial" w:hAnsi="Arial"/>
          <w:sz w:val="29"/>
          <w:szCs w:val="29"/>
          <w:b w:val="1"/>
          <w:bCs w:val="1"/>
          <w:color w:val="auto"/>
          <w:vertAlign w:val="superscript"/>
        </w:rPr>
        <w:t>(1)</w:t>
      </w:r>
    </w:p>
    <w:p>
      <w:pPr>
        <w:spacing w:after="0" w:line="139" w:lineRule="exact"/>
        <w:rPr>
          <w:rFonts w:ascii="Arial" w:cs="Arial" w:eastAsia="Arial" w:hAnsi="Arial"/>
          <w:sz w:val="18"/>
          <w:szCs w:val="18"/>
          <w:color w:val="auto"/>
        </w:rPr>
      </w:pPr>
    </w:p>
    <w:p>
      <w:pPr>
        <w:ind w:left="912" w:hanging="613"/>
        <w:spacing w:after="0"/>
        <w:tabs>
          <w:tab w:leader="none" w:pos="912" w:val="left"/>
        </w:tabs>
        <w:numPr>
          <w:ilvl w:val="1"/>
          <w:numId w:val="8"/>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21" w:lineRule="exact"/>
        <w:rPr>
          <w:rFonts w:ascii="Arial" w:cs="Arial" w:eastAsia="Arial" w:hAnsi="Arial"/>
          <w:sz w:val="18"/>
          <w:szCs w:val="18"/>
          <w:color w:val="auto"/>
        </w:rPr>
      </w:pPr>
    </w:p>
    <w:p>
      <w:pPr>
        <w:ind w:left="912"/>
        <w:spacing w:after="0"/>
        <w:rPr>
          <w:rFonts w:ascii="Arial" w:cs="Arial" w:eastAsia="Arial" w:hAnsi="Arial"/>
          <w:sz w:val="18"/>
          <w:szCs w:val="18"/>
          <w:color w:val="auto"/>
        </w:rPr>
      </w:pPr>
      <w:r>
        <w:rPr>
          <w:rFonts w:ascii="Arial" w:cs="Arial" w:eastAsia="Arial" w:hAnsi="Arial"/>
          <w:sz w:val="18"/>
          <w:szCs w:val="18"/>
          <w:b w:val="1"/>
          <w:bCs w:val="1"/>
          <w:color w:val="auto"/>
        </w:rPr>
        <w:t>FI</w:t>
      </w:r>
    </w:p>
    <w:p>
      <w:pPr>
        <w:spacing w:after="0" w:line="350" w:lineRule="exact"/>
        <w:rPr>
          <w:rFonts w:ascii="Arial" w:cs="Arial" w:eastAsia="Arial" w:hAnsi="Arial"/>
          <w:sz w:val="18"/>
          <w:szCs w:val="18"/>
          <w:color w:val="auto"/>
        </w:rPr>
      </w:pPr>
    </w:p>
    <w:p>
      <w:pPr>
        <w:ind w:left="5572" w:right="1320" w:hanging="5572"/>
        <w:spacing w:after="0" w:line="778" w:lineRule="auto"/>
        <w:tabs>
          <w:tab w:leader="none" w:pos="325" w:val="left"/>
        </w:tabs>
        <w:numPr>
          <w:ilvl w:val="0"/>
          <w:numId w:val="9"/>
        </w:numPr>
        <w:rPr>
          <w:rFonts w:ascii="Arial" w:cs="Arial" w:eastAsia="Arial" w:hAnsi="Arial"/>
          <w:sz w:val="18"/>
          <w:szCs w:val="18"/>
          <w:color w:val="auto"/>
        </w:rPr>
      </w:pPr>
      <w:r>
        <w:rPr>
          <w:rFonts w:ascii="Arial" w:cs="Arial" w:eastAsia="Arial" w:hAnsi="Arial"/>
          <w:sz w:val="18"/>
          <w:szCs w:val="18"/>
          <w:color w:val="auto"/>
        </w:rPr>
        <w:t>Calculated based on 21,882,028 Common Shares outstanding as of December 31, 2022, based on information provided by the Issuer.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-294005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030" w:right="339" w:bottom="1440" w:gutter="0" w:footer="0" w:header="0"/>
        </w:sectPr>
      </w:pPr>
    </w:p>
    <w:bookmarkStart w:id="2" w:name="page3"/>
    <w:bookmarkEnd w:id="2"/>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Sixth Street Lending Partners (the “Issuer”)</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2100 McKinney Avenue, Suite 1500, Dallas, Texas 75201</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5"/>
          <w:szCs w:val="15"/>
          <w:b w:val="1"/>
          <w:bCs w:val="1"/>
          <w:color w:val="auto"/>
        </w:rPr>
        <w:t>Names of Persons Filing:</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This Schedule 13G (the “</w:t>
      </w:r>
      <w:r>
        <w:rPr>
          <w:rFonts w:ascii="Arial" w:cs="Arial" w:eastAsia="Arial" w:hAnsi="Arial"/>
          <w:sz w:val="18"/>
          <w:szCs w:val="18"/>
          <w:u w:val="single" w:color="auto"/>
          <w:color w:val="auto"/>
        </w:rPr>
        <w:t>Statement</w:t>
      </w:r>
      <w:r>
        <w:rPr>
          <w:rFonts w:ascii="Arial" w:cs="Arial" w:eastAsia="Arial" w:hAnsi="Arial"/>
          <w:sz w:val="18"/>
          <w:szCs w:val="18"/>
          <w:color w:val="auto"/>
        </w:rPr>
        <w:t>”) is filed by Victorian Funds Management Corporation (the “</w:t>
      </w:r>
      <w:r>
        <w:rPr>
          <w:rFonts w:ascii="Arial" w:cs="Arial" w:eastAsia="Arial" w:hAnsi="Arial"/>
          <w:sz w:val="18"/>
          <w:szCs w:val="18"/>
          <w:u w:val="single" w:color="auto"/>
          <w:color w:val="auto"/>
        </w:rPr>
        <w:t>Reporting Person</w:t>
      </w:r>
      <w:r>
        <w:rPr>
          <w:rFonts w:ascii="Arial" w:cs="Arial" w:eastAsia="Arial" w:hAnsi="Arial"/>
          <w:sz w:val="18"/>
          <w:szCs w:val="18"/>
          <w:color w:val="auto"/>
        </w:rPr>
        <w:t>” or “VFMC”).</w:t>
      </w:r>
    </w:p>
    <w:p>
      <w:pPr>
        <w:spacing w:after="0" w:line="221" w:lineRule="exact"/>
        <w:rPr>
          <w:sz w:val="20"/>
          <w:szCs w:val="20"/>
          <w:color w:val="auto"/>
        </w:rPr>
      </w:pPr>
    </w:p>
    <w:p>
      <w:pPr>
        <w:ind w:left="980" w:right="5300" w:hanging="971"/>
        <w:spacing w:after="0" w:line="563" w:lineRule="auto"/>
        <w:tabs>
          <w:tab w:leader="none" w:pos="96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6"/>
          <w:szCs w:val="16"/>
          <w:b w:val="1"/>
          <w:bCs w:val="1"/>
          <w:color w:val="auto"/>
        </w:rPr>
        <w:t xml:space="preserve">Address of the Principal Business Office or, if None, Residence: </w:t>
      </w:r>
      <w:r>
        <w:rPr>
          <w:rFonts w:ascii="Arial" w:cs="Arial" w:eastAsia="Arial" w:hAnsi="Arial"/>
          <w:sz w:val="16"/>
          <w:szCs w:val="16"/>
          <w:color w:val="auto"/>
        </w:rPr>
        <w:t>The principal business address of the Reporting Person is as follows: L13 101 Collins St, Melbourne 3000 VIC Australia</w:t>
      </w:r>
    </w:p>
    <w:p>
      <w:pPr>
        <w:spacing w:after="0" w:line="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See responses to Item 4 on the cover page and Item 2(a) above.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color w:val="auto"/>
        </w:rPr>
        <w:t>Title of Class of Securities: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Common shares of beneficial interest, par value $0.001 per share (“Common Shares”).</w:t>
      </w:r>
    </w:p>
    <w:p>
      <w:pPr>
        <w:spacing w:after="0" w:line="221" w:lineRule="exact"/>
        <w:rPr>
          <w:sz w:val="20"/>
          <w:szCs w:val="20"/>
          <w:color w:val="auto"/>
        </w:rPr>
      </w:pPr>
    </w:p>
    <w:p>
      <w:pPr>
        <w:jc w:val="center"/>
        <w:ind w:right="8980"/>
        <w:spacing w:after="0"/>
        <w:tabs>
          <w:tab w:leader="none" w:pos="22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Rules 13d-1(b), or 13d-2(b) or (c), check whether the person filing is a(n):</w:t>
      </w:r>
    </w:p>
    <w:p>
      <w:pPr>
        <w:spacing w:after="0" w:line="256" w:lineRule="exact"/>
        <w:rPr>
          <w:sz w:val="20"/>
          <w:szCs w:val="20"/>
          <w:color w:val="auto"/>
        </w:rPr>
      </w:pPr>
    </w:p>
    <w:p>
      <w:pPr>
        <w:ind w:left="1180" w:hanging="200"/>
        <w:spacing w:after="0"/>
        <w:tabs>
          <w:tab w:leader="none" w:pos="1180" w:val="left"/>
        </w:tabs>
        <w:numPr>
          <w:ilvl w:val="0"/>
          <w:numId w:val="10"/>
        </w:numPr>
        <w:rPr>
          <w:rFonts w:ascii="MS PGothic" w:cs="MS PGothic" w:eastAsia="MS PGothic" w:hAnsi="MS PGothic"/>
          <w:sz w:val="18"/>
          <w:szCs w:val="18"/>
          <w:color w:val="auto"/>
        </w:rPr>
      </w:pPr>
      <w:r>
        <w:rPr>
          <w:rFonts w:ascii="Arial" w:cs="Arial" w:eastAsia="Arial" w:hAnsi="Arial"/>
          <w:sz w:val="18"/>
          <w:szCs w:val="18"/>
          <w:color w:val="auto"/>
        </w:rPr>
        <w:t>(a) a broker or dealer registered under Section 15 of the Exchange Act.</w:t>
      </w:r>
    </w:p>
    <w:p>
      <w:pPr>
        <w:spacing w:after="0" w:line="225" w:lineRule="exact"/>
        <w:rPr>
          <w:rFonts w:ascii="MS PGothic" w:cs="MS PGothic" w:eastAsia="MS PGothic" w:hAnsi="MS PGothic"/>
          <w:sz w:val="18"/>
          <w:szCs w:val="18"/>
          <w:color w:val="auto"/>
        </w:rPr>
      </w:pPr>
    </w:p>
    <w:p>
      <w:pPr>
        <w:ind w:left="1180" w:hanging="200"/>
        <w:spacing w:after="0"/>
        <w:tabs>
          <w:tab w:leader="none" w:pos="1180" w:val="left"/>
        </w:tabs>
        <w:numPr>
          <w:ilvl w:val="0"/>
          <w:numId w:val="10"/>
        </w:numPr>
        <w:rPr>
          <w:rFonts w:ascii="MS PGothic" w:cs="MS PGothic" w:eastAsia="MS PGothic" w:hAnsi="MS PGothic"/>
          <w:sz w:val="18"/>
          <w:szCs w:val="18"/>
          <w:color w:val="auto"/>
        </w:rPr>
      </w:pPr>
      <w:r>
        <w:rPr>
          <w:rFonts w:ascii="Arial" w:cs="Arial" w:eastAsia="Arial" w:hAnsi="Arial"/>
          <w:sz w:val="18"/>
          <w:szCs w:val="18"/>
          <w:color w:val="auto"/>
        </w:rPr>
        <w:t>(b) a bank as defined in Section 3(a)(6) or the Exchange Act.</w:t>
      </w:r>
    </w:p>
    <w:p>
      <w:pPr>
        <w:spacing w:after="0" w:line="225" w:lineRule="exact"/>
        <w:rPr>
          <w:rFonts w:ascii="MS PGothic" w:cs="MS PGothic" w:eastAsia="MS PGothic" w:hAnsi="MS PGothic"/>
          <w:sz w:val="18"/>
          <w:szCs w:val="18"/>
          <w:color w:val="auto"/>
        </w:rPr>
      </w:pPr>
    </w:p>
    <w:p>
      <w:pPr>
        <w:ind w:left="1180" w:hanging="200"/>
        <w:spacing w:after="0"/>
        <w:tabs>
          <w:tab w:leader="none" w:pos="1180" w:val="left"/>
        </w:tabs>
        <w:numPr>
          <w:ilvl w:val="0"/>
          <w:numId w:val="10"/>
        </w:numPr>
        <w:rPr>
          <w:rFonts w:ascii="MS PGothic" w:cs="MS PGothic" w:eastAsia="MS PGothic" w:hAnsi="MS PGothic"/>
          <w:sz w:val="18"/>
          <w:szCs w:val="18"/>
          <w:color w:val="auto"/>
        </w:rPr>
      </w:pPr>
      <w:r>
        <w:rPr>
          <w:rFonts w:ascii="Arial" w:cs="Arial" w:eastAsia="Arial" w:hAnsi="Arial"/>
          <w:sz w:val="18"/>
          <w:szCs w:val="18"/>
          <w:color w:val="auto"/>
        </w:rPr>
        <w:t>(c) an insurance company as defined in Section 3(a)(19) of the Exchange Act.</w:t>
      </w:r>
    </w:p>
    <w:p>
      <w:pPr>
        <w:spacing w:after="0" w:line="225" w:lineRule="exact"/>
        <w:rPr>
          <w:rFonts w:ascii="MS PGothic" w:cs="MS PGothic" w:eastAsia="MS PGothic" w:hAnsi="MS PGothic"/>
          <w:sz w:val="18"/>
          <w:szCs w:val="18"/>
          <w:color w:val="auto"/>
        </w:rPr>
      </w:pPr>
    </w:p>
    <w:p>
      <w:pPr>
        <w:ind w:left="1180" w:hanging="200"/>
        <w:spacing w:after="0"/>
        <w:tabs>
          <w:tab w:leader="none" w:pos="1180" w:val="left"/>
        </w:tabs>
        <w:numPr>
          <w:ilvl w:val="0"/>
          <w:numId w:val="10"/>
        </w:numPr>
        <w:rPr>
          <w:rFonts w:ascii="MS PGothic" w:cs="MS PGothic" w:eastAsia="MS PGothic" w:hAnsi="MS PGothic"/>
          <w:sz w:val="18"/>
          <w:szCs w:val="18"/>
          <w:color w:val="auto"/>
        </w:rPr>
      </w:pPr>
      <w:r>
        <w:rPr>
          <w:rFonts w:ascii="Arial" w:cs="Arial" w:eastAsia="Arial" w:hAnsi="Arial"/>
          <w:sz w:val="18"/>
          <w:szCs w:val="18"/>
          <w:color w:val="auto"/>
        </w:rPr>
        <w:t>(d) an investment company registered under Section 8 of the Investment Company Act.</w:t>
      </w:r>
    </w:p>
    <w:p>
      <w:pPr>
        <w:spacing w:after="0" w:line="225" w:lineRule="exact"/>
        <w:rPr>
          <w:rFonts w:ascii="MS PGothic" w:cs="MS PGothic" w:eastAsia="MS PGothic" w:hAnsi="MS PGothic"/>
          <w:sz w:val="18"/>
          <w:szCs w:val="18"/>
          <w:color w:val="auto"/>
        </w:rPr>
      </w:pPr>
    </w:p>
    <w:p>
      <w:pPr>
        <w:ind w:left="1180" w:hanging="200"/>
        <w:spacing w:after="0"/>
        <w:tabs>
          <w:tab w:leader="none" w:pos="1180" w:val="left"/>
        </w:tabs>
        <w:numPr>
          <w:ilvl w:val="0"/>
          <w:numId w:val="10"/>
        </w:numPr>
        <w:rPr>
          <w:rFonts w:ascii="MS PGothic" w:cs="MS PGothic" w:eastAsia="MS PGothic" w:hAnsi="MS PGothic"/>
          <w:sz w:val="18"/>
          <w:szCs w:val="18"/>
          <w:color w:val="auto"/>
        </w:rPr>
      </w:pPr>
      <w:r>
        <w:rPr>
          <w:rFonts w:ascii="Arial" w:cs="Arial" w:eastAsia="Arial" w:hAnsi="Arial"/>
          <w:sz w:val="18"/>
          <w:szCs w:val="18"/>
          <w:color w:val="auto"/>
        </w:rPr>
        <w:t>(e) an investment adviser in accordance with Rule 13d-1(b)(1)(ii)(E).</w:t>
      </w:r>
    </w:p>
    <w:p>
      <w:pPr>
        <w:spacing w:after="0" w:line="225" w:lineRule="exact"/>
        <w:rPr>
          <w:rFonts w:ascii="MS PGothic" w:cs="MS PGothic" w:eastAsia="MS PGothic" w:hAnsi="MS PGothic"/>
          <w:sz w:val="18"/>
          <w:szCs w:val="18"/>
          <w:color w:val="auto"/>
        </w:rPr>
      </w:pPr>
    </w:p>
    <w:p>
      <w:pPr>
        <w:ind w:left="1180" w:hanging="200"/>
        <w:spacing w:after="0"/>
        <w:tabs>
          <w:tab w:leader="none" w:pos="1180" w:val="left"/>
        </w:tabs>
        <w:numPr>
          <w:ilvl w:val="0"/>
          <w:numId w:val="10"/>
        </w:numPr>
        <w:rPr>
          <w:rFonts w:ascii="MS PGothic" w:cs="MS PGothic" w:eastAsia="MS PGothic" w:hAnsi="MS PGothic"/>
          <w:sz w:val="18"/>
          <w:szCs w:val="18"/>
          <w:color w:val="auto"/>
        </w:rPr>
      </w:pPr>
      <w:r>
        <w:rPr>
          <w:rFonts w:ascii="Arial" w:cs="Arial" w:eastAsia="Arial" w:hAnsi="Arial"/>
          <w:sz w:val="18"/>
          <w:szCs w:val="18"/>
          <w:color w:val="auto"/>
        </w:rPr>
        <w:t>(f) an employee benefit plan or endowment fund in accordance with Rule 13d-1(b)(1)(ii)(F).</w:t>
      </w:r>
    </w:p>
    <w:p>
      <w:pPr>
        <w:spacing w:after="0" w:line="225" w:lineRule="exact"/>
        <w:rPr>
          <w:rFonts w:ascii="MS PGothic" w:cs="MS PGothic" w:eastAsia="MS PGothic" w:hAnsi="MS PGothic"/>
          <w:sz w:val="18"/>
          <w:szCs w:val="18"/>
          <w:color w:val="auto"/>
        </w:rPr>
      </w:pPr>
    </w:p>
    <w:p>
      <w:pPr>
        <w:ind w:left="1180" w:hanging="200"/>
        <w:spacing w:after="0"/>
        <w:tabs>
          <w:tab w:leader="none" w:pos="1180" w:val="left"/>
        </w:tabs>
        <w:numPr>
          <w:ilvl w:val="0"/>
          <w:numId w:val="10"/>
        </w:numPr>
        <w:rPr>
          <w:rFonts w:ascii="MS PGothic" w:cs="MS PGothic" w:eastAsia="MS PGothic" w:hAnsi="MS PGothic"/>
          <w:sz w:val="18"/>
          <w:szCs w:val="18"/>
          <w:color w:val="auto"/>
        </w:rPr>
      </w:pPr>
      <w:r>
        <w:rPr>
          <w:rFonts w:ascii="Arial" w:cs="Arial" w:eastAsia="Arial" w:hAnsi="Arial"/>
          <w:sz w:val="18"/>
          <w:szCs w:val="18"/>
          <w:color w:val="auto"/>
        </w:rPr>
        <w:t>(g) a parent holding company or control person in accordance with Rule 13d- 1(b)(1)(ii)(G).</w:t>
      </w:r>
    </w:p>
    <w:p>
      <w:pPr>
        <w:spacing w:after="0" w:line="225" w:lineRule="exact"/>
        <w:rPr>
          <w:rFonts w:ascii="MS PGothic" w:cs="MS PGothic" w:eastAsia="MS PGothic" w:hAnsi="MS PGothic"/>
          <w:sz w:val="18"/>
          <w:szCs w:val="18"/>
          <w:color w:val="auto"/>
        </w:rPr>
      </w:pPr>
    </w:p>
    <w:p>
      <w:pPr>
        <w:ind w:left="1180" w:hanging="200"/>
        <w:spacing w:after="0"/>
        <w:tabs>
          <w:tab w:leader="none" w:pos="1180" w:val="left"/>
        </w:tabs>
        <w:numPr>
          <w:ilvl w:val="0"/>
          <w:numId w:val="10"/>
        </w:numPr>
        <w:rPr>
          <w:rFonts w:ascii="MS PGothic" w:cs="MS PGothic" w:eastAsia="MS PGothic" w:hAnsi="MS PGothic"/>
          <w:sz w:val="16"/>
          <w:szCs w:val="16"/>
          <w:color w:val="auto"/>
        </w:rPr>
      </w:pPr>
      <w:r>
        <w:rPr>
          <w:rFonts w:ascii="Arial" w:cs="Arial" w:eastAsia="Arial" w:hAnsi="Arial"/>
          <w:sz w:val="16"/>
          <w:szCs w:val="16"/>
          <w:color w:val="auto"/>
        </w:rPr>
        <w:t>(i) a church plan that is excluded from the definition of an investment company under Section 3(c)(14) of the Investment Company Act.</w:t>
      </w:r>
    </w:p>
    <w:p>
      <w:pPr>
        <w:spacing w:after="0" w:line="248" w:lineRule="exact"/>
        <w:rPr>
          <w:sz w:val="20"/>
          <w:szCs w:val="20"/>
          <w:color w:val="auto"/>
        </w:rPr>
      </w:pPr>
    </w:p>
    <w:p>
      <w:pPr>
        <w:ind w:left="1180" w:hanging="200"/>
        <w:spacing w:after="0"/>
        <w:tabs>
          <w:tab w:leader="none" w:pos="1180" w:val="left"/>
        </w:tabs>
        <w:numPr>
          <w:ilvl w:val="0"/>
          <w:numId w:val="11"/>
        </w:numPr>
        <w:rPr>
          <w:rFonts w:ascii="MS PGothic" w:cs="MS PGothic" w:eastAsia="MS PGothic" w:hAnsi="MS PGothic"/>
          <w:sz w:val="18"/>
          <w:szCs w:val="18"/>
          <w:color w:val="auto"/>
        </w:rPr>
      </w:pPr>
      <w:r>
        <w:rPr>
          <w:rFonts w:ascii="Arial" w:cs="Arial" w:eastAsia="Arial" w:hAnsi="Arial"/>
          <w:sz w:val="18"/>
          <w:szCs w:val="18"/>
          <w:color w:val="auto"/>
        </w:rPr>
        <w:t>(j) a non-U.S. institution in accordance with Rule 13d-1(b)(1)(ii)(J).</w:t>
      </w:r>
    </w:p>
    <w:p>
      <w:pPr>
        <w:spacing w:after="0" w:line="225" w:lineRule="exact"/>
        <w:rPr>
          <w:sz w:val="20"/>
          <w:szCs w:val="20"/>
          <w:color w:val="auto"/>
        </w:rPr>
      </w:pPr>
    </w:p>
    <w:p>
      <w:pPr>
        <w:ind w:left="1180" w:hanging="200"/>
        <w:spacing w:after="0"/>
        <w:tabs>
          <w:tab w:leader="none" w:pos="1180" w:val="left"/>
        </w:tabs>
        <w:numPr>
          <w:ilvl w:val="0"/>
          <w:numId w:val="12"/>
        </w:numPr>
        <w:rPr>
          <w:rFonts w:ascii="MS PGothic" w:cs="MS PGothic" w:eastAsia="MS PGothic" w:hAnsi="MS PGothic"/>
          <w:sz w:val="18"/>
          <w:szCs w:val="18"/>
          <w:color w:val="auto"/>
        </w:rPr>
      </w:pPr>
      <w:r>
        <w:rPr>
          <w:rFonts w:ascii="Arial" w:cs="Arial" w:eastAsia="Arial" w:hAnsi="Arial"/>
          <w:sz w:val="18"/>
          <w:szCs w:val="18"/>
          <w:color w:val="auto"/>
        </w:rPr>
        <w:t>(k) a group in accordance with Rule 13d-1(b)(1)(ii)(K).</w:t>
      </w:r>
    </w:p>
    <w:p>
      <w:pPr>
        <w:spacing w:after="0" w:line="225" w:lineRule="exact"/>
        <w:rPr>
          <w:sz w:val="20"/>
          <w:szCs w:val="20"/>
          <w:color w:val="auto"/>
        </w:rPr>
      </w:pPr>
    </w:p>
    <w:p>
      <w:pPr>
        <w:ind w:left="980"/>
        <w:spacing w:after="0" w:line="257" w:lineRule="auto"/>
        <w:rPr>
          <w:sz w:val="20"/>
          <w:szCs w:val="20"/>
          <w:color w:val="auto"/>
        </w:rPr>
      </w:pPr>
      <w:r>
        <w:rPr>
          <w:rFonts w:ascii="Arial" w:cs="Arial" w:eastAsia="Arial" w:hAnsi="Arial"/>
          <w:sz w:val="18"/>
          <w:szCs w:val="18"/>
          <w:color w:val="auto"/>
        </w:rPr>
        <w:t>If filing as a non-U.S. institution in accordance with § 240.13d-1(b)(1)(ii)(J), please specify the type of institution: The VFMC is a public authority corporate entity, constituted pursuant to the Victorian Funds Management Corporation Act to provide investment and funds management services to public sector clients, and is subject to supervisory approval and oversight by the Victorian Government Department of Treasury and Finance. VFMC is required to operate in accordance with the terms of its appointment and a Victorian Government Prudential Standard and is a functional equivalent of a U.S. registered investment adviser.</w:t>
      </w:r>
    </w:p>
    <w:p>
      <w:pPr>
        <w:spacing w:after="0" w:line="18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5" w:lineRule="exact"/>
        <w:rPr>
          <w:sz w:val="20"/>
          <w:szCs w:val="20"/>
          <w:color w:val="auto"/>
        </w:rPr>
      </w:pPr>
    </w:p>
    <w:p>
      <w:pPr>
        <w:ind w:left="1420" w:hanging="440"/>
        <w:spacing w:after="0"/>
        <w:tabs>
          <w:tab w:leader="none" w:pos="14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Amount beneficially owned:</w:t>
      </w:r>
    </w:p>
    <w:p>
      <w:pPr>
        <w:spacing w:after="0" w:line="229" w:lineRule="exact"/>
        <w:rPr>
          <w:rFonts w:ascii="Arial" w:cs="Arial" w:eastAsia="Arial" w:hAnsi="Arial"/>
          <w:sz w:val="18"/>
          <w:szCs w:val="18"/>
          <w:b w:val="1"/>
          <w:bCs w:val="1"/>
          <w:color w:val="auto"/>
        </w:rPr>
      </w:pPr>
    </w:p>
    <w:p>
      <w:pPr>
        <w:ind w:left="1440"/>
        <w:spacing w:after="0"/>
        <w:rPr>
          <w:rFonts w:ascii="Arial" w:cs="Arial" w:eastAsia="Arial" w:hAnsi="Arial"/>
          <w:sz w:val="18"/>
          <w:szCs w:val="18"/>
          <w:b w:val="1"/>
          <w:bCs w:val="1"/>
          <w:color w:val="auto"/>
        </w:rPr>
      </w:pPr>
      <w:r>
        <w:rPr>
          <w:rFonts w:ascii="Arial" w:cs="Arial" w:eastAsia="Arial" w:hAnsi="Arial"/>
          <w:sz w:val="18"/>
          <w:szCs w:val="18"/>
          <w:color w:val="auto"/>
        </w:rPr>
        <w:t>See response to Item 9 on the cover page.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091" w:gutter="0" w:footer="0" w:header="0"/>
        </w:sectPr>
      </w:pPr>
    </w:p>
    <w:bookmarkStart w:id="3" w:name="page4"/>
    <w:bookmarkEnd w:id="3"/>
    <w:p>
      <w:pPr>
        <w:ind w:left="1420" w:hanging="440"/>
        <w:spacing w:after="0"/>
        <w:tabs>
          <w:tab w:leader="none" w:pos="14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Percent of Class:</w:t>
      </w:r>
    </w:p>
    <w:p>
      <w:pPr>
        <w:spacing w:after="0" w:line="229" w:lineRule="exact"/>
        <w:rPr>
          <w:rFonts w:ascii="Arial" w:cs="Arial" w:eastAsia="Arial" w:hAnsi="Arial"/>
          <w:sz w:val="18"/>
          <w:szCs w:val="18"/>
          <w:b w:val="1"/>
          <w:bCs w:val="1"/>
          <w:color w:val="auto"/>
        </w:rPr>
      </w:pPr>
    </w:p>
    <w:p>
      <w:pPr>
        <w:ind w:left="1440"/>
        <w:spacing w:after="0"/>
        <w:rPr>
          <w:rFonts w:ascii="Arial" w:cs="Arial" w:eastAsia="Arial" w:hAnsi="Arial"/>
          <w:sz w:val="18"/>
          <w:szCs w:val="18"/>
          <w:b w:val="1"/>
          <w:bCs w:val="1"/>
          <w:color w:val="auto"/>
        </w:rPr>
      </w:pPr>
      <w:r>
        <w:rPr>
          <w:rFonts w:ascii="Arial" w:cs="Arial" w:eastAsia="Arial" w:hAnsi="Arial"/>
          <w:sz w:val="18"/>
          <w:szCs w:val="18"/>
          <w:color w:val="auto"/>
        </w:rPr>
        <w:t>See response to Item 11 on the cover page.</w:t>
      </w:r>
    </w:p>
    <w:p>
      <w:pPr>
        <w:spacing w:after="0" w:line="221" w:lineRule="exact"/>
        <w:rPr>
          <w:rFonts w:ascii="Arial" w:cs="Arial" w:eastAsia="Arial" w:hAnsi="Arial"/>
          <w:sz w:val="18"/>
          <w:szCs w:val="18"/>
          <w:b w:val="1"/>
          <w:bCs w:val="1"/>
          <w:color w:val="auto"/>
        </w:rPr>
      </w:pPr>
    </w:p>
    <w:p>
      <w:pPr>
        <w:ind w:left="1420" w:hanging="440"/>
        <w:spacing w:after="0"/>
        <w:tabs>
          <w:tab w:leader="none" w:pos="14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 as to which the Reporting Person has:</w:t>
      </w:r>
    </w:p>
    <w:p>
      <w:pPr>
        <w:spacing w:after="0" w:line="225" w:lineRule="exact"/>
        <w:rPr>
          <w:rFonts w:ascii="Arial" w:cs="Arial" w:eastAsia="Arial" w:hAnsi="Arial"/>
          <w:sz w:val="18"/>
          <w:szCs w:val="18"/>
          <w:b w:val="1"/>
          <w:bCs w:val="1"/>
          <w:color w:val="auto"/>
        </w:rPr>
      </w:pPr>
    </w:p>
    <w:p>
      <w:pPr>
        <w:jc w:val="both"/>
        <w:ind w:left="1880" w:right="6300" w:hanging="455"/>
        <w:spacing w:after="0" w:line="601" w:lineRule="auto"/>
        <w:tabs>
          <w:tab w:leader="none" w:pos="1864" w:val="left"/>
        </w:tabs>
        <w:numPr>
          <w:ilvl w:val="1"/>
          <w:numId w:val="1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Sole power to vote or to direct the vote: </w:t>
      </w:r>
      <w:r>
        <w:rPr>
          <w:rFonts w:ascii="Arial" w:cs="Arial" w:eastAsia="Arial" w:hAnsi="Arial"/>
          <w:sz w:val="15"/>
          <w:szCs w:val="15"/>
          <w:color w:val="auto"/>
        </w:rPr>
        <w:t>See responses to Item 5 on the cover page.</w:t>
      </w:r>
    </w:p>
    <w:p>
      <w:pPr>
        <w:ind w:left="1880" w:right="6120" w:hanging="455"/>
        <w:spacing w:after="0" w:line="563" w:lineRule="auto"/>
        <w:tabs>
          <w:tab w:leader="none" w:pos="1864" w:val="left"/>
        </w:tabs>
        <w:numPr>
          <w:ilvl w:val="1"/>
          <w:numId w:val="1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Shared power to vote or to direct the vote: </w:t>
      </w:r>
      <w:r>
        <w:rPr>
          <w:rFonts w:ascii="Arial" w:cs="Arial" w:eastAsia="Arial" w:hAnsi="Arial"/>
          <w:sz w:val="16"/>
          <w:szCs w:val="16"/>
          <w:color w:val="auto"/>
        </w:rPr>
        <w:t>See responses to Item 6 on the cover page.</w:t>
      </w:r>
    </w:p>
    <w:p>
      <w:pPr>
        <w:ind w:left="1880" w:right="5400" w:hanging="455"/>
        <w:spacing w:after="0" w:line="563" w:lineRule="auto"/>
        <w:tabs>
          <w:tab w:leader="none" w:pos="1864" w:val="left"/>
        </w:tabs>
        <w:numPr>
          <w:ilvl w:val="1"/>
          <w:numId w:val="1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Sole power to dispose or to direct the disposition of: </w:t>
      </w:r>
      <w:r>
        <w:rPr>
          <w:rFonts w:ascii="Arial" w:cs="Arial" w:eastAsia="Arial" w:hAnsi="Arial"/>
          <w:sz w:val="16"/>
          <w:szCs w:val="16"/>
          <w:color w:val="auto"/>
        </w:rPr>
        <w:t>See responses to Item 7 on the cover page.</w:t>
      </w:r>
    </w:p>
    <w:p>
      <w:pPr>
        <w:ind w:left="1880" w:right="5180" w:hanging="455"/>
        <w:spacing w:after="0" w:line="566" w:lineRule="auto"/>
        <w:tabs>
          <w:tab w:leader="none" w:pos="1864" w:val="left"/>
        </w:tabs>
        <w:numPr>
          <w:ilvl w:val="1"/>
          <w:numId w:val="1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Shared power to dispose or to direct the disposition of: </w:t>
      </w:r>
      <w:r>
        <w:rPr>
          <w:rFonts w:ascii="Arial" w:cs="Arial" w:eastAsia="Arial" w:hAnsi="Arial"/>
          <w:sz w:val="16"/>
          <w:szCs w:val="16"/>
          <w:color w:val="auto"/>
        </w:rPr>
        <w:t>See responses to Item 8 on the cover page.</w:t>
      </w:r>
    </w:p>
    <w:p>
      <w:pPr>
        <w:ind w:left="1880" w:right="20"/>
        <w:spacing w:after="0" w:line="257" w:lineRule="auto"/>
        <w:rPr>
          <w:rFonts w:ascii="Arial" w:cs="Arial" w:eastAsia="Arial" w:hAnsi="Arial"/>
          <w:sz w:val="16"/>
          <w:szCs w:val="16"/>
          <w:b w:val="1"/>
          <w:bCs w:val="1"/>
          <w:color w:val="auto"/>
        </w:rPr>
      </w:pPr>
      <w:r>
        <w:rPr>
          <w:rFonts w:ascii="Arial" w:cs="Arial" w:eastAsia="Arial" w:hAnsi="Arial"/>
          <w:sz w:val="18"/>
          <w:szCs w:val="18"/>
          <w:color w:val="auto"/>
        </w:rPr>
        <w:t>The Reporting Person has voting and investment discretion over the reported securities, which are held directly by VFMC Opportunistic Strategies Trust and managed by the Reporting Person on behalf of various pensions and client accounts. The filing of this Statement shall not be construed as an admission that either the Reporting Person or the VFMC Opportunistic Strategies Trust is, for the purpose of Section 13(d) or 13(g) of the Exchange Act, the beneficial owner of any securities covered by this Statement.</w:t>
      </w:r>
    </w:p>
    <w:p>
      <w:pPr>
        <w:spacing w:after="0" w:line="18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98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29" w:lineRule="exact"/>
        <w:rPr>
          <w:sz w:val="20"/>
          <w:szCs w:val="20"/>
          <w:color w:val="auto"/>
        </w:rPr>
      </w:pPr>
    </w:p>
    <w:p>
      <w:pPr>
        <w:ind w:left="980" w:right="80"/>
        <w:spacing w:after="0" w:line="272" w:lineRule="auto"/>
        <w:rPr>
          <w:sz w:val="20"/>
          <w:szCs w:val="20"/>
          <w:color w:val="auto"/>
        </w:rPr>
      </w:pPr>
      <w:r>
        <w:rPr>
          <w:rFonts w:ascii="Arial" w:cs="Arial" w:eastAsia="Arial" w:hAnsi="Arial"/>
          <w:sz w:val="17"/>
          <w:szCs w:val="17"/>
          <w:color w:val="auto"/>
        </w:rPr>
        <w:t>By signing below the Reporting Person certifies that, to the best of its knowledge and belief, (i)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and (ii) the foreign regulatory scheme applicable to the Reporting Person is substantially comparable to the regulatory scheme applicable to a U.S. investment adviser registered under Section 2.03 of the Investment Advisers Act of 1940. The Reporting Person also undertake to furnish to the Commission staff, upon request, information that would otherwise be disclosed in a Schedule 13D.</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center"/>
        <w:ind w:right="-1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7, 2023</w:t>
      </w:r>
    </w:p>
    <w:p>
      <w:pPr>
        <w:spacing w:after="0" w:line="221"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VICTORIAN FUNDS MANAGEMENT</w:t>
      </w:r>
    </w:p>
    <w:p>
      <w:pPr>
        <w:spacing w:after="0" w:line="27"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CORPORATION</w:t>
      </w:r>
    </w:p>
    <w:p>
      <w:pPr>
        <w:spacing w:after="0" w:line="211"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Mark Aarons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Mark Aarons</w:t>
      </w:r>
    </w:p>
    <w:p>
      <w:pPr>
        <w:spacing w:after="0" w:line="36"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Authorised Officer</w:t>
      </w:r>
    </w:p>
    <w:p>
      <w:pPr>
        <w:spacing w:after="0" w:line="200" w:lineRule="exact"/>
        <w:rPr>
          <w:sz w:val="20"/>
          <w:szCs w:val="20"/>
          <w:color w:val="auto"/>
        </w:rPr>
      </w:pPr>
    </w:p>
    <w:p>
      <w:pPr>
        <w:spacing w:after="0" w:line="2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060"/>
      </w:cols>
      <w:pgMar w:left="320" w:top="904"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3"/>
    </w:lvl>
    <w:lvl w:ilvl="1">
      <w:lvlJc w:val="left"/>
      <w:lvlText w:val="%2."/>
      <w:numFmt w:val="decimal"/>
      <w:start w:val="5"/>
    </w:lvl>
  </w:abstractNum>
  <w:abstractNum w:abstractNumId="5">
    <w:nsid w:val="4DB127F8"/>
    <w:multiLevelType w:val="hybridMultilevel"/>
    <w:lvl w:ilvl="0">
      <w:lvlJc w:val="left"/>
      <w:lvlText w:val="%1"/>
      <w:numFmt w:val="decimal"/>
      <w:start w:val="1"/>
    </w:lvl>
    <w:lvl w:ilvl="1">
      <w:lvlJc w:val="left"/>
      <w:lvlText w:val="%2."/>
      <w:numFmt w:val="decimal"/>
      <w:start w:val="8"/>
    </w:lvl>
  </w:abstractNum>
  <w:abstractNum w:abstractNumId="6">
    <w:nsid w:val="216231B"/>
    <w:multiLevelType w:val="hybridMultilevel"/>
    <w:lvl w:ilvl="0">
      <w:lvlJc w:val="left"/>
      <w:lvlText w:val="%1."/>
      <w:numFmt w:val="decimal"/>
      <w:start w:val="9"/>
    </w:lvl>
    <w:lvl w:ilvl="1">
      <w:lvlJc w:val="left"/>
      <w:lvlText w:val="%2"/>
      <w:numFmt w:val="decimal"/>
      <w:start w:val="1"/>
    </w:lvl>
  </w:abstractNum>
  <w:abstractNum w:abstractNumId="7">
    <w:nsid w:val="1F16E9E8"/>
    <w:multiLevelType w:val="hybridMultilevel"/>
    <w:lvl w:ilvl="0">
      <w:lvlJc w:val="left"/>
      <w:lvlText w:val="%1"/>
      <w:numFmt w:val="decimal"/>
      <w:start w:val="1"/>
    </w:lvl>
    <w:lvl w:ilvl="1">
      <w:lvlJc w:val="left"/>
      <w:lvlText w:val="%2."/>
      <w:numFmt w:val="decimal"/>
      <w:start w:val="10"/>
    </w:lvl>
  </w:abstractNum>
  <w:abstractNum w:abstractNumId="8">
    <w:nsid w:val="1190CDE7"/>
    <w:multiLevelType w:val="hybridMultilevel"/>
    <w:lvl w:ilvl="0">
      <w:lvlJc w:val="left"/>
      <w:lvlText w:val="(%1)"/>
      <w:numFmt w:val="decimal"/>
      <w:start w:val="1"/>
    </w:lvl>
    <w:lvl w:ilvl="1">
      <w:lvlJc w:val="left"/>
      <w:lvlText w:val="%2"/>
      <w:numFmt w:val="decimal"/>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2023-02-07T15:15:34Z</dcterms:created>
  <dcterms:modified xsi:type="dcterms:W3CDTF">2023-02-07T15:15:34Z</dcterms:modified>
</cp:coreProperties>
</file>