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37" w:lineRule="exact"/>
        <w:rPr>
          <w:sz w:val="24"/>
          <w:szCs w:val="24"/>
          <w:color w:val="auto"/>
        </w:rPr>
      </w:pPr>
    </w:p>
    <w:p>
      <w:pPr>
        <w:ind w:left="4240" w:right="1520" w:hanging="4219"/>
        <w:spacing w:after="0" w:line="301" w:lineRule="auto"/>
        <w:tabs>
          <w:tab w:leader="none" w:pos="92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ANNUAL REPORT PURSUANT TO SECTION 13 OR 15(d) OF THE SECURITIES EXCHANGE ACT OF 1934 </w:t>
      </w:r>
      <w:r>
        <w:rPr>
          <w:rFonts w:ascii="Times New Roman" w:cs="Times New Roman" w:eastAsia="Times New Roman" w:hAnsi="Times New Roman"/>
          <w:sz w:val="17"/>
          <w:szCs w:val="17"/>
          <w:b w:val="1"/>
          <w:bCs w:val="1"/>
          <w:color w:val="auto"/>
        </w:rPr>
        <w:t>For the fiscal year ended December 31, 2023</w:t>
      </w: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28" w:lineRule="exact"/>
        <w:rPr>
          <w:sz w:val="24"/>
          <w:szCs w:val="24"/>
          <w:color w:val="auto"/>
        </w:rPr>
      </w:pPr>
    </w:p>
    <w:p>
      <w:pPr>
        <w:jc w:val="center"/>
        <w:ind w:left="4320" w:right="1160" w:hanging="4299"/>
        <w:spacing w:after="0" w:line="326" w:lineRule="auto"/>
        <w:tabs>
          <w:tab w:leader="none" w:pos="93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7"/>
          <w:szCs w:val="17"/>
          <w:b w:val="1"/>
          <w:bCs w:val="1"/>
          <w:color w:val="auto"/>
        </w:rPr>
        <w:t>Commission file number 814-01543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14605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Sixth Street Lending Partners</w:t>
      </w:r>
    </w:p>
    <w:p>
      <w:pPr>
        <w:spacing w:after="0" w:line="85" w:lineRule="exact"/>
        <w:rPr>
          <w:sz w:val="24"/>
          <w:szCs w:val="24"/>
          <w:color w:val="auto"/>
        </w:rPr>
      </w:pPr>
    </w:p>
    <w:tbl>
      <w:tblPr>
        <w:tblLayout w:type="fixed"/>
        <w:tblInd w:w="10" w:type="dxa"/>
        <w:tblCellMar>
          <w:top w:w="0" w:type="dxa"/>
          <w:left w:w="0" w:type="dxa"/>
          <w:bottom w:w="0" w:type="dxa"/>
          <w:right w:w="0" w:type="dxa"/>
        </w:tblCellMar>
      </w:tblPr>
      <w:tr>
        <w:trPr>
          <w:trHeight w:val="226"/>
        </w:trPr>
        <w:tc>
          <w:tcPr>
            <w:tcW w:w="2400" w:type="dxa"/>
            <w:vAlign w:val="bottom"/>
          </w:tcPr>
          <w:p>
            <w:pPr>
              <w:spacing w:after="0"/>
              <w:rPr>
                <w:sz w:val="19"/>
                <w:szCs w:val="19"/>
                <w:color w:val="auto"/>
              </w:rPr>
            </w:pPr>
          </w:p>
        </w:tc>
        <w:tc>
          <w:tcPr>
            <w:tcW w:w="5380" w:type="dxa"/>
            <w:vAlign w:val="bottom"/>
            <w:gridSpan w:val="6"/>
          </w:tcPr>
          <w:p>
            <w:pPr>
              <w:jc w:val="center"/>
              <w:ind w:left="935"/>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tc>
        <w:tc>
          <w:tcPr>
            <w:tcW w:w="3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400" w:type="dxa"/>
            <w:vAlign w:val="bottom"/>
          </w:tcPr>
          <w:p>
            <w:pPr>
              <w:spacing w:after="0"/>
              <w:rPr>
                <w:sz w:val="24"/>
                <w:szCs w:val="24"/>
                <w:color w:val="auto"/>
              </w:rPr>
            </w:pPr>
          </w:p>
        </w:tc>
        <w:tc>
          <w:tcPr>
            <w:tcW w:w="4940" w:type="dxa"/>
            <w:vAlign w:val="bottom"/>
            <w:gridSpan w:val="4"/>
          </w:tcPr>
          <w:p>
            <w:pPr>
              <w:jc w:val="center"/>
              <w:ind w:right="4100"/>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60" w:type="dxa"/>
            <w:vAlign w:val="bottom"/>
          </w:tcPr>
          <w:p>
            <w:pPr>
              <w:jc w:val="right"/>
              <w:ind w:right="2325"/>
              <w:spacing w:after="0"/>
              <w:rPr>
                <w:sz w:val="20"/>
                <w:szCs w:val="20"/>
                <w:color w:val="auto"/>
              </w:rPr>
            </w:pPr>
            <w:r>
              <w:rPr>
                <w:rFonts w:ascii="Times New Roman" w:cs="Times New Roman" w:eastAsia="Times New Roman" w:hAnsi="Times New Roman"/>
                <w:sz w:val="17"/>
                <w:szCs w:val="17"/>
                <w:b w:val="1"/>
                <w:bCs w:val="1"/>
                <w:color w:val="auto"/>
              </w:rPr>
              <w:t>88-1710161</w:t>
            </w:r>
          </w:p>
        </w:tc>
        <w:tc>
          <w:tcPr>
            <w:tcW w:w="0" w:type="dxa"/>
            <w:vAlign w:val="bottom"/>
          </w:tcPr>
          <w:p>
            <w:pPr>
              <w:spacing w:after="0"/>
              <w:rPr>
                <w:sz w:val="1"/>
                <w:szCs w:val="1"/>
                <w:color w:val="auto"/>
              </w:rPr>
            </w:pPr>
          </w:p>
        </w:tc>
      </w:tr>
      <w:tr>
        <w:trPr>
          <w:trHeight w:val="161"/>
        </w:trPr>
        <w:tc>
          <w:tcPr>
            <w:tcW w:w="7340" w:type="dxa"/>
            <w:vAlign w:val="bottom"/>
            <w:gridSpan w:val="5"/>
          </w:tcPr>
          <w:p>
            <w:pPr>
              <w:jc w:val="center"/>
              <w:ind w:right="170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60" w:type="dxa"/>
            <w:vAlign w:val="bottom"/>
          </w:tcPr>
          <w:p>
            <w:pPr>
              <w:jc w:val="center"/>
              <w:ind w:right="2085"/>
              <w:spacing w:after="0"/>
              <w:rPr>
                <w:sz w:val="20"/>
                <w:szCs w:val="20"/>
                <w:color w:val="auto"/>
              </w:rPr>
            </w:pPr>
            <w:r>
              <w:rPr>
                <w:rFonts w:ascii="Times New Roman" w:cs="Times New Roman" w:eastAsia="Times New Roman" w:hAnsi="Times New Roman"/>
                <w:sz w:val="13"/>
                <w:szCs w:val="13"/>
                <w:b w:val="1"/>
                <w:bCs w:val="1"/>
                <w:color w:val="auto"/>
              </w:rPr>
              <w:t>(I.R.S. Employer</w:t>
            </w:r>
          </w:p>
        </w:tc>
        <w:tc>
          <w:tcPr>
            <w:tcW w:w="0" w:type="dxa"/>
            <w:vAlign w:val="bottom"/>
          </w:tcPr>
          <w:p>
            <w:pPr>
              <w:spacing w:after="0"/>
              <w:rPr>
                <w:sz w:val="1"/>
                <w:szCs w:val="1"/>
                <w:color w:val="auto"/>
              </w:rPr>
            </w:pPr>
          </w:p>
        </w:tc>
      </w:tr>
      <w:tr>
        <w:trPr>
          <w:trHeight w:val="178"/>
        </w:trPr>
        <w:tc>
          <w:tcPr>
            <w:tcW w:w="7340" w:type="dxa"/>
            <w:vAlign w:val="bottom"/>
            <w:gridSpan w:val="5"/>
          </w:tcPr>
          <w:p>
            <w:pPr>
              <w:jc w:val="center"/>
              <w:ind w:right="17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60" w:type="dxa"/>
            <w:vAlign w:val="bottom"/>
          </w:tcPr>
          <w:p>
            <w:pPr>
              <w:jc w:val="center"/>
              <w:ind w:right="2085"/>
              <w:spacing w:after="0"/>
              <w:rPr>
                <w:sz w:val="20"/>
                <w:szCs w:val="20"/>
                <w:color w:val="auto"/>
              </w:rPr>
            </w:pPr>
            <w:r>
              <w:rPr>
                <w:rFonts w:ascii="Times New Roman" w:cs="Times New Roman" w:eastAsia="Times New Roman" w:hAnsi="Times New Roman"/>
                <w:sz w:val="13"/>
                <w:szCs w:val="13"/>
                <w:b w:val="1"/>
                <w:bCs w:val="1"/>
                <w:color w:val="auto"/>
              </w:rPr>
              <w:t>Identification No.)</w:t>
            </w:r>
          </w:p>
        </w:tc>
        <w:tc>
          <w:tcPr>
            <w:tcW w:w="0" w:type="dxa"/>
            <w:vAlign w:val="bottom"/>
          </w:tcPr>
          <w:p>
            <w:pPr>
              <w:spacing w:after="0"/>
              <w:rPr>
                <w:sz w:val="1"/>
                <w:szCs w:val="1"/>
                <w:color w:val="auto"/>
              </w:rPr>
            </w:pPr>
          </w:p>
        </w:tc>
      </w:tr>
      <w:tr>
        <w:trPr>
          <w:trHeight w:val="285"/>
        </w:trPr>
        <w:tc>
          <w:tcPr>
            <w:tcW w:w="7340" w:type="dxa"/>
            <w:vAlign w:val="bottom"/>
            <w:gridSpan w:val="5"/>
          </w:tcPr>
          <w:p>
            <w:pPr>
              <w:jc w:val="center"/>
              <w:ind w:right="1720"/>
              <w:spacing w:after="0"/>
              <w:rPr>
                <w:sz w:val="20"/>
                <w:szCs w:val="20"/>
                <w:color w:val="auto"/>
              </w:rPr>
            </w:pPr>
            <w:r>
              <w:rPr>
                <w:rFonts w:ascii="Times New Roman" w:cs="Times New Roman" w:eastAsia="Times New Roman" w:hAnsi="Times New Roman"/>
                <w:sz w:val="17"/>
                <w:szCs w:val="17"/>
                <w:b w:val="1"/>
                <w:bCs w:val="1"/>
                <w:color w:val="auto"/>
              </w:rPr>
              <w:t>2100 McKinney Avenue, Suite 1500</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400" w:type="dxa"/>
            <w:vAlign w:val="bottom"/>
          </w:tcPr>
          <w:p>
            <w:pPr>
              <w:spacing w:after="0"/>
              <w:rPr>
                <w:sz w:val="20"/>
                <w:szCs w:val="20"/>
                <w:color w:val="auto"/>
              </w:rPr>
            </w:pPr>
          </w:p>
        </w:tc>
        <w:tc>
          <w:tcPr>
            <w:tcW w:w="4940" w:type="dxa"/>
            <w:vAlign w:val="bottom"/>
            <w:gridSpan w:val="4"/>
          </w:tcPr>
          <w:p>
            <w:pPr>
              <w:jc w:val="center"/>
              <w:ind w:right="4120"/>
              <w:spacing w:after="0"/>
              <w:rPr>
                <w:sz w:val="20"/>
                <w:szCs w:val="20"/>
                <w:color w:val="auto"/>
              </w:rPr>
            </w:pPr>
            <w:r>
              <w:rPr>
                <w:rFonts w:ascii="Times New Roman" w:cs="Times New Roman" w:eastAsia="Times New Roman" w:hAnsi="Times New Roman"/>
                <w:sz w:val="17"/>
                <w:szCs w:val="17"/>
                <w:b w:val="1"/>
                <w:bCs w:val="1"/>
                <w:color w:val="auto"/>
              </w:rPr>
              <w:t>Dallas, TX</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60" w:type="dxa"/>
            <w:vAlign w:val="bottom"/>
          </w:tcPr>
          <w:p>
            <w:pPr>
              <w:jc w:val="right"/>
              <w:ind w:right="2525"/>
              <w:spacing w:after="0"/>
              <w:rPr>
                <w:sz w:val="20"/>
                <w:szCs w:val="20"/>
                <w:color w:val="auto"/>
              </w:rPr>
            </w:pPr>
            <w:r>
              <w:rPr>
                <w:rFonts w:ascii="Times New Roman" w:cs="Times New Roman" w:eastAsia="Times New Roman" w:hAnsi="Times New Roman"/>
                <w:sz w:val="17"/>
                <w:szCs w:val="17"/>
                <w:b w:val="1"/>
                <w:bCs w:val="1"/>
                <w:color w:val="auto"/>
              </w:rPr>
              <w:t>75201</w:t>
            </w:r>
          </w:p>
        </w:tc>
        <w:tc>
          <w:tcPr>
            <w:tcW w:w="0" w:type="dxa"/>
            <w:vAlign w:val="bottom"/>
          </w:tcPr>
          <w:p>
            <w:pPr>
              <w:spacing w:after="0"/>
              <w:rPr>
                <w:sz w:val="1"/>
                <w:szCs w:val="1"/>
                <w:color w:val="auto"/>
              </w:rPr>
            </w:pPr>
          </w:p>
        </w:tc>
      </w:tr>
      <w:tr>
        <w:trPr>
          <w:trHeight w:val="191"/>
        </w:trPr>
        <w:tc>
          <w:tcPr>
            <w:tcW w:w="7340" w:type="dxa"/>
            <w:vAlign w:val="bottom"/>
            <w:gridSpan w:val="5"/>
          </w:tcPr>
          <w:p>
            <w:pPr>
              <w:jc w:val="center"/>
              <w:ind w:right="17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60" w:type="dxa"/>
            <w:vAlign w:val="bottom"/>
          </w:tcPr>
          <w:p>
            <w:pPr>
              <w:jc w:val="center"/>
              <w:ind w:right="2085"/>
              <w:spacing w:after="0"/>
              <w:rPr>
                <w:sz w:val="20"/>
                <w:szCs w:val="20"/>
                <w:color w:val="auto"/>
              </w:rPr>
            </w:pPr>
            <w:r>
              <w:rPr>
                <w:rFonts w:ascii="Times New Roman" w:cs="Times New Roman" w:eastAsia="Times New Roman" w:hAnsi="Times New Roman"/>
                <w:sz w:val="13"/>
                <w:szCs w:val="13"/>
                <w:b w:val="1"/>
                <w:bCs w:val="1"/>
                <w:color w:val="auto"/>
              </w:rPr>
              <w:t>(Zip Code)</w:t>
            </w:r>
          </w:p>
        </w:tc>
        <w:tc>
          <w:tcPr>
            <w:tcW w:w="0" w:type="dxa"/>
            <w:vAlign w:val="bottom"/>
          </w:tcPr>
          <w:p>
            <w:pPr>
              <w:spacing w:after="0"/>
              <w:rPr>
                <w:sz w:val="1"/>
                <w:szCs w:val="1"/>
                <w:color w:val="auto"/>
              </w:rPr>
            </w:pPr>
          </w:p>
        </w:tc>
      </w:tr>
      <w:tr>
        <w:trPr>
          <w:trHeight w:val="255"/>
        </w:trPr>
        <w:tc>
          <w:tcPr>
            <w:tcW w:w="2400" w:type="dxa"/>
            <w:vAlign w:val="bottom"/>
          </w:tcPr>
          <w:p>
            <w:pPr>
              <w:spacing w:after="0"/>
              <w:rPr>
                <w:sz w:val="22"/>
                <w:szCs w:val="22"/>
                <w:color w:val="auto"/>
              </w:rPr>
            </w:pPr>
          </w:p>
        </w:tc>
        <w:tc>
          <w:tcPr>
            <w:tcW w:w="8840" w:type="dxa"/>
            <w:vAlign w:val="bottom"/>
            <w:gridSpan w:val="7"/>
          </w:tcPr>
          <w:p>
            <w:pPr>
              <w:jc w:val="center"/>
              <w:ind w:right="2365"/>
              <w:spacing w:after="0"/>
              <w:rPr>
                <w:sz w:val="20"/>
                <w:szCs w:val="20"/>
                <w:color w:val="auto"/>
              </w:rPr>
            </w:pPr>
            <w:r>
              <w:rPr>
                <w:rFonts w:ascii="Times New Roman" w:cs="Times New Roman" w:eastAsia="Times New Roman" w:hAnsi="Times New Roman"/>
                <w:sz w:val="17"/>
                <w:szCs w:val="17"/>
                <w:b w:val="1"/>
                <w:bCs w:val="1"/>
                <w:color w:val="auto"/>
                <w:w w:val="99"/>
              </w:rPr>
              <w:t>Registrant’s Telephone Number, Including Area Code: (469) 621-3001</w:t>
            </w:r>
          </w:p>
        </w:tc>
        <w:tc>
          <w:tcPr>
            <w:tcW w:w="0" w:type="dxa"/>
            <w:vAlign w:val="bottom"/>
          </w:tcPr>
          <w:p>
            <w:pPr>
              <w:spacing w:after="0"/>
              <w:rPr>
                <w:sz w:val="1"/>
                <w:szCs w:val="1"/>
                <w:color w:val="auto"/>
              </w:rPr>
            </w:pPr>
          </w:p>
        </w:tc>
      </w:tr>
      <w:tr>
        <w:trPr>
          <w:trHeight w:val="257"/>
        </w:trPr>
        <w:tc>
          <w:tcPr>
            <w:tcW w:w="2400" w:type="dxa"/>
            <w:vAlign w:val="bottom"/>
          </w:tcPr>
          <w:p>
            <w:pPr>
              <w:spacing w:after="0"/>
              <w:rPr>
                <w:sz w:val="22"/>
                <w:szCs w:val="22"/>
                <w:color w:val="auto"/>
              </w:rPr>
            </w:pPr>
          </w:p>
        </w:tc>
        <w:tc>
          <w:tcPr>
            <w:tcW w:w="5380" w:type="dxa"/>
            <w:vAlign w:val="bottom"/>
            <w:gridSpan w:val="6"/>
          </w:tcPr>
          <w:p>
            <w:pPr>
              <w:jc w:val="center"/>
              <w:ind w:left="955"/>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tc>
        <w:tc>
          <w:tcPr>
            <w:tcW w:w="3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6"/>
        </w:trPr>
        <w:tc>
          <w:tcPr>
            <w:tcW w:w="240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4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400" w:type="dxa"/>
            <w:vAlign w:val="bottom"/>
            <w:tcBorders>
              <w:left w:val="single" w:sz="8" w:color="auto"/>
              <w:bottom w:val="single" w:sz="8" w:color="auto"/>
            </w:tcBorders>
          </w:tcPr>
          <w:p>
            <w:pPr>
              <w:jc w:val="center"/>
              <w:ind w:left="1306"/>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36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840" w:type="dxa"/>
            <w:vAlign w:val="bottom"/>
            <w:tcBorders>
              <w:bottom w:val="single" w:sz="8" w:color="auto"/>
            </w:tcBorders>
            <w:gridSpan w:val="2"/>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16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460" w:type="dxa"/>
            <w:vAlign w:val="bottom"/>
            <w:tcBorders>
              <w:bottom w:val="single" w:sz="8" w:color="auto"/>
              <w:right w:val="single" w:sz="8" w:color="auto"/>
            </w:tcBorders>
          </w:tcPr>
          <w:p>
            <w:pPr>
              <w:jc w:val="center"/>
              <w:ind w:right="225"/>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c>
          <w:tcPr>
            <w:tcW w:w="0" w:type="dxa"/>
            <w:vAlign w:val="bottom"/>
          </w:tcPr>
          <w:p>
            <w:pPr>
              <w:spacing w:after="0"/>
              <w:rPr>
                <w:sz w:val="1"/>
                <w:szCs w:val="1"/>
                <w:color w:val="auto"/>
              </w:rPr>
            </w:pPr>
          </w:p>
        </w:tc>
      </w:tr>
      <w:tr>
        <w:trPr>
          <w:trHeight w:val="274"/>
        </w:trPr>
        <w:tc>
          <w:tcPr>
            <w:tcW w:w="2400" w:type="dxa"/>
            <w:vAlign w:val="bottom"/>
            <w:tcBorders>
              <w:left w:val="single" w:sz="8" w:color="auto"/>
              <w:bottom w:val="single" w:sz="8" w:color="auto"/>
            </w:tcBorders>
          </w:tcPr>
          <w:p>
            <w:pPr>
              <w:jc w:val="center"/>
              <w:ind w:left="1306"/>
              <w:spacing w:after="0"/>
              <w:rPr>
                <w:sz w:val="20"/>
                <w:szCs w:val="20"/>
                <w:color w:val="auto"/>
              </w:rPr>
            </w:pPr>
            <w:r>
              <w:rPr>
                <w:rFonts w:ascii="Times New Roman" w:cs="Times New Roman" w:eastAsia="Times New Roman" w:hAnsi="Times New Roman"/>
                <w:sz w:val="17"/>
                <w:szCs w:val="17"/>
                <w:b w:val="1"/>
                <w:bCs w:val="1"/>
                <w:color w:val="auto"/>
              </w:rPr>
              <w:t>None</w:t>
            </w:r>
          </w:p>
        </w:tc>
        <w:tc>
          <w:tcPr>
            <w:tcW w:w="1360" w:type="dxa"/>
            <w:vAlign w:val="bottom"/>
            <w:tcBorders>
              <w:bottom w:val="single" w:sz="8" w:color="auto"/>
              <w:right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840" w:type="dxa"/>
            <w:vAlign w:val="bottom"/>
            <w:tcBorders>
              <w:bottom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None</w:t>
            </w:r>
          </w:p>
        </w:tc>
        <w:tc>
          <w:tcPr>
            <w:tcW w:w="160" w:type="dxa"/>
            <w:vAlign w:val="bottom"/>
            <w:tcBorders>
              <w:bottom w:val="single" w:sz="8" w:color="auto"/>
              <w:right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460" w:type="dxa"/>
            <w:vAlign w:val="bottom"/>
            <w:tcBorders>
              <w:bottom w:val="single" w:sz="8" w:color="auto"/>
              <w:right w:val="single" w:sz="8" w:color="auto"/>
            </w:tcBorders>
          </w:tcPr>
          <w:p>
            <w:pPr>
              <w:jc w:val="center"/>
              <w:ind w:right="205"/>
              <w:spacing w:after="0"/>
              <w:rPr>
                <w:sz w:val="20"/>
                <w:szCs w:val="20"/>
                <w:color w:val="auto"/>
              </w:rPr>
            </w:pPr>
            <w:r>
              <w:rPr>
                <w:rFonts w:ascii="Times New Roman" w:cs="Times New Roman" w:eastAsia="Times New Roman" w:hAnsi="Times New Roman"/>
                <w:sz w:val="17"/>
                <w:szCs w:val="17"/>
                <w:b w:val="1"/>
                <w:bCs w:val="1"/>
                <w:color w:val="auto"/>
              </w:rPr>
              <w:t>None</w:t>
            </w:r>
          </w:p>
        </w:tc>
        <w:tc>
          <w:tcPr>
            <w:tcW w:w="0" w:type="dxa"/>
            <w:vAlign w:val="bottom"/>
          </w:tcPr>
          <w:p>
            <w:pPr>
              <w:spacing w:after="0"/>
              <w:rPr>
                <w:sz w:val="1"/>
                <w:szCs w:val="1"/>
                <w:color w:val="auto"/>
              </w:rPr>
            </w:pPr>
          </w:p>
        </w:tc>
      </w:tr>
      <w:tr>
        <w:trPr>
          <w:trHeight w:val="255"/>
        </w:trPr>
        <w:tc>
          <w:tcPr>
            <w:tcW w:w="2400" w:type="dxa"/>
            <w:vAlign w:val="bottom"/>
          </w:tcPr>
          <w:p>
            <w:pPr>
              <w:spacing w:after="0"/>
              <w:rPr>
                <w:sz w:val="22"/>
                <w:szCs w:val="22"/>
                <w:color w:val="auto"/>
              </w:rPr>
            </w:pPr>
          </w:p>
        </w:tc>
        <w:tc>
          <w:tcPr>
            <w:tcW w:w="5380" w:type="dxa"/>
            <w:vAlign w:val="bottom"/>
            <w:gridSpan w:val="6"/>
          </w:tcPr>
          <w:p>
            <w:pPr>
              <w:jc w:val="center"/>
              <w:ind w:left="935"/>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12(g) of the Act:</w:t>
            </w:r>
          </w:p>
        </w:tc>
        <w:tc>
          <w:tcPr>
            <w:tcW w:w="3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00" w:type="dxa"/>
            <w:vAlign w:val="bottom"/>
          </w:tcPr>
          <w:p>
            <w:pPr>
              <w:spacing w:after="0"/>
              <w:rPr>
                <w:sz w:val="22"/>
                <w:szCs w:val="22"/>
                <w:color w:val="auto"/>
              </w:rPr>
            </w:pPr>
          </w:p>
        </w:tc>
        <w:tc>
          <w:tcPr>
            <w:tcW w:w="8840" w:type="dxa"/>
            <w:vAlign w:val="bottom"/>
            <w:gridSpan w:val="7"/>
          </w:tcPr>
          <w:p>
            <w:pPr>
              <w:jc w:val="center"/>
              <w:ind w:right="2325"/>
              <w:spacing w:after="0"/>
              <w:rPr>
                <w:sz w:val="20"/>
                <w:szCs w:val="20"/>
                <w:color w:val="auto"/>
              </w:rPr>
            </w:pPr>
            <w:r>
              <w:rPr>
                <w:rFonts w:ascii="Times New Roman" w:cs="Times New Roman" w:eastAsia="Times New Roman" w:hAnsi="Times New Roman"/>
                <w:sz w:val="17"/>
                <w:szCs w:val="17"/>
                <w:b w:val="1"/>
                <w:bCs w:val="1"/>
                <w:color w:val="auto"/>
              </w:rPr>
              <w:t>Common shares of beneficial interest, par value $0.001 per share</w:t>
            </w:r>
          </w:p>
        </w:tc>
        <w:tc>
          <w:tcPr>
            <w:tcW w:w="0" w:type="dxa"/>
            <w:vAlign w:val="bottom"/>
          </w:tcPr>
          <w:p>
            <w:pPr>
              <w:spacing w:after="0"/>
              <w:rPr>
                <w:sz w:val="1"/>
                <w:szCs w:val="1"/>
                <w:color w:val="auto"/>
              </w:rPr>
            </w:pPr>
          </w:p>
        </w:tc>
      </w:tr>
      <w:tr>
        <w:trPr>
          <w:trHeight w:val="257"/>
        </w:trPr>
        <w:tc>
          <w:tcPr>
            <w:tcW w:w="2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40" w:type="dxa"/>
            <w:vAlign w:val="bottom"/>
            <w:gridSpan w:val="2"/>
          </w:tcPr>
          <w:p>
            <w:pPr>
              <w:jc w:val="center"/>
              <w:ind w:right="620"/>
              <w:spacing w:after="0"/>
              <w:rPr>
                <w:sz w:val="20"/>
                <w:szCs w:val="20"/>
                <w:color w:val="auto"/>
              </w:rPr>
            </w:pPr>
            <w:r>
              <w:rPr>
                <w:rFonts w:ascii="Times New Roman" w:cs="Times New Roman" w:eastAsia="Times New Roman" w:hAnsi="Times New Roman"/>
                <w:sz w:val="17"/>
                <w:szCs w:val="17"/>
                <w:b w:val="1"/>
                <w:bCs w:val="1"/>
                <w:color w:val="auto"/>
                <w:w w:val="99"/>
              </w:rPr>
              <w:t>(Title of class)</w:t>
            </w: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4"/>
        </w:trPr>
        <w:tc>
          <w:tcPr>
            <w:tcW w:w="4500" w:type="dxa"/>
            <w:vAlign w:val="bottom"/>
            <w:gridSpan w:val="3"/>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gridSpan w:val="2"/>
            <w:vMerge w:val="restart"/>
          </w:tcPr>
          <w:p>
            <w:pPr>
              <w:spacing w:after="0" w:line="173" w:lineRule="exact"/>
              <w:rPr>
                <w:sz w:val="20"/>
                <w:szCs w:val="20"/>
                <w:color w:val="auto"/>
              </w:rPr>
            </w:pPr>
            <w:r>
              <w:rPr>
                <w:rFonts w:ascii="Times New Roman" w:cs="Times New Roman" w:eastAsia="Times New Roman" w:hAnsi="Times New Roman"/>
                <w:sz w:val="15"/>
                <w:szCs w:val="15"/>
                <w:color w:val="auto"/>
                <w:w w:val="99"/>
              </w:rPr>
              <w:t xml:space="preserve">Yes </w:t>
            </w:r>
            <w:r>
              <w:rPr>
                <w:rFonts w:ascii="MS PGothic" w:cs="MS PGothic" w:eastAsia="MS PGothic" w:hAnsi="MS PGothic"/>
                <w:sz w:val="15"/>
                <w:szCs w:val="15"/>
                <w:color w:val="auto"/>
                <w:w w:val="99"/>
              </w:rPr>
              <w:t>☐</w:t>
            </w:r>
          </w:p>
        </w:tc>
        <w:tc>
          <w:tcPr>
            <w:tcW w:w="3460" w:type="dxa"/>
            <w:vAlign w:val="bottom"/>
            <w:vMerge w:val="restart"/>
          </w:tcPr>
          <w:p>
            <w:pPr>
              <w:jc w:val="center"/>
              <w:ind w:right="2705"/>
              <w:spacing w:after="0" w:line="173" w:lineRule="exact"/>
              <w:rPr>
                <w:sz w:val="20"/>
                <w:szCs w:val="20"/>
                <w:color w:val="auto"/>
              </w:rPr>
            </w:pP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251"/>
        </w:trPr>
        <w:tc>
          <w:tcPr>
            <w:tcW w:w="734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Indicate by check mark if the registrant is a well-known seasoned issuer, as defined in Rule 405 of the Securities Act.</w:t>
            </w:r>
          </w:p>
        </w:tc>
        <w:tc>
          <w:tcPr>
            <w:tcW w:w="440" w:type="dxa"/>
            <w:vAlign w:val="bottom"/>
            <w:gridSpan w:val="2"/>
            <w:vMerge w:val="continue"/>
          </w:tcPr>
          <w:p>
            <w:pPr>
              <w:spacing w:after="0"/>
              <w:rPr>
                <w:sz w:val="21"/>
                <w:szCs w:val="21"/>
                <w:color w:val="auto"/>
              </w:rPr>
            </w:pPr>
          </w:p>
        </w:tc>
        <w:tc>
          <w:tcPr>
            <w:tcW w:w="34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734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Indicate by check mark if the registrant is not required to file reports pursuant to Section 13 or Section 15(d) of the Act.</w:t>
            </w: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Yes</w:t>
            </w:r>
          </w:p>
        </w:tc>
        <w:tc>
          <w:tcPr>
            <w:tcW w:w="3460" w:type="dxa"/>
            <w:vAlign w:val="bottom"/>
          </w:tcPr>
          <w:p>
            <w:pPr>
              <w:jc w:val="center"/>
              <w:ind w:right="2705"/>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bl>
    <w:p>
      <w:pPr>
        <w:spacing w:after="0" w:line="7" w:lineRule="exact"/>
        <w:rPr>
          <w:sz w:val="24"/>
          <w:szCs w:val="24"/>
          <w:color w:val="auto"/>
        </w:rPr>
      </w:pPr>
    </w:p>
    <w:p>
      <w:pPr>
        <w:ind w:right="320"/>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8" w:lineRule="exact"/>
        <w:rPr>
          <w:sz w:val="24"/>
          <w:szCs w:val="24"/>
          <w:color w:val="auto"/>
        </w:rPr>
      </w:pPr>
    </w:p>
    <w:p>
      <w:pPr>
        <w:ind w:right="180"/>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127" w:lineRule="exact"/>
        <w:rPr>
          <w:sz w:val="24"/>
          <w:szCs w:val="24"/>
          <w:color w:val="auto"/>
        </w:rPr>
      </w:pPr>
    </w:p>
    <w:tbl>
      <w:tblPr>
        <w:tblLayout w:type="fixed"/>
        <w:tblInd w:w="520" w:type="dxa"/>
        <w:tblCellMar>
          <w:top w:w="0" w:type="dxa"/>
          <w:left w:w="0" w:type="dxa"/>
          <w:bottom w:w="0" w:type="dxa"/>
          <w:right w:w="0" w:type="dxa"/>
        </w:tblCellMar>
      </w:tblPr>
      <w:tr>
        <w:trPr>
          <w:trHeight w:val="258"/>
        </w:trPr>
        <w:tc>
          <w:tcPr>
            <w:tcW w:w="206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1520" w:type="dxa"/>
            <w:vAlign w:val="bottom"/>
          </w:tcPr>
          <w:p>
            <w:pPr>
              <w:ind w:left="680"/>
              <w:spacing w:after="0" w:line="151" w:lineRule="exact"/>
              <w:rPr>
                <w:sz w:val="20"/>
                <w:szCs w:val="20"/>
                <w:color w:val="auto"/>
              </w:rPr>
            </w:pPr>
            <w:r>
              <w:rPr>
                <w:rFonts w:ascii="MS PGothic" w:cs="MS PGothic" w:eastAsia="MS PGothic" w:hAnsi="MS PGothic"/>
                <w:sz w:val="15"/>
                <w:szCs w:val="15"/>
                <w:color w:val="auto"/>
              </w:rPr>
              <w:t>☐</w:t>
            </w:r>
          </w:p>
        </w:tc>
        <w:tc>
          <w:tcPr>
            <w:tcW w:w="4300" w:type="dxa"/>
            <w:vAlign w:val="bottom"/>
          </w:tcPr>
          <w:p>
            <w:pPr>
              <w:ind w:left="700"/>
              <w:spacing w:after="0"/>
              <w:rPr>
                <w:sz w:val="20"/>
                <w:szCs w:val="20"/>
                <w:color w:val="auto"/>
              </w:rPr>
            </w:pPr>
            <w:r>
              <w:rPr>
                <w:rFonts w:ascii="Times New Roman" w:cs="Times New Roman" w:eastAsia="Times New Roman" w:hAnsi="Times New Roman"/>
                <w:sz w:val="15"/>
                <w:szCs w:val="15"/>
                <w:color w:val="auto"/>
              </w:rPr>
              <w:t>Accelerated filer</w:t>
            </w:r>
          </w:p>
        </w:tc>
        <w:tc>
          <w:tcPr>
            <w:tcW w:w="2040" w:type="dxa"/>
            <w:vAlign w:val="bottom"/>
          </w:tcPr>
          <w:p>
            <w:pPr>
              <w:ind w:left="19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363"/>
        </w:trPr>
        <w:tc>
          <w:tcPr>
            <w:tcW w:w="206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1520" w:type="dxa"/>
            <w:vAlign w:val="bottom"/>
          </w:tcPr>
          <w:p>
            <w:pPr>
              <w:ind w:left="680"/>
              <w:spacing w:after="0" w:line="151" w:lineRule="exact"/>
              <w:rPr>
                <w:sz w:val="20"/>
                <w:szCs w:val="20"/>
                <w:color w:val="auto"/>
              </w:rPr>
            </w:pPr>
            <w:r>
              <w:rPr>
                <w:rFonts w:ascii="MS PGothic" w:cs="MS PGothic" w:eastAsia="MS PGothic" w:hAnsi="MS PGothic"/>
                <w:sz w:val="15"/>
                <w:szCs w:val="15"/>
                <w:color w:val="auto"/>
              </w:rPr>
              <w:t>☒</w:t>
            </w:r>
          </w:p>
        </w:tc>
        <w:tc>
          <w:tcPr>
            <w:tcW w:w="4300" w:type="dxa"/>
            <w:vAlign w:val="bottom"/>
          </w:tcPr>
          <w:p>
            <w:pPr>
              <w:ind w:left="70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2040" w:type="dxa"/>
            <w:vAlign w:val="bottom"/>
          </w:tcPr>
          <w:p>
            <w:pPr>
              <w:ind w:left="19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8"/>
        </w:trPr>
        <w:tc>
          <w:tcPr>
            <w:tcW w:w="20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300" w:type="dxa"/>
            <w:vAlign w:val="bottom"/>
          </w:tcPr>
          <w:p>
            <w:pPr>
              <w:ind w:left="700"/>
              <w:spacing w:after="0"/>
              <w:rPr>
                <w:sz w:val="20"/>
                <w:szCs w:val="20"/>
                <w:color w:val="auto"/>
              </w:rPr>
            </w:pPr>
            <w:r>
              <w:rPr>
                <w:rFonts w:ascii="Times New Roman" w:cs="Times New Roman" w:eastAsia="Times New Roman" w:hAnsi="Times New Roman"/>
                <w:sz w:val="15"/>
                <w:szCs w:val="15"/>
                <w:color w:val="auto"/>
              </w:rPr>
              <w:t>Emerging growth company</w:t>
            </w:r>
          </w:p>
        </w:tc>
        <w:tc>
          <w:tcPr>
            <w:tcW w:w="2040" w:type="dxa"/>
            <w:vAlign w:val="bottom"/>
          </w:tcPr>
          <w:p>
            <w:pPr>
              <w:ind w:left="190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21" w:lineRule="exact"/>
        <w:rPr>
          <w:sz w:val="24"/>
          <w:szCs w:val="24"/>
          <w:color w:val="auto"/>
        </w:rPr>
      </w:pPr>
    </w:p>
    <w:p>
      <w:pPr>
        <w:ind w:right="600"/>
        <w:spacing w:after="0" w:line="199"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8" w:lineRule="exact"/>
        <w:rPr>
          <w:sz w:val="24"/>
          <w:szCs w:val="24"/>
          <w:color w:val="auto"/>
        </w:rPr>
      </w:pPr>
    </w:p>
    <w:p>
      <w:pPr>
        <w:ind w:right="240"/>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8" w:lineRule="exact"/>
        <w:rPr>
          <w:sz w:val="24"/>
          <w:szCs w:val="24"/>
          <w:color w:val="auto"/>
        </w:rPr>
      </w:pPr>
    </w:p>
    <w:p>
      <w:pPr>
        <w:ind w:right="100"/>
        <w:spacing w:after="0" w:line="199"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8" w:lineRule="exact"/>
        <w:rPr>
          <w:sz w:val="24"/>
          <w:szCs w:val="24"/>
          <w:color w:val="auto"/>
        </w:rPr>
      </w:pPr>
    </w:p>
    <w:p>
      <w:pPr>
        <w:ind w:right="220"/>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 w:lineRule="exact"/>
        <w:rPr>
          <w:sz w:val="24"/>
          <w:szCs w:val="24"/>
          <w:color w:val="auto"/>
        </w:rPr>
      </w:pPr>
    </w:p>
    <w:p>
      <w:pPr>
        <w:spacing w:after="0" w:line="173" w:lineRule="exact"/>
        <w:tabs>
          <w:tab w:leader="none" w:pos="6440" w:val="left"/>
          <w:tab w:leader="none" w:pos="704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Act).</w:t>
        <w:tab/>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5"/>
          <w:szCs w:val="15"/>
          <w:color w:val="auto"/>
        </w:rPr>
        <w:t>☒</w:t>
      </w:r>
    </w:p>
    <w:p>
      <w:pPr>
        <w:spacing w:after="0" w:line="7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The number of shares of the registrant’s common shares of beneficial interest, $0.001 par value per share (the "Common Shares"), outstanding at February 16, 2024 was 65,478,775.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115570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61" w:lineRule="exact"/>
        <w:rPr>
          <w:sz w:val="24"/>
          <w:szCs w:val="24"/>
          <w:color w:val="auto"/>
        </w:rPr>
      </w:pPr>
    </w:p>
    <w:p>
      <w:pPr>
        <w:spacing w:after="0"/>
        <w:tabs>
          <w:tab w:leader="none" w:pos="1460" w:val="left"/>
          <w:tab w:leader="none" w:pos="3400" w:val="left"/>
        </w:tabs>
        <w:rPr>
          <w:sz w:val="20"/>
          <w:szCs w:val="20"/>
          <w:color w:val="auto"/>
        </w:rPr>
      </w:pPr>
      <w:r>
        <w:rPr>
          <w:rFonts w:ascii="Times New Roman" w:cs="Times New Roman" w:eastAsia="Times New Roman" w:hAnsi="Times New Roman"/>
          <w:sz w:val="15"/>
          <w:szCs w:val="15"/>
          <w:color w:val="auto"/>
        </w:rPr>
        <w:t>Auditor Firm Id:185</w:t>
        <w:tab/>
        <w:t>Auditor Name: KPMG LLP</w:t>
        <w:tab/>
        <w:t>Auditor Location: New York, New York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540" w:type="dxa"/>
            <w:vAlign w:val="bottom"/>
            <w:gridSpan w:val="12"/>
          </w:tcPr>
          <w:p>
            <w:pPr>
              <w:jc w:val="center"/>
              <w:ind w:right="3260"/>
              <w:spacing w:after="0"/>
              <w:rPr>
                <w:sz w:val="20"/>
                <w:szCs w:val="20"/>
                <w:color w:val="auto"/>
              </w:rPr>
            </w:pPr>
            <w:r>
              <w:rPr>
                <w:rFonts w:ascii="Times New Roman" w:cs="Times New Roman" w:eastAsia="Times New Roman" w:hAnsi="Times New Roman"/>
                <w:sz w:val="18"/>
                <w:szCs w:val="18"/>
                <w:b w:val="1"/>
                <w:bCs w:val="1"/>
                <w:color w:val="auto"/>
                <w:w w:val="99"/>
              </w:rPr>
              <w:t>SIXTH STREET LENDING PARTNERS</w:t>
            </w: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540" w:type="dxa"/>
            <w:vAlign w:val="bottom"/>
            <w:gridSpan w:val="12"/>
          </w:tcPr>
          <w:p>
            <w:pPr>
              <w:jc w:val="center"/>
              <w:ind w:right="3300"/>
              <w:spacing w:after="0"/>
              <w:rPr>
                <w:sz w:val="20"/>
                <w:szCs w:val="20"/>
                <w:color w:val="auto"/>
              </w:rPr>
            </w:pPr>
            <w:r>
              <w:rPr>
                <w:rFonts w:ascii="Times New Roman" w:cs="Times New Roman" w:eastAsia="Times New Roman" w:hAnsi="Times New Roman"/>
                <w:sz w:val="18"/>
                <w:szCs w:val="18"/>
                <w:b w:val="1"/>
                <w:bCs w:val="1"/>
                <w:color w:val="auto"/>
                <w:w w:val="99"/>
              </w:rPr>
              <w:t>Index to Annual Report on Form 10-K for</w:t>
            </w:r>
          </w:p>
        </w:tc>
        <w:tc>
          <w:tcPr>
            <w:tcW w:w="7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40" w:type="dxa"/>
            <w:vAlign w:val="bottom"/>
            <w:gridSpan w:val="11"/>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2023</w:t>
            </w:r>
          </w:p>
        </w:tc>
        <w:tc>
          <w:tcPr>
            <w:tcW w:w="720" w:type="dxa"/>
            <w:vAlign w:val="bottom"/>
          </w:tcPr>
          <w:p>
            <w:pPr>
              <w:spacing w:after="0"/>
              <w:rPr>
                <w:sz w:val="20"/>
                <w:szCs w:val="20"/>
                <w:color w:val="auto"/>
              </w:rPr>
            </w:pPr>
          </w:p>
        </w:tc>
      </w:tr>
      <w:tr>
        <w:trPr>
          <w:trHeight w:val="391"/>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3"/>
        </w:trPr>
        <w:tc>
          <w:tcPr>
            <w:tcW w:w="20" w:type="dxa"/>
            <w:vAlign w:val="bottom"/>
          </w:tcPr>
          <w:p>
            <w:pPr>
              <w:spacing w:after="0"/>
              <w:rPr>
                <w:sz w:val="15"/>
                <w:szCs w:val="15"/>
                <w:color w:val="auto"/>
              </w:rPr>
            </w:pPr>
          </w:p>
        </w:tc>
        <w:tc>
          <w:tcPr>
            <w:tcW w:w="1100" w:type="dxa"/>
            <w:vAlign w:val="bottom"/>
            <w:gridSpan w:val="5"/>
          </w:tcPr>
          <w:p>
            <w:pPr>
              <w:spacing w:after="0" w:line="182"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40" w:type="dxa"/>
            <w:vAlign w:val="bottom"/>
            <w:tcBorders>
              <w:bottom w:val="single" w:sz="8" w:color="0000EE"/>
            </w:tcBorders>
          </w:tcPr>
          <w:p>
            <w:pPr>
              <w:spacing w:after="0"/>
              <w:rPr>
                <w:sz w:val="19"/>
                <w:szCs w:val="19"/>
                <w:color w:val="auto"/>
              </w:rPr>
            </w:pPr>
          </w:p>
        </w:tc>
        <w:tc>
          <w:tcPr>
            <w:tcW w:w="8720" w:type="dxa"/>
            <w:vAlign w:val="bottom"/>
            <w:gridSpan w:val="22"/>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bottom w:val="single" w:sz="8" w:color="0000EE"/>
            </w:tcBorders>
          </w:tcPr>
          <w:p>
            <w:pPr>
              <w:spacing w:after="0"/>
              <w:rPr>
                <w:sz w:val="19"/>
                <w:szCs w:val="19"/>
                <w:color w:val="auto"/>
              </w:rPr>
            </w:pPr>
          </w:p>
        </w:tc>
        <w:tc>
          <w:tcPr>
            <w:tcW w:w="8480" w:type="dxa"/>
            <w:vAlign w:val="bottom"/>
            <w:gridSpan w:val="20"/>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1B.</w:t>
            </w:r>
          </w:p>
        </w:tc>
        <w:tc>
          <w:tcPr>
            <w:tcW w:w="94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360" w:type="dxa"/>
            <w:vAlign w:val="bottom"/>
            <w:gridSpan w:val="13"/>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8400" w:type="dxa"/>
            <w:vAlign w:val="bottom"/>
            <w:gridSpan w:val="19"/>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EE"/>
            </w:tcBorders>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3.</w:t>
            </w:r>
          </w:p>
        </w:tc>
        <w:tc>
          <w:tcPr>
            <w:tcW w:w="94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4.</w:t>
            </w:r>
          </w:p>
        </w:tc>
        <w:tc>
          <w:tcPr>
            <w:tcW w:w="94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72"/>
        </w:trPr>
        <w:tc>
          <w:tcPr>
            <w:tcW w:w="20" w:type="dxa"/>
            <w:vAlign w:val="bottom"/>
            <w:tcBorders>
              <w:bottom w:val="single" w:sz="8" w:color="0000EE"/>
            </w:tcBorders>
          </w:tcPr>
          <w:p>
            <w:pPr>
              <w:spacing w:after="0"/>
              <w:rPr>
                <w:sz w:val="24"/>
                <w:szCs w:val="24"/>
                <w:color w:val="auto"/>
              </w:rPr>
            </w:pPr>
          </w:p>
        </w:tc>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440" w:type="dxa"/>
            <w:vAlign w:val="bottom"/>
            <w:gridSpan w:val="3"/>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5.</w:t>
            </w:r>
          </w:p>
        </w:tc>
        <w:tc>
          <w:tcPr>
            <w:tcW w:w="94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Shareholder Matters and Issuer Purchases of Equity Securities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Reserved</w:t>
            </w:r>
          </w:p>
        </w:tc>
        <w:tc>
          <w:tcPr>
            <w:tcW w:w="1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right w:val="single" w:sz="8" w:color="0000EE"/>
            </w:tcBorders>
            <w:gridSpan w:val="2"/>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940" w:type="dxa"/>
            <w:vAlign w:val="bottom"/>
            <w:gridSpan w:val="4"/>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040" w:type="dxa"/>
            <w:vAlign w:val="bottom"/>
            <w:gridSpan w:val="7"/>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8.</w:t>
            </w:r>
          </w:p>
        </w:tc>
        <w:tc>
          <w:tcPr>
            <w:tcW w:w="43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Consolidated Financial Statements and Supplementary Data</w:t>
            </w:r>
          </w:p>
        </w:tc>
        <w:tc>
          <w:tcPr>
            <w:tcW w:w="20" w:type="dxa"/>
            <w:vAlign w:val="bottom"/>
            <w:tcBorders>
              <w:bottom w:val="single" w:sz="8" w:color="0000EE"/>
            </w:tcBorders>
          </w:tcPr>
          <w:p>
            <w:pPr>
              <w:spacing w:after="0"/>
              <w:rPr>
                <w:sz w:val="19"/>
                <w:szCs w:val="19"/>
                <w:color w:val="auto"/>
              </w:rPr>
            </w:pPr>
          </w:p>
        </w:tc>
        <w:tc>
          <w:tcPr>
            <w:tcW w:w="5060" w:type="dxa"/>
            <w:vAlign w:val="bottom"/>
            <w:gridSpan w:val="8"/>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920" w:type="dxa"/>
            <w:vAlign w:val="bottom"/>
            <w:gridSpan w:val="3"/>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9A.</w:t>
            </w:r>
          </w:p>
        </w:tc>
        <w:tc>
          <w:tcPr>
            <w:tcW w:w="94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640" w:type="dxa"/>
            <w:vAlign w:val="bottom"/>
            <w:gridSpan w:val="16"/>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Borders>
              <w:right w:val="single" w:sz="8" w:color="0000EE"/>
            </w:tcBorders>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9C.</w:t>
            </w:r>
          </w:p>
        </w:tc>
        <w:tc>
          <w:tcPr>
            <w:tcW w:w="94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3"/>
        </w:trPr>
        <w:tc>
          <w:tcPr>
            <w:tcW w:w="20" w:type="dxa"/>
            <w:vAlign w:val="bottom"/>
            <w:tcBorders>
              <w:bottom w:val="single" w:sz="8" w:color="0000EE"/>
            </w:tcBorders>
          </w:tcPr>
          <w:p>
            <w:pPr>
              <w:spacing w:after="0"/>
              <w:rPr>
                <w:sz w:val="19"/>
                <w:szCs w:val="19"/>
                <w:color w:val="auto"/>
              </w:rPr>
            </w:pPr>
          </w:p>
        </w:tc>
        <w:tc>
          <w:tcPr>
            <w:tcW w:w="7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360" w:type="dxa"/>
            <w:vAlign w:val="bottom"/>
          </w:tcPr>
          <w:p>
            <w:pPr>
              <w:spacing w:after="0"/>
              <w:rPr>
                <w:sz w:val="19"/>
                <w:szCs w:val="19"/>
                <w:color w:val="auto"/>
              </w:rPr>
            </w:pPr>
          </w:p>
        </w:tc>
        <w:tc>
          <w:tcPr>
            <w:tcW w:w="6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86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540" w:type="dxa"/>
            <w:vAlign w:val="bottom"/>
            <w:tcBorders>
              <w:top w:val="single" w:sz="8" w:color="0000FF"/>
            </w:tcBorders>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10.</w:t>
            </w:r>
          </w:p>
        </w:tc>
        <w:tc>
          <w:tcPr>
            <w:tcW w:w="94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Trustees, Executive Officers and Corporate Governance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0" w:type="dxa"/>
            <w:vAlign w:val="bottom"/>
            <w:tcBorders>
              <w:top w:val="single" w:sz="8" w:color="0000FF"/>
              <w:bottom w:val="single" w:sz="8" w:color="0000EE"/>
            </w:tcBorders>
          </w:tcPr>
          <w:p>
            <w:pPr>
              <w:spacing w:after="0"/>
              <w:rPr>
                <w:sz w:val="19"/>
                <w:szCs w:val="19"/>
                <w:color w:val="auto"/>
              </w:rPr>
            </w:pPr>
          </w:p>
        </w:tc>
        <w:tc>
          <w:tcPr>
            <w:tcW w:w="2200" w:type="dxa"/>
            <w:vAlign w:val="bottom"/>
            <w:tcBorders>
              <w:top w:val="single" w:sz="8" w:color="0000FF"/>
            </w:tcBorders>
            <w:gridSpan w:val="4"/>
          </w:tcPr>
          <w:p>
            <w:pPr>
              <w:spacing w:after="0"/>
              <w:rPr>
                <w:sz w:val="19"/>
                <w:szCs w:val="19"/>
                <w:color w:val="auto"/>
              </w:rPr>
            </w:pPr>
          </w:p>
        </w:tc>
        <w:tc>
          <w:tcPr>
            <w:tcW w:w="5380" w:type="dxa"/>
            <w:vAlign w:val="bottom"/>
            <w:gridSpan w:val="10"/>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12.</w:t>
            </w:r>
          </w:p>
        </w:tc>
        <w:tc>
          <w:tcPr>
            <w:tcW w:w="94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Shareholder Matters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13.</w:t>
            </w:r>
          </w:p>
        </w:tc>
        <w:tc>
          <w:tcPr>
            <w:tcW w:w="5380" w:type="dxa"/>
            <w:vAlign w:val="bottom"/>
            <w:tcBorders>
              <w:top w:val="single" w:sz="8" w:color="0000FF"/>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Trustee Independence</w:t>
            </w:r>
          </w:p>
        </w:tc>
        <w:tc>
          <w:tcPr>
            <w:tcW w:w="1900" w:type="dxa"/>
            <w:vAlign w:val="bottom"/>
            <w:tcBorders>
              <w:top w:val="single" w:sz="8" w:color="0000FF"/>
            </w:tcBorders>
            <w:gridSpan w:val="3"/>
          </w:tcPr>
          <w:p>
            <w:pPr>
              <w:spacing w:after="0"/>
              <w:rPr>
                <w:sz w:val="19"/>
                <w:szCs w:val="19"/>
                <w:color w:val="auto"/>
              </w:rPr>
            </w:pPr>
          </w:p>
        </w:tc>
        <w:tc>
          <w:tcPr>
            <w:tcW w:w="2120" w:type="dxa"/>
            <w:vAlign w:val="bottom"/>
            <w:gridSpan w:val="2"/>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14.</w:t>
            </w:r>
          </w:p>
        </w:tc>
        <w:tc>
          <w:tcPr>
            <w:tcW w:w="94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71"/>
        </w:trPr>
        <w:tc>
          <w:tcPr>
            <w:tcW w:w="20" w:type="dxa"/>
            <w:vAlign w:val="bottom"/>
            <w:tcBorders>
              <w:bottom w:val="single" w:sz="8" w:color="0000EE"/>
            </w:tcBorders>
          </w:tcPr>
          <w:p>
            <w:pPr>
              <w:spacing w:after="0"/>
              <w:rPr>
                <w:sz w:val="24"/>
                <w:szCs w:val="24"/>
                <w:color w:val="auto"/>
              </w:rPr>
            </w:pPr>
          </w:p>
        </w:tc>
        <w:tc>
          <w:tcPr>
            <w:tcW w:w="7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380" w:type="dxa"/>
            <w:vAlign w:val="bottom"/>
            <w:gridSpan w:val="2"/>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6240" w:type="dxa"/>
            <w:vAlign w:val="bottom"/>
            <w:gridSpan w:val="11"/>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16.</w:t>
            </w:r>
          </w:p>
        </w:tc>
        <w:tc>
          <w:tcPr>
            <w:tcW w:w="94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68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Borders>
              <w:top w:val="single" w:sz="8" w:color="0000FF"/>
            </w:tcBorders>
            <w:gridSpan w:val="7"/>
          </w:tcPr>
          <w:p>
            <w:pPr>
              <w:spacing w:after="0"/>
              <w:rPr>
                <w:sz w:val="24"/>
                <w:szCs w:val="24"/>
                <w:color w:val="auto"/>
              </w:rPr>
            </w:pPr>
          </w:p>
        </w:tc>
        <w:tc>
          <w:tcPr>
            <w:tcW w:w="3360" w:type="dxa"/>
            <w:vAlign w:val="bottom"/>
            <w:gridSpan w:val="11"/>
          </w:tcPr>
          <w:p>
            <w:pPr>
              <w:jc w:val="center"/>
              <w:ind w:left="2470"/>
              <w:spacing w:after="0"/>
              <w:rPr>
                <w:sz w:val="20"/>
                <w:szCs w:val="20"/>
                <w:color w:val="auto"/>
              </w:rPr>
            </w:pPr>
            <w:r>
              <w:rPr>
                <w:rFonts w:ascii="Times New Roman" w:cs="Times New Roman" w:eastAsia="Times New Roman" w:hAnsi="Times New Roman"/>
                <w:sz w:val="18"/>
                <w:szCs w:val="18"/>
                <w:color w:val="auto"/>
                <w:w w:val="88"/>
              </w:rPr>
              <w:t>2</w:t>
            </w: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8"/>
          <w:szCs w:val="18"/>
          <w:color w:val="auto"/>
        </w:rPr>
        <w:t>This Annual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87"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In addition to factors previously identified elsewhere in the reports and other documents Sixth Street Lending Partners, has filed with the Securities and Exchange Commission, or SEC, the following factors, among others, could cause actual results to differ materially from forward-looking statements or historical performance:</w:t>
      </w:r>
    </w:p>
    <w:p>
      <w:pPr>
        <w:spacing w:after="0" w:line="68" w:lineRule="exact"/>
        <w:rPr>
          <w:sz w:val="20"/>
          <w:szCs w:val="20"/>
          <w:color w:val="auto"/>
        </w:rPr>
      </w:pPr>
    </w:p>
    <w:p>
      <w:pPr>
        <w:ind w:left="520" w:right="420" w:hanging="257"/>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impair our portfolio companies’ abilities to continue to operate, which could lead to the loss of some or all of our investments in those portfolio companies;</w:t>
      </w:r>
    </w:p>
    <w:p>
      <w:pPr>
        <w:spacing w:after="0" w:line="53" w:lineRule="exact"/>
        <w:rPr>
          <w:rFonts w:ascii="Times New Roman" w:cs="Times New Roman" w:eastAsia="Times New Roman" w:hAnsi="Times New Roman"/>
          <w:sz w:val="18"/>
          <w:szCs w:val="18"/>
          <w:color w:val="auto"/>
        </w:rPr>
      </w:pPr>
    </w:p>
    <w:p>
      <w:pPr>
        <w:ind w:left="520" w:right="220" w:hanging="257"/>
        <w:spacing w:after="0" w:line="312" w:lineRule="auto"/>
        <w:tabs>
          <w:tab w:leader="none" w:pos="5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31" w:lineRule="exact"/>
        <w:rPr>
          <w:rFonts w:ascii="Times New Roman" w:cs="Times New Roman" w:eastAsia="Times New Roman" w:hAnsi="Times New Roman"/>
          <w:sz w:val="17"/>
          <w:szCs w:val="17"/>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also impact availability and pricing of our financing;</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access the capital markets could impair our ability to raise capital and our investment activities;</w:t>
      </w:r>
    </w:p>
    <w:p>
      <w:pPr>
        <w:spacing w:after="0" w:line="117" w:lineRule="exact"/>
        <w:rPr>
          <w:rFonts w:ascii="Times New Roman" w:cs="Times New Roman" w:eastAsia="Times New Roman" w:hAnsi="Times New Roman"/>
          <w:sz w:val="18"/>
          <w:szCs w:val="18"/>
          <w:color w:val="auto"/>
        </w:rPr>
      </w:pPr>
    </w:p>
    <w:p>
      <w:pPr>
        <w:ind w:left="520" w:right="200" w:hanging="257"/>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could negatively impact our business, including our ability to access the debt markets on favorable terms, or could negatively impact our portfolio companies; and</w:t>
      </w:r>
    </w:p>
    <w:p>
      <w:pPr>
        <w:spacing w:after="0" w:line="53" w:lineRule="exact"/>
        <w:rPr>
          <w:rFonts w:ascii="Times New Roman" w:cs="Times New Roman" w:eastAsia="Times New Roman" w:hAnsi="Times New Roman"/>
          <w:sz w:val="18"/>
          <w:szCs w:val="18"/>
          <w:color w:val="auto"/>
        </w:rPr>
      </w:pPr>
    </w:p>
    <w:p>
      <w:pPr>
        <w:ind w:left="520" w:hanging="257"/>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the section entitled “Risk Factors” in this Annual Report and elsewhere in our filings with the SEC.</w:t>
      </w:r>
    </w:p>
    <w:p>
      <w:pPr>
        <w:spacing w:after="0" w:line="162"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Annual Report should not be regarded as a representation by us that our plans and objectives will be achieved. You should not place undue reliance on these forward-looking statements, which apply only as of the date of this Annual Report. We do not undertake any obligation to update or revise any forward-looking statements or any other information contained herein, except as required by applicable law.</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6" w:lineRule="exact"/>
        <w:rPr>
          <w:sz w:val="20"/>
          <w:szCs w:val="20"/>
          <w:color w:val="auto"/>
        </w:rPr>
      </w:pPr>
    </w:p>
    <w:p>
      <w:pPr>
        <w:ind w:right="20" w:firstLine="225"/>
        <w:spacing w:after="0" w:line="266" w:lineRule="auto"/>
        <w:rPr>
          <w:sz w:val="20"/>
          <w:szCs w:val="20"/>
          <w:color w:val="auto"/>
        </w:rPr>
      </w:pPr>
      <w:r>
        <w:rPr>
          <w:rFonts w:ascii="Times New Roman" w:cs="Times New Roman" w:eastAsia="Times New Roman" w:hAnsi="Times New Roman"/>
          <w:sz w:val="18"/>
          <w:szCs w:val="18"/>
          <w:color w:val="auto"/>
        </w:rPr>
        <w:t>In this Annual Report, except where the context suggests otherwise, the terms “we,” “us,”, “our,” and “the Company” refer to Sixth Street Lending Partners. The term “Adviser” refers to Sixth Street Lending Partners Advisers, LLC, a Delaware limited liability company. The term “Sixth Street” refers to Sixth Street Partners, LLC.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We are organized as a Delaware statutory trust named Sixth Street Lending Partners. We are focused on lending to upper middle-market companies. The Company was formed on April 5, 2022. Since we began our investment activities in August 2022, through December 31, 2023, we have originated approximately $7.2 billion aggregate principal amount of investments and retained approximately $3.1 billion aggregate principal amount of these investments on our balance sheet prior to any subsequent exits and repayments. We seek to generate current income and long-term capital appreciation primarily by investing in U.S.-domiciled upper middle-market companies through direct originations of senior secured loans and, to a lesser extent, originations of mezzanine and unsecured loans and investments in corporate bonds, equity securities, and other instruments.</w:t>
      </w:r>
    </w:p>
    <w:p>
      <w:pPr>
        <w:spacing w:after="0" w:line="187" w:lineRule="exact"/>
        <w:rPr>
          <w:sz w:val="20"/>
          <w:szCs w:val="20"/>
          <w:color w:val="auto"/>
        </w:rPr>
      </w:pPr>
    </w:p>
    <w:p>
      <w:pPr>
        <w:ind w:right="160" w:firstLine="255"/>
        <w:spacing w:after="0" w:line="258" w:lineRule="auto"/>
        <w:rPr>
          <w:sz w:val="20"/>
          <w:szCs w:val="20"/>
          <w:color w:val="auto"/>
        </w:rPr>
      </w:pPr>
      <w:r>
        <w:rPr>
          <w:rFonts w:ascii="Times New Roman" w:cs="Times New Roman" w:eastAsia="Times New Roman" w:hAnsi="Times New Roman"/>
          <w:sz w:val="18"/>
          <w:szCs w:val="18"/>
          <w:color w:val="auto"/>
        </w:rPr>
        <w:t>By “upper middle-market companies,” we mean companies that have annual EBITDA (as defined below), which we believe is a useful proxy for cash flow, of greater than $75 million, although we may invest in smaller companies on occasion. “EBITDA” means a company’s earnings before interest, tax, depreciation and amortization. As of December 31, 2023, our core portfolio companies, which exclude certain investments that fall outside of our typical borrower profile and represent 97.4% of our total investments based on fair value, had weighted average annual revenue of $462.6 million and weighted average annual EBITDA of $170.8 million.</w:t>
      </w:r>
    </w:p>
    <w:p>
      <w:pPr>
        <w:spacing w:after="0" w:line="291" w:lineRule="exact"/>
        <w:rPr>
          <w:sz w:val="20"/>
          <w:szCs w:val="20"/>
          <w:color w:val="auto"/>
        </w:rPr>
      </w:pPr>
    </w:p>
    <w:p>
      <w:pPr>
        <w:ind w:right="200" w:firstLine="255"/>
        <w:spacing w:after="0" w:line="282"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may generate income from dividends on equity investments, capital gains on the sale of investments and various loan origination and other fees.</w:t>
      </w:r>
    </w:p>
    <w:p>
      <w:pPr>
        <w:spacing w:after="0" w:line="162" w:lineRule="exact"/>
        <w:rPr>
          <w:sz w:val="20"/>
          <w:szCs w:val="20"/>
          <w:color w:val="auto"/>
        </w:rPr>
      </w:pPr>
    </w:p>
    <w:p>
      <w:pPr>
        <w:ind w:right="740" w:firstLine="255"/>
        <w:spacing w:after="0" w:line="282" w:lineRule="auto"/>
        <w:rPr>
          <w:sz w:val="20"/>
          <w:szCs w:val="20"/>
          <w:color w:val="auto"/>
        </w:rPr>
      </w:pPr>
      <w:r>
        <w:rPr>
          <w:rFonts w:ascii="Times New Roman" w:cs="Times New Roman" w:eastAsia="Times New Roman" w:hAnsi="Times New Roman"/>
          <w:sz w:val="18"/>
          <w:szCs w:val="18"/>
          <w:color w:val="auto"/>
        </w:rPr>
        <w:t>We have operated as a business development company, or a BDC, since we began our investment activities in August 2022. In conducting our investment activities, we believe that we benefit from the significant scale and resources of our Adviser and its affiliates.</w:t>
      </w:r>
    </w:p>
    <w:p>
      <w:pPr>
        <w:spacing w:after="0" w:line="162" w:lineRule="exact"/>
        <w:rPr>
          <w:sz w:val="20"/>
          <w:szCs w:val="20"/>
          <w:color w:val="auto"/>
        </w:rPr>
      </w:pPr>
    </w:p>
    <w:p>
      <w:pPr>
        <w:ind w:right="20" w:firstLine="255"/>
        <w:spacing w:after="0" w:line="253" w:lineRule="auto"/>
        <w:rPr>
          <w:sz w:val="20"/>
          <w:szCs w:val="20"/>
          <w:color w:val="auto"/>
        </w:rPr>
      </w:pPr>
      <w:r>
        <w:rPr>
          <w:rFonts w:ascii="Times New Roman" w:cs="Times New Roman" w:eastAsia="Times New Roman" w:hAnsi="Times New Roman"/>
          <w:sz w:val="18"/>
          <w:szCs w:val="18"/>
          <w:color w:val="auto"/>
        </w:rPr>
        <w:t>The companies in which we invest use our capital to support organic growth, acquisitions, market or product expansion and recapitalizations (including restructurings). 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As of December 31, 2023, based on fair value our portfolio consisted of 92.0% first-lien debt investments, 2.6% second-lien debt investments, 3.4% mezzanine debt investments and 2.0% equity and other investments. As of December 31, 2023, 99.9% of our debt investments based on fair value bore interest at floating rates, with 100.0% of these subject to interest rate floors, which we believe helps act as a portfolio-wide hedge against inflation. As of December 31, 2023 we had investments in 37 portfolio companies, with an average investment size of approximately $83.8 million based on fair value. As of December 31, 2023, the largest single investment based on fair value represented 7.1% of our total investment portfolio.</w:t>
      </w:r>
    </w:p>
    <w:p>
      <w:pPr>
        <w:spacing w:after="0" w:line="192"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As of December 31, 2023, our portfolio was invested across thirteen different industries. The largest industry in our portfolio as of December 31, 2023 was Business Services, which represents, as a percentage of our portfolio, 25.4%, based on fair value.</w:t>
      </w:r>
    </w:p>
    <w:p>
      <w:pPr>
        <w:spacing w:after="0" w:line="162"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8"/>
          <w:szCs w:val="18"/>
          <w:color w:val="auto"/>
        </w:rPr>
        <w:t>We are an externally managed, closed-end, non-diversified management investment company that has elected to be regulated as a BDC under the Investment Company Act of 1940, as amended, (the “1940 Act”). In addition, for U.S. federal income tax purposes, we elected to be treated as a regulated investment company, or RIC, under Subchapter M of the Internal Revenue Code of 1986, as amended, which we refer to as the Code. As a consequence of our BDC and RIC elections, our portfolio is and will continue to be subject to diversification and other requirements to maintain such status elections.</w:t>
      </w:r>
    </w:p>
    <w:p>
      <w:pPr>
        <w:spacing w:after="0" w:line="180" w:lineRule="exact"/>
        <w:rPr>
          <w:sz w:val="20"/>
          <w:szCs w:val="20"/>
          <w:color w:val="auto"/>
        </w:rPr>
      </w:pPr>
    </w:p>
    <w:p>
      <w:pPr>
        <w:ind w:right="100" w:firstLine="255"/>
        <w:spacing w:after="0" w:line="258" w:lineRule="auto"/>
        <w:rPr>
          <w:sz w:val="20"/>
          <w:szCs w:val="20"/>
          <w:color w:val="auto"/>
        </w:rPr>
      </w:pPr>
      <w:r>
        <w:rPr>
          <w:rFonts w:ascii="Times New Roman" w:cs="Times New Roman" w:eastAsia="Times New Roman" w:hAnsi="Times New Roman"/>
          <w:sz w:val="18"/>
          <w:szCs w:val="18"/>
          <w:color w:val="auto"/>
        </w:rPr>
        <w:t>We borrow money from time to time within the levels permitted by the 1940 Act to fund investments and for general corporate purposes. Under the 1940 Act, we can incur borrowings, issue debt securities or issue preferred shares if immediately after the borrowing or issuance our ratio of total assets (less total liabilities other than indebtedness) to total indebtedness plus preferred shares is at least 150%. In determining whether to borrow money, we analyze the maturity, covenant package and rate structure of the proposed borrowings, as well as the risks of those borrowings compared to our investment outlook. The use of borrowed funds or the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ind w:right="160"/>
        <w:spacing w:after="0" w:line="261" w:lineRule="auto"/>
        <w:rPr>
          <w:sz w:val="20"/>
          <w:szCs w:val="20"/>
          <w:color w:val="auto"/>
        </w:rPr>
      </w:pPr>
      <w:r>
        <w:rPr>
          <w:rFonts w:ascii="Times New Roman" w:cs="Times New Roman" w:eastAsia="Times New Roman" w:hAnsi="Times New Roman"/>
          <w:sz w:val="18"/>
          <w:szCs w:val="18"/>
          <w:color w:val="auto"/>
        </w:rPr>
        <w:t>proceeds of preferred shares offerings to make investments has its own specific set of benefits and risks, and all of the costs of borrowing funds or issuing preferred shares are borne by us, and ultimately the holders of our Common Shares. See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Risks Related to Our Business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Structure—We borrow money, which magnifies the potential for gain or loss and increases the risk of investing in us.” </w:t>
      </w:r>
      <w:r>
        <w:rPr>
          <w:rFonts w:ascii="Times New Roman" w:cs="Times New Roman" w:eastAsia="Times New Roman" w:hAnsi="Times New Roman"/>
          <w:sz w:val="18"/>
          <w:szCs w:val="18"/>
          <w:color w:val="auto"/>
        </w:rPr>
        <w:t>See also “</w:t>
      </w:r>
      <w:r>
        <w:rPr>
          <w:rFonts w:ascii="Times New Roman" w:cs="Times New Roman" w:eastAsia="Times New Roman" w:hAnsi="Times New Roman"/>
          <w:sz w:val="18"/>
          <w:szCs w:val="18"/>
          <w:i w:val="1"/>
          <w:iCs w:val="1"/>
          <w:color w:val="auto"/>
        </w:rPr>
        <w:t>Regulation as a Business Development Company—Senior Securities.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operations comprise only a single reportable segment.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with our Adviser, and Sixth Street</w:t>
      </w:r>
    </w:p>
    <w:p>
      <w:pPr>
        <w:spacing w:after="0" w:line="121" w:lineRule="exact"/>
        <w:rPr>
          <w:sz w:val="20"/>
          <w:szCs w:val="20"/>
          <w:color w:val="auto"/>
        </w:rPr>
      </w:pPr>
    </w:p>
    <w:p>
      <w:pPr>
        <w:ind w:right="100" w:firstLine="255"/>
        <w:spacing w:after="0" w:line="255" w:lineRule="auto"/>
        <w:rPr>
          <w:sz w:val="20"/>
          <w:szCs w:val="20"/>
          <w:color w:val="auto"/>
        </w:rPr>
      </w:pPr>
      <w:r>
        <w:rPr>
          <w:rFonts w:ascii="Times New Roman" w:cs="Times New Roman" w:eastAsia="Times New Roman" w:hAnsi="Times New Roman"/>
          <w:sz w:val="18"/>
          <w:szCs w:val="18"/>
          <w:color w:val="auto"/>
        </w:rPr>
        <w:t>Our Adviser is a Delaware limited liability company. Our Adviser acts as our investment adviser and administrator and is a registered investment adviser with the SEC under the Investment Advisers Act of 1940, as amended (the “Advisers Act”). Our Adviser sources and manages our portfolio through a dedicated team of investment professionals predominately focused on direct lending, which we refer to as our Investment Team.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affiliates of Sixth Street Partners, LLC, or “Sixth Street.”</w:t>
      </w:r>
    </w:p>
    <w:p>
      <w:pPr>
        <w:spacing w:after="0" w:line="189" w:lineRule="exact"/>
        <w:rPr>
          <w:sz w:val="20"/>
          <w:szCs w:val="20"/>
          <w:color w:val="auto"/>
        </w:rPr>
      </w:pPr>
    </w:p>
    <w:p>
      <w:pPr>
        <w:ind w:right="40" w:firstLine="255"/>
        <w:spacing w:after="0" w:line="253" w:lineRule="auto"/>
        <w:rPr>
          <w:sz w:val="20"/>
          <w:szCs w:val="20"/>
          <w:color w:val="auto"/>
        </w:rPr>
      </w:pPr>
      <w:r>
        <w:rPr>
          <w:rFonts w:ascii="Times New Roman" w:cs="Times New Roman" w:eastAsia="Times New Roman" w:hAnsi="Times New Roman"/>
          <w:sz w:val="18"/>
          <w:szCs w:val="18"/>
          <w:color w:val="auto"/>
        </w:rPr>
        <w:t>Sixth Street is a global investment business with over $75 billion of assets under management as of December 31, 2023. Sixth Street’s direct lending platforms include Sixth Street Specialty Lending and Sixth Street Lending Partners, which are aimed at U.S. upper middle-market loan originations, Sixth Street Specialty Lending Europe, which is aimed at European middle-market loan originations. Additional Sixth Street core platforms include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580 investment and operating professionals. As of December 31, 2023, seventy (70) of these personnel are dedicated to direct lending, including fifty-five (55) investment professionals.</w:t>
      </w:r>
    </w:p>
    <w:p>
      <w:pPr>
        <w:spacing w:after="0" w:line="192"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87"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On August 3, 2022, we, the Adviser and certain of our affiliates were granted an exemptive order from the SEC that allows us to co-invest, subject to certain conditions and to the extent the size of an investment opportunity exceeds the amount our Adviser has independently determined is appropriate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See “Regulation as a Business Development Company—Transactions with our Affiliates.”</w:t>
      </w:r>
    </w:p>
    <w:p>
      <w:pPr>
        <w:spacing w:after="0" w:line="183"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0" w:lineRule="exact"/>
        <w:rPr>
          <w:sz w:val="20"/>
          <w:szCs w:val="20"/>
          <w:color w:val="auto"/>
        </w:rPr>
      </w:pPr>
    </w:p>
    <w:p>
      <w:pPr>
        <w:jc w:val="both"/>
        <w:ind w:right="20" w:firstLine="255"/>
        <w:spacing w:after="0" w:line="266" w:lineRule="auto"/>
        <w:rPr>
          <w:sz w:val="20"/>
          <w:szCs w:val="20"/>
          <w:color w:val="auto"/>
        </w:rPr>
      </w:pPr>
      <w:r>
        <w:rPr>
          <w:rFonts w:ascii="Times New Roman" w:cs="Times New Roman" w:eastAsia="Times New Roman" w:hAnsi="Times New Roman"/>
          <w:sz w:val="18"/>
          <w:szCs w:val="18"/>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(the “Management Fee”), and may also pay certain incentive fees (the “Incentive Fee”).</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 w:name="page6"/>
    <w:bookmarkEnd w:id="5"/>
    <w:p>
      <w:pPr>
        <w:ind w:right="300" w:firstLine="255"/>
        <w:spacing w:after="0" w:line="261" w:lineRule="auto"/>
        <w:rPr>
          <w:sz w:val="20"/>
          <w:szCs w:val="20"/>
          <w:color w:val="auto"/>
        </w:rPr>
      </w:pPr>
      <w:r>
        <w:rPr>
          <w:rFonts w:ascii="Times New Roman" w:cs="Times New Roman" w:eastAsia="Times New Roman" w:hAnsi="Times New Roman"/>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shareholders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Criteria/Guidelines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Decision Process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investment approach involves, among other things:</w:t>
      </w:r>
    </w:p>
    <w:p>
      <w:pPr>
        <w:spacing w:after="0" w:line="117" w:lineRule="exact"/>
        <w:rPr>
          <w:sz w:val="20"/>
          <w:szCs w:val="20"/>
          <w:color w:val="auto"/>
        </w:rPr>
      </w:pPr>
    </w:p>
    <w:p>
      <w:pPr>
        <w:ind w:left="520" w:hanging="257"/>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the markets, overall macroeconomic environment and how the assessment may impact industry and investment selection;</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company-specific research and analysis;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individual company, an emphasis on capital preservation, low volatility and management of downside risk.</w:t>
      </w:r>
    </w:p>
    <w:p>
      <w:pPr>
        <w:spacing w:after="0" w:line="225" w:lineRule="exact"/>
        <w:rPr>
          <w:sz w:val="20"/>
          <w:szCs w:val="20"/>
          <w:color w:val="auto"/>
        </w:rPr>
      </w:pPr>
    </w:p>
    <w:p>
      <w:pPr>
        <w:ind w:right="700" w:firstLine="255"/>
        <w:spacing w:after="0" w:line="312" w:lineRule="auto"/>
        <w:rPr>
          <w:sz w:val="20"/>
          <w:szCs w:val="20"/>
          <w:color w:val="auto"/>
        </w:rPr>
      </w:pPr>
      <w:r>
        <w:rPr>
          <w:rFonts w:ascii="Times New Roman" w:cs="Times New Roman" w:eastAsia="Times New Roman" w:hAnsi="Times New Roman"/>
          <w:sz w:val="17"/>
          <w:szCs w:val="17"/>
          <w:color w:val="auto"/>
        </w:rPr>
        <w:t>The foundation of our investment philosophy incorporates intensive analysis, a management discipline based on both market technicals and fundamental value-oriented research, and consideration of diversification within our portfolio. We follow a rigorous investment process based on:</w:t>
      </w:r>
    </w:p>
    <w:p>
      <w:pPr>
        <w:spacing w:after="0" w:line="32" w:lineRule="exact"/>
        <w:rPr>
          <w:sz w:val="20"/>
          <w:szCs w:val="20"/>
          <w:color w:val="auto"/>
        </w:rPr>
      </w:pPr>
    </w:p>
    <w:p>
      <w:pPr>
        <w:ind w:left="520" w:hanging="257"/>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comprehensive analysis of issuer creditworthiness, including a quantitative and qualitative assessment of the issuer’s business;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evaluation of management and its economic incentives;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analysis of business strategy and industry trends;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in-depth examination of a prospective portfolio company’s capital structure, financial results and projections.</w:t>
      </w:r>
    </w:p>
    <w:p>
      <w:pPr>
        <w:spacing w:after="0" w:line="225"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We seek to identify those companies exhibiting superior fundamental risk-reward profiles and strong defensible business franchises, while focusing on the absolute and relative value of the investment.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Process Overview</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Origination and Sourcing</w:t>
      </w:r>
    </w:p>
    <w:p>
      <w:pPr>
        <w:spacing w:after="0" w:line="119"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The substantial majority of our investments are not intermediated and are originated without the assistance of investment banks or other traditional Wall Street sources. 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investment opportunities. The substantial majority of our deals are informed by our current sector views and are sourced directly by our Adviser through our network of contacts. We also identify opportunities through our Adviser’s relationships with Sixth Street.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Due Diligence Process</w:t>
      </w:r>
    </w:p>
    <w:p>
      <w:pPr>
        <w:spacing w:after="0" w:line="119"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The process through which an investment decision is made involves extensive research into the company, its industry, its growth prospects and its ability to withstand adverse conditions. If the investment team responsible for the transaction determines that an investment opportunity should be pursued, we will engage in an intensive due diligence process. Though each transaction will involve a somewhat different approach, our diligence of each opportunity may include:</w:t>
      </w:r>
    </w:p>
    <w:p>
      <w:pPr>
        <w:spacing w:after="0" w:line="72" w:lineRule="exact"/>
        <w:rPr>
          <w:sz w:val="20"/>
          <w:szCs w:val="20"/>
          <w:color w:val="auto"/>
        </w:rPr>
      </w:pPr>
    </w:p>
    <w:p>
      <w:pPr>
        <w:ind w:left="520" w:hanging="257"/>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understanding the purpose of the capital requirement, the key personnel and variables, as well as the sources and uses of the proceeds;</w:t>
      </w:r>
    </w:p>
    <w:p>
      <w:pPr>
        <w:spacing w:after="0" w:line="117" w:lineRule="exact"/>
        <w:rPr>
          <w:rFonts w:ascii="Times New Roman" w:cs="Times New Roman" w:eastAsia="Times New Roman" w:hAnsi="Times New Roman"/>
          <w:sz w:val="18"/>
          <w:szCs w:val="18"/>
          <w:color w:val="auto"/>
        </w:rPr>
      </w:pPr>
    </w:p>
    <w:p>
      <w:pPr>
        <w:ind w:left="520" w:right="140" w:hanging="257"/>
        <w:spacing w:after="0" w:line="282"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the company’s management, including top and middle-level executives, to get an insider’s view of the business, and to probe for potential weaknesses in business prospects;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6" w:name="page7"/>
    <w:bookmarkEnd w:id="6"/>
    <w:p>
      <w:pPr>
        <w:ind w:left="520" w:hanging="25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checking management’s backgrounds and references;</w:t>
      </w:r>
    </w:p>
    <w:p>
      <w:pPr>
        <w:spacing w:after="0" w:line="117" w:lineRule="exact"/>
        <w:rPr>
          <w:rFonts w:ascii="Times New Roman" w:cs="Times New Roman" w:eastAsia="Times New Roman" w:hAnsi="Times New Roman"/>
          <w:sz w:val="18"/>
          <w:szCs w:val="18"/>
          <w:color w:val="auto"/>
        </w:rPr>
      </w:pPr>
    </w:p>
    <w:p>
      <w:pPr>
        <w:ind w:left="520" w:right="560" w:hanging="257"/>
        <w:spacing w:after="0" w:line="282"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 detailed review of historical financial performance, including performance through various economic cycles, and the quality of earnings;</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contacting customers and vendors to assess both business prospects and standard practices;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 competitive analysis, and comparing the company to its main competitors on an operating, financial, market share and valuation basis;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researching the industry for historic growth trends and future prospects as well as to identify future exit alternatives;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asset value and the ability of physical infrastructure and information systems to handle anticipated growth;</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Sixth Street internal resources with institutional knowledge of the company’s business;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investigating legal and regulatory risks and financial and accounting systems and practices.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Selective Investment Process</w:t>
      </w:r>
    </w:p>
    <w:p>
      <w:pPr>
        <w:spacing w:after="0" w:line="119" w:lineRule="exact"/>
        <w:rPr>
          <w:sz w:val="20"/>
          <w:szCs w:val="20"/>
          <w:color w:val="auto"/>
        </w:rPr>
      </w:pPr>
    </w:p>
    <w:p>
      <w:pPr>
        <w:ind w:firstLine="255"/>
        <w:spacing w:after="0" w:line="281" w:lineRule="auto"/>
        <w:rPr>
          <w:sz w:val="20"/>
          <w:szCs w:val="20"/>
          <w:color w:val="auto"/>
        </w:rPr>
      </w:pPr>
      <w:r>
        <w:rPr>
          <w:rFonts w:ascii="Times New Roman" w:cs="Times New Roman" w:eastAsia="Times New Roman" w:hAnsi="Times New Roman"/>
          <w:sz w:val="17"/>
          <w:szCs w:val="17"/>
          <w:color w:val="auto"/>
        </w:rPr>
        <w:t>After an investment has been identified and preliminary diligence has been completed, a credit research and analysis report is prepared. This report is reviewed by senior investment professionals. If these senior and other investment professionals are supportive of pursuing the potential investment, then a more extensive due diligence process is employed. Additional due diligence with respect to any investment may be conducted on our behalf by attorneys, independent accountants, and other third-party consultants and research firms prior to the closing of the investment, as appropriate, on a case-by-case basis.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Formal Commitment</w:t>
      </w:r>
    </w:p>
    <w:p>
      <w:pPr>
        <w:spacing w:after="0" w:line="119" w:lineRule="exact"/>
        <w:rPr>
          <w:sz w:val="20"/>
          <w:szCs w:val="20"/>
          <w:color w:val="auto"/>
        </w:rPr>
      </w:pPr>
    </w:p>
    <w:p>
      <w:pPr>
        <w:jc w:val="both"/>
        <w:ind w:right="40" w:firstLine="255"/>
        <w:spacing w:after="0" w:line="266" w:lineRule="auto"/>
        <w:rPr>
          <w:sz w:val="20"/>
          <w:szCs w:val="20"/>
          <w:color w:val="auto"/>
        </w:rPr>
      </w:pPr>
      <w:r>
        <w:rPr>
          <w:rFonts w:ascii="Times New Roman" w:cs="Times New Roman" w:eastAsia="Times New Roman" w:hAnsi="Times New Roman"/>
          <w:sz w:val="18"/>
          <w:szCs w:val="18"/>
          <w:color w:val="auto"/>
        </w:rPr>
        <w:t>Approval of an investment requires the approval of the Investment Review Committee. Once we have determined that a prospective portfolio company is suitable for investment, we work with the management or financial sponsor of that company and its other capital providers, including senior, junior and equity capital providers, if any, to finalize the structure and terms of the investment.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Portfolio Monitoring</w:t>
      </w:r>
    </w:p>
    <w:p>
      <w:pPr>
        <w:spacing w:after="0" w:line="119" w:lineRule="exact"/>
        <w:rPr>
          <w:sz w:val="20"/>
          <w:szCs w:val="20"/>
          <w:color w:val="auto"/>
        </w:rPr>
      </w:pPr>
    </w:p>
    <w:p>
      <w:pPr>
        <w:ind w:right="120" w:firstLine="255"/>
        <w:spacing w:after="0" w:line="282" w:lineRule="auto"/>
        <w:rPr>
          <w:sz w:val="20"/>
          <w:szCs w:val="20"/>
          <w:color w:val="auto"/>
        </w:rPr>
      </w:pPr>
      <w:r>
        <w:rPr>
          <w:rFonts w:ascii="Times New Roman" w:cs="Times New Roman" w:eastAsia="Times New Roman" w:hAnsi="Times New Roman"/>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Adviser has a number of methods of evaluating and monitoring the performance of our investments, which may include the following:</w:t>
      </w:r>
    </w:p>
    <w:p>
      <w:pPr>
        <w:spacing w:after="0" w:line="117" w:lineRule="exact"/>
        <w:rPr>
          <w:sz w:val="20"/>
          <w:szCs w:val="20"/>
          <w:color w:val="auto"/>
        </w:rPr>
      </w:pPr>
    </w:p>
    <w:p>
      <w:pPr>
        <w:ind w:left="520" w:hanging="257"/>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success of the portfolio company in adhering to its business plan and compliance with covenants;</w:t>
      </w:r>
    </w:p>
    <w:p>
      <w:pPr>
        <w:spacing w:after="0" w:line="117" w:lineRule="exact"/>
        <w:rPr>
          <w:rFonts w:ascii="Times New Roman" w:cs="Times New Roman" w:eastAsia="Times New Roman" w:hAnsi="Times New Roman"/>
          <w:sz w:val="18"/>
          <w:szCs w:val="18"/>
          <w:color w:val="auto"/>
        </w:rPr>
      </w:pPr>
    </w:p>
    <w:p>
      <w:pPr>
        <w:ind w:left="520" w:right="20" w:hanging="257"/>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and regular contact with portfolio company management and, if appropriate, the financial or strategic sponsor, to discuss financial position, requirements and accomplishments;</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comparisons to other companies in the industry;</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attendance at, and participation in, board meetings;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68" w:lineRule="exact"/>
        <w:rPr>
          <w:sz w:val="20"/>
          <w:szCs w:val="20"/>
          <w:color w:val="auto"/>
        </w:rPr>
      </w:pPr>
    </w:p>
    <w:p>
      <w:pPr>
        <w:jc w:val="both"/>
        <w:ind w:left="520" w:right="600" w:hanging="257"/>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67" w:lineRule="exact"/>
        <w:rPr>
          <w:rFonts w:ascii="Times New Roman" w:cs="Times New Roman" w:eastAsia="Times New Roman" w:hAnsi="Times New Roman"/>
          <w:sz w:val="18"/>
          <w:szCs w:val="18"/>
          <w:color w:val="auto"/>
        </w:rPr>
      </w:pPr>
    </w:p>
    <w:p>
      <w:pPr>
        <w:ind w:left="520" w:right="80" w:hanging="257"/>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7" w:name="page8"/>
    <w:bookmarkEnd w:id="7"/>
    <w:p>
      <w:pPr>
        <w:ind w:left="520" w:right="120" w:hanging="257"/>
        <w:spacing w:after="0" w:line="266"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67" w:lineRule="exact"/>
        <w:rPr>
          <w:rFonts w:ascii="Times New Roman" w:cs="Times New Roman" w:eastAsia="Times New Roman" w:hAnsi="Times New Roman"/>
          <w:sz w:val="18"/>
          <w:szCs w:val="18"/>
          <w:color w:val="auto"/>
        </w:rPr>
      </w:pPr>
    </w:p>
    <w:p>
      <w:pPr>
        <w:ind w:left="520" w:right="20" w:hanging="257"/>
        <w:spacing w:after="0" w:line="256"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79" w:lineRule="exact"/>
        <w:rPr>
          <w:rFonts w:ascii="Times New Roman" w:cs="Times New Roman" w:eastAsia="Times New Roman" w:hAnsi="Times New Roman"/>
          <w:sz w:val="18"/>
          <w:szCs w:val="18"/>
          <w:color w:val="auto"/>
        </w:rPr>
      </w:pPr>
    </w:p>
    <w:p>
      <w:pPr>
        <w:ind w:left="520" w:right="220" w:hanging="257"/>
        <w:spacing w:after="0" w:line="261"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rating of 5 indicates an investment is in default on its interest and/or principal payments. For these investments, our Adviser reviews the investment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78" w:lineRule="exact"/>
        <w:rPr>
          <w:sz w:val="20"/>
          <w:szCs w:val="20"/>
          <w:color w:val="auto"/>
        </w:rPr>
      </w:pPr>
    </w:p>
    <w:p>
      <w:pPr>
        <w:ind w:right="340" w:firstLine="255"/>
        <w:spacing w:after="0" w:line="284" w:lineRule="auto"/>
        <w:rPr>
          <w:sz w:val="20"/>
          <w:szCs w:val="20"/>
          <w:color w:val="auto"/>
        </w:rPr>
      </w:pPr>
      <w:r>
        <w:rPr>
          <w:rFonts w:ascii="Times New Roman" w:cs="Times New Roman" w:eastAsia="Times New Roman" w:hAnsi="Times New Roman"/>
          <w:sz w:val="18"/>
          <w:szCs w:val="18"/>
          <w:color w:val="auto"/>
        </w:rPr>
        <w:t xml:space="preserve">For more information on the investment performance ratings of our portfolio, see </w:t>
      </w:r>
      <w:r>
        <w:rPr>
          <w:rFonts w:ascii="Times New Roman" w:cs="Times New Roman" w:eastAsia="Times New Roman" w:hAnsi="Times New Roman"/>
          <w:sz w:val="18"/>
          <w:szCs w:val="18"/>
          <w:i w:val="1"/>
          <w:iCs w:val="1"/>
          <w:color w:val="auto"/>
        </w:rPr>
        <w:t>“ITEM 7. 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OPERATIONS—Portfolio and Investment Activity.”</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Review Committee</w:t>
      </w:r>
    </w:p>
    <w:p>
      <w:pPr>
        <w:spacing w:after="0" w:line="121"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The Adviser manages our portfolio under the general oversight of the Investment Review Committee. The Investment Review Committee includes certain individuals who are senior personnel of the Adviser and Sixth Street, as well as certain other persons appointed by the Adviser from time to time. Our Investment Team and the Investment Review Committee are supported by and have access to the investment professionals, analytical capabilities and support personnel of Sixth Street.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Structure of Investments</w:t>
      </w:r>
    </w:p>
    <w:p>
      <w:pPr>
        <w:spacing w:after="0" w:line="121"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Since beginning our investment activities in August 2022, we have sought to generate current income primarily in U.S.-domiciled upper middle-market companies through direct originations of senior secured loans and, to a lesser extent, originations of mezzanine and unsecured loans and investments in corporate bonds and equity and other investments.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Investments</w:t>
      </w:r>
    </w:p>
    <w:p>
      <w:pPr>
        <w:spacing w:after="0" w:line="119"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The terms of our debt investments are tailored to the facts and circumstances of each transaction and prospective portfolio company. We negotiate the structure of each investment to protect our rights and manage our risk while providing funding to help the portfolio company achieve its business plan. We invest in the following types of debt:</w:t>
      </w:r>
    </w:p>
    <w:p>
      <w:pPr>
        <w:spacing w:after="0" w:line="64" w:lineRule="exact"/>
        <w:rPr>
          <w:sz w:val="20"/>
          <w:szCs w:val="20"/>
          <w:color w:val="auto"/>
        </w:rPr>
      </w:pPr>
    </w:p>
    <w:p>
      <w:pPr>
        <w:ind w:left="520" w:right="60" w:hanging="257"/>
        <w:spacing w:after="0" w:line="26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First-lien debt. </w:t>
      </w:r>
      <w:r>
        <w:rPr>
          <w:rFonts w:ascii="Times New Roman" w:cs="Times New Roman" w:eastAsia="Times New Roman" w:hAnsi="Times New Roman"/>
          <w:sz w:val="18"/>
          <w:szCs w:val="18"/>
          <w:color w:val="auto"/>
        </w:rPr>
        <w:t>First-lien debt is typically senior on a lien basis to other liabilities in the issuer’s capital structure and has the benefit of a first-priority security interest in assets of the issuer. The security interest ranks above the security interest of any second-lien lenders in those assets. Our first-lien debt may include stand-alone first-lien loans, “last out” first-lien loans, “unitranche” loans and secured corporate bonds with similar features to these categories of first-lien loans.</w:t>
      </w:r>
    </w:p>
    <w:p>
      <w:pPr>
        <w:spacing w:after="0" w:line="68" w:lineRule="exact"/>
        <w:rPr>
          <w:rFonts w:ascii="Times New Roman" w:cs="Times New Roman" w:eastAsia="Times New Roman" w:hAnsi="Times New Roman"/>
          <w:sz w:val="18"/>
          <w:szCs w:val="18"/>
          <w:color w:val="auto"/>
        </w:rPr>
      </w:pPr>
    </w:p>
    <w:p>
      <w:pPr>
        <w:ind w:left="520" w:right="80" w:hanging="257"/>
        <w:spacing w:after="0" w:line="286"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Stand-alone first-lien loans. </w:t>
      </w:r>
      <w:r>
        <w:rPr>
          <w:rFonts w:ascii="Times New Roman" w:cs="Times New Roman" w:eastAsia="Times New Roman" w:hAnsi="Times New Roman"/>
          <w:sz w:val="18"/>
          <w:szCs w:val="18"/>
          <w:color w:val="auto"/>
        </w:rPr>
        <w:t>Stand-alone first-lien loans are traditional first-lien loans. All lenders in the facility have equal rights to the collateral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is subject to the first-priority security interest.</w:t>
      </w:r>
    </w:p>
    <w:p>
      <w:pPr>
        <w:spacing w:after="0" w:line="46" w:lineRule="exact"/>
        <w:rPr>
          <w:rFonts w:ascii="Times New Roman" w:cs="Times New Roman" w:eastAsia="Times New Roman" w:hAnsi="Times New Roman"/>
          <w:sz w:val="18"/>
          <w:szCs w:val="18"/>
          <w:color w:val="auto"/>
        </w:rPr>
      </w:pPr>
    </w:p>
    <w:p>
      <w:pPr>
        <w:ind w:left="520" w:right="20" w:hanging="257"/>
        <w:spacing w:after="0" w:line="255"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“Last out” first-lien loans. </w:t>
      </w:r>
      <w:r>
        <w:rPr>
          <w:rFonts w:ascii="Times New Roman" w:cs="Times New Roman" w:eastAsia="Times New Roman" w:hAnsi="Times New Roman"/>
          <w:sz w:val="18"/>
          <w:szCs w:val="18"/>
          <w:color w:val="auto"/>
        </w:rPr>
        <w:t>“Last out” first-lien loans have a secondary priority behind super-senior “first out” first-lien loans in the collateral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securing the loans in certain circumstances. The arrangements for a “last out” first-lien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first-lien loans. Agreements among lenders also typically provide greater voting rights to the “last out” lenders than the intercreditor agreements to which second-lien lenders often are subject.</w:t>
      </w:r>
    </w:p>
    <w:p>
      <w:pPr>
        <w:spacing w:after="0" w:line="76" w:lineRule="exact"/>
        <w:rPr>
          <w:rFonts w:ascii="Times New Roman" w:cs="Times New Roman" w:eastAsia="Times New Roman" w:hAnsi="Times New Roman"/>
          <w:sz w:val="18"/>
          <w:szCs w:val="18"/>
          <w:color w:val="auto"/>
        </w:rPr>
      </w:pPr>
    </w:p>
    <w:p>
      <w:pPr>
        <w:ind w:left="520" w:right="20" w:hanging="257"/>
        <w:spacing w:after="0" w:line="268"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“Unitranche” loans. </w:t>
      </w:r>
      <w:r>
        <w:rPr>
          <w:rFonts w:ascii="Times New Roman" w:cs="Times New Roman" w:eastAsia="Times New Roman" w:hAnsi="Times New Roman"/>
          <w:sz w:val="18"/>
          <w:szCs w:val="18"/>
          <w:color w:val="auto"/>
        </w:rPr>
        <w:t>Unitranche loans combine features of first-lien, second-lien and mezzanine debt, generally in a first-lien position. In many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cases, we may provide the borrower most, if not all, of the capital structure above the equity. The primary advantages to the borrower are the ability to negotiate the entire debt financing with one lender and the elimination of intercreditor issues.</w:t>
      </w:r>
    </w:p>
    <w:p>
      <w:pPr>
        <w:spacing w:after="0" w:line="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8" w:name="page9"/>
    <w:bookmarkEnd w:id="8"/>
    <w:p>
      <w:pPr>
        <w:ind w:left="520" w:right="200" w:hanging="257"/>
        <w:spacing w:after="0" w:line="259"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Second-lien debt. </w:t>
      </w:r>
      <w:r>
        <w:rPr>
          <w:rFonts w:ascii="Times New Roman" w:cs="Times New Roman" w:eastAsia="Times New Roman" w:hAnsi="Times New Roman"/>
          <w:sz w:val="18"/>
          <w:szCs w:val="18"/>
          <w:color w:val="auto"/>
        </w:rPr>
        <w:t>Our second-lien debt may include secured loans, and, to a lesser extent, secured corporate bonds, with a secondary priority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behind first-lien debt. Second-lien debt typically is senior on a lien basis to other liabilities in the issuer’s capital structure and has the benefit of a security interest over assets of the issuer, though ranking junior to first-lien debt secured by those assets. First-lien lenders and second-lien lenders typically have separate liens on the collateral, and an intercreditor agreement provides the first-lien lenders with priority over the second-lien lenders’ liens on the collateral.</w:t>
      </w:r>
    </w:p>
    <w:p>
      <w:pPr>
        <w:spacing w:after="0" w:line="71" w:lineRule="exact"/>
        <w:rPr>
          <w:rFonts w:ascii="Times New Roman" w:cs="Times New Roman" w:eastAsia="Times New Roman" w:hAnsi="Times New Roman"/>
          <w:sz w:val="18"/>
          <w:szCs w:val="18"/>
          <w:color w:val="auto"/>
        </w:rPr>
      </w:pPr>
    </w:p>
    <w:p>
      <w:pPr>
        <w:ind w:left="520" w:right="60" w:hanging="257"/>
        <w:spacing w:after="0" w:line="254"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“Mezzanine” and “Unsecured” debt. </w:t>
      </w:r>
      <w:r>
        <w:rPr>
          <w:rFonts w:ascii="Times New Roman" w:cs="Times New Roman" w:eastAsia="Times New Roman" w:hAnsi="Times New Roman"/>
          <w:sz w:val="18"/>
          <w:szCs w:val="18"/>
          <w:color w:val="auto"/>
        </w:rPr>
        <w:t>Structurally, mezzanine debt usually ranks subordinate in priority of payment to first-lien and second-lien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debt and may not have the benefit of financial covenants common in first-lien and second-lien debt. Unsecured debt may rank junior as it relates to proceeds in certain liquidations where it does not have the benefit of a lien in specific collateral held by creditors (typically first lien and/or second lien) who have a perfected security interest in such collateral. However, both mezzanine and unsecured debt ranks senior to common and preferred equity in an issuer’s capital structure. Mezzanine and unsecured debt investments generally offer lenders fixed returns in the form of interest payments and mezzanine debt will often provide lenders an opportunity to participate in the capital appreciation, if any, of an issuer through an equity interest. This equity interest typically takes the form of an equity co-investment or warrants. Due to its higher risk profile and often less restrictive covenants compared to senior secured loans, mezzanine and unsecured debt generally bears a higher stated interest rate than first-lien and second-lien debt.</w:t>
      </w:r>
    </w:p>
    <w:p>
      <w:pPr>
        <w:spacing w:after="0" w:line="192" w:lineRule="exact"/>
        <w:rPr>
          <w:sz w:val="20"/>
          <w:szCs w:val="20"/>
          <w:color w:val="auto"/>
        </w:rPr>
      </w:pPr>
    </w:p>
    <w:p>
      <w:pPr>
        <w:ind w:right="340" w:firstLine="255"/>
        <w:spacing w:after="0" w:line="282" w:lineRule="auto"/>
        <w:rPr>
          <w:sz w:val="20"/>
          <w:szCs w:val="20"/>
          <w:color w:val="auto"/>
        </w:rPr>
      </w:pPr>
      <w:r>
        <w:rPr>
          <w:rFonts w:ascii="Times New Roman" w:cs="Times New Roman" w:eastAsia="Times New Roman" w:hAnsi="Times New Roman"/>
          <w:sz w:val="18"/>
          <w:szCs w:val="18"/>
          <w:color w:val="auto"/>
        </w:rPr>
        <w:t>Our debt investments are typically structured with the maximum seniority and collateral that we can reasonably obtain while seeking to achieve our total return target. We seek to limit the downside potential of our investments by:</w:t>
      </w:r>
    </w:p>
    <w:p>
      <w:pPr>
        <w:spacing w:after="0" w:line="54" w:lineRule="exact"/>
        <w:rPr>
          <w:sz w:val="20"/>
          <w:szCs w:val="20"/>
          <w:color w:val="auto"/>
        </w:rPr>
      </w:pPr>
    </w:p>
    <w:p>
      <w:pPr>
        <w:ind w:left="520" w:hanging="257"/>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total return on our investments (including both interest and potential equity appreciation) that compensates us for credit risk; and</w:t>
      </w:r>
    </w:p>
    <w:p>
      <w:pPr>
        <w:spacing w:after="0" w:line="117" w:lineRule="exact"/>
        <w:rPr>
          <w:rFonts w:ascii="Times New Roman" w:cs="Times New Roman" w:eastAsia="Times New Roman" w:hAnsi="Times New Roman"/>
          <w:sz w:val="18"/>
          <w:szCs w:val="18"/>
          <w:color w:val="auto"/>
        </w:rPr>
      </w:pPr>
    </w:p>
    <w:p>
      <w:pPr>
        <w:ind w:left="520" w:right="260" w:hanging="257"/>
        <w:spacing w:after="0" w:line="261"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covenants in connection with our investments that afford our portfolio companies as much flexibility in managing their businesses as possible, consistent with preservation of our capital. Such restrictions may include affirmative covenants (including reporting requirements), negative covenants (including financial covenants), lien protection, change of control provisions and board rights, including either observation or rights to a seat on the board under some circumstances.</w:t>
      </w:r>
    </w:p>
    <w:p>
      <w:pPr>
        <w:spacing w:after="0" w:line="180"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Among the types of first-lien debt in which we invest, we generally are able to obtain higher effective interest rates on our “last out” first-lien loans than on other types of first-lien loans, since our “last-out” first-lien loans generally are more junior in the capital structure. Within our portfolio, we aim to maintain the appropriate proportion among the various types of first-lien loans, as well as second-lien debt and mezzanine debt, which allows us to achieve our target returns while maintaining our targeted amount of credit risk.</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and Other Investments</w:t>
      </w:r>
    </w:p>
    <w:p>
      <w:pPr>
        <w:spacing w:after="0" w:line="119" w:lineRule="exact"/>
        <w:rPr>
          <w:sz w:val="20"/>
          <w:szCs w:val="20"/>
          <w:color w:val="auto"/>
        </w:rPr>
      </w:pPr>
    </w:p>
    <w:p>
      <w:pPr>
        <w:jc w:val="both"/>
        <w:ind w:right="440" w:firstLine="255"/>
        <w:spacing w:after="0" w:line="266" w:lineRule="auto"/>
        <w:rPr>
          <w:sz w:val="20"/>
          <w:szCs w:val="20"/>
          <w:color w:val="auto"/>
        </w:rPr>
      </w:pPr>
      <w:r>
        <w:rPr>
          <w:rFonts w:ascii="Times New Roman" w:cs="Times New Roman" w:eastAsia="Times New Roman" w:hAnsi="Times New Roman"/>
          <w:sz w:val="18"/>
          <w:szCs w:val="18"/>
          <w:color w:val="auto"/>
        </w:rPr>
        <w:t>Our loans may include an equity interest in the issuer, such as a warrant or profit participation right. In certain instances, we also will make equity investments, although those situations are generally limited to those cases where we are also making an investment in a more senior part of the capital structure of the issuer.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ind w:right="180" w:firstLine="255"/>
        <w:spacing w:after="0" w:line="282" w:lineRule="auto"/>
        <w:rPr>
          <w:sz w:val="20"/>
          <w:szCs w:val="20"/>
          <w:color w:val="auto"/>
        </w:rPr>
      </w:pPr>
      <w:r>
        <w:rPr>
          <w:rFonts w:ascii="Times New Roman" w:cs="Times New Roman" w:eastAsia="Times New Roman" w:hAnsi="Times New Roman"/>
          <w:sz w:val="18"/>
          <w:szCs w:val="18"/>
          <w:color w:val="auto"/>
        </w:rPr>
        <w:t>As of December 31, 2023 and 2022, we had made investments with an aggregate fair value of $3,099.2 million and $808.8 million, respectively, in 37 and 10 portfolio companies, respectively.</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Investments consisted of the following at December 31, 2023 and 2022:</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0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 xml:space="preserve">Amortized Cost </w:t>
            </w:r>
            <w:r>
              <w:rPr>
                <w:rFonts w:ascii="Times New Roman" w:cs="Times New Roman" w:eastAsia="Times New Roman" w:hAnsi="Times New Roman"/>
                <w:sz w:val="19"/>
                <w:szCs w:val="19"/>
                <w:b w:val="1"/>
                <w:bCs w:val="1"/>
                <w:color w:val="auto"/>
                <w:vertAlign w:val="superscript"/>
              </w:rPr>
              <w:t>(1)</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80" w:type="dxa"/>
            <w:vAlign w:val="bottom"/>
          </w:tcPr>
          <w:p>
            <w:pPr>
              <w:spacing w:after="0"/>
              <w:rPr>
                <w:sz w:val="16"/>
                <w:szCs w:val="16"/>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1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p>
        </w:tc>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2,792.9</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2,850.9</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80" w:type="dxa"/>
            <w:vAlign w:val="bottom"/>
            <w:shd w:val="clear" w:color="auto" w:fill="CFF0FC"/>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080" w:type="dxa"/>
            <w:vAlign w:val="bottom"/>
          </w:tcPr>
          <w:p>
            <w:pPr>
              <w:spacing w:after="0"/>
              <w:rPr>
                <w:sz w:val="21"/>
                <w:szCs w:val="21"/>
                <w:color w:val="auto"/>
              </w:rPr>
            </w:pPr>
          </w:p>
        </w:tc>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FF0FC"/>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1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1080" w:type="dxa"/>
            <w:vAlign w:val="bottom"/>
          </w:tcPr>
          <w:p>
            <w:pPr>
              <w:spacing w:after="0"/>
              <w:rPr>
                <w:sz w:val="22"/>
                <w:szCs w:val="22"/>
                <w:color w:val="auto"/>
              </w:rPr>
            </w:pPr>
          </w:p>
        </w:tc>
        <w:tc>
          <w:tcPr>
            <w:tcW w:w="3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20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3,037.8</w:t>
            </w: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3,099.2</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80" w:type="dxa"/>
            <w:vAlign w:val="bottom"/>
            <w:shd w:val="clear" w:color="auto" w:fill="CFF0FC"/>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3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8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-865505</wp:posOffset>
            </wp:positionV>
            <wp:extent cx="603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-847725</wp:posOffset>
            </wp:positionV>
            <wp:extent cx="603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-865505</wp:posOffset>
            </wp:positionV>
            <wp:extent cx="514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-847725</wp:posOffset>
            </wp:positionV>
            <wp:extent cx="514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-865505</wp:posOffset>
            </wp:positionV>
            <wp:extent cx="514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-847725</wp:posOffset>
            </wp:positionV>
            <wp:extent cx="514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 w:name="page10"/>
    <w:bookmarkEnd w:id="9"/>
    <w:tbl>
      <w:tblPr>
        <w:tblLayout w:type="fixed"/>
        <w:tblInd w:w="1200" w:type="dxa"/>
        <w:tblCellMar>
          <w:top w:w="0" w:type="dxa"/>
          <w:left w:w="0" w:type="dxa"/>
          <w:bottom w:w="0" w:type="dxa"/>
          <w:right w:w="0" w:type="dxa"/>
        </w:tblCellMar>
      </w:tblPr>
      <w:tr>
        <w:trPr>
          <w:trHeight w:val="187"/>
        </w:trPr>
        <w:tc>
          <w:tcPr>
            <w:tcW w:w="45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vMerge w:val="restart"/>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 xml:space="preserve">Amortized Cost </w:t>
            </w:r>
            <w:r>
              <w:rPr>
                <w:rFonts w:ascii="Times New Roman" w:cs="Times New Roman" w:eastAsia="Times New Roman" w:hAnsi="Times New Roman"/>
                <w:sz w:val="19"/>
                <w:szCs w:val="19"/>
                <w:b w:val="1"/>
                <w:bCs w:val="1"/>
                <w:color w:val="auto"/>
                <w:vertAlign w:val="superscript"/>
              </w:rPr>
              <w:t>(1)</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4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39"/>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4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809.0</w:t>
            </w: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808.8</w:t>
            </w:r>
          </w:p>
        </w:tc>
        <w:tc>
          <w:tcPr>
            <w:tcW w:w="18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0"/>
        </w:trPr>
        <w:tc>
          <w:tcPr>
            <w:tcW w:w="45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-24765</wp:posOffset>
            </wp:positionV>
            <wp:extent cx="603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-7620</wp:posOffset>
            </wp:positionV>
            <wp:extent cx="603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514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514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-24765</wp:posOffset>
            </wp:positionV>
            <wp:extent cx="514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-7620</wp:posOffset>
            </wp:positionV>
            <wp:extent cx="514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520" w:right="38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Amortized cost represents the original cost adjusted for the amortization of discounts or premiums, as applicable, on debt investments using the effective interest method.</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industry composition of investments at fair value at December 31, 2023 and 2022 was as follows: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340" w:type="dxa"/>
            <w:vAlign w:val="bottom"/>
          </w:tcPr>
          <w:p>
            <w:pPr>
              <w:spacing w:after="0"/>
              <w:rPr>
                <w:sz w:val="16"/>
                <w:szCs w:val="16"/>
                <w:color w:val="auto"/>
              </w:rPr>
            </w:pPr>
          </w:p>
        </w:tc>
        <w:tc>
          <w:tcPr>
            <w:tcW w:w="16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6"/>
                <w:szCs w:val="16"/>
                <w:color w:val="auto"/>
              </w:rPr>
            </w:pPr>
          </w:p>
        </w:tc>
        <w:tc>
          <w:tcPr>
            <w:tcW w:w="17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gridSpan w:val="2"/>
          </w:tcPr>
          <w:p>
            <w:pPr>
              <w:spacing w:after="0"/>
              <w:rPr>
                <w:sz w:val="16"/>
                <w:szCs w:val="16"/>
                <w:color w:val="auto"/>
              </w:rPr>
            </w:pPr>
          </w:p>
        </w:tc>
      </w:tr>
      <w:tr>
        <w:trPr>
          <w:trHeight w:val="237"/>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Automotive</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8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Business Services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38"/>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Chemicals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4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Education</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8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32.4 %</w:t>
            </w:r>
          </w:p>
        </w:tc>
      </w:tr>
      <w:tr>
        <w:trPr>
          <w:trHeight w:val="252"/>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Healthcare</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8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Human Resource Support Services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18.0 %</w:t>
            </w:r>
          </w:p>
        </w:tc>
      </w:tr>
      <w:tr>
        <w:trPr>
          <w:trHeight w:val="252"/>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8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Internet Services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38"/>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16.3 %</w:t>
            </w:r>
          </w:p>
        </w:tc>
      </w:tr>
      <w:tr>
        <w:trPr>
          <w:trHeight w:val="24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Oil, Gas and Consumable Fuels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Retail and Consumer Products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29.4 %</w:t>
            </w:r>
          </w:p>
        </w:tc>
      </w:tr>
      <w:tr>
        <w:trPr>
          <w:trHeight w:val="239"/>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53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-1885315</wp:posOffset>
            </wp:positionV>
            <wp:extent cx="5700395"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-650875</wp:posOffset>
            </wp:positionV>
            <wp:extent cx="5700395"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-342265</wp:posOffset>
            </wp:positionV>
            <wp:extent cx="5700395"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178" w:lineRule="exact"/>
        <w:rPr>
          <w:sz w:val="20"/>
          <w:szCs w:val="20"/>
          <w:color w:val="auto"/>
        </w:rPr>
      </w:pPr>
    </w:p>
    <w:p>
      <w:pPr>
        <w:ind w:right="400" w:firstLine="255"/>
        <w:spacing w:after="0" w:line="282" w:lineRule="auto"/>
        <w:rPr>
          <w:sz w:val="20"/>
          <w:szCs w:val="20"/>
          <w:color w:val="auto"/>
        </w:rPr>
      </w:pPr>
      <w:r>
        <w:rPr>
          <w:rFonts w:ascii="Times New Roman" w:cs="Times New Roman" w:eastAsia="Times New Roman" w:hAnsi="Times New Roman"/>
          <w:sz w:val="18"/>
          <w:szCs w:val="18"/>
          <w:color w:val="auto"/>
        </w:rPr>
        <w:t>We classify the industries of our portfolio companies by end-market (such as Financial Services and Retail and Consumer Products) and not by the product or services (such as Software) directed to those end-markets.</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geographic composition of investments at fair value at December 31, 2023 and 2022 was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1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720" w:type="dxa"/>
            <w:vAlign w:val="bottom"/>
            <w:gridSpan w:val="3"/>
          </w:tcPr>
          <w:p>
            <w:pPr>
              <w:jc w:val="right"/>
              <w:ind w:right="13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00" w:type="dxa"/>
            <w:vAlign w:val="bottom"/>
            <w:shd w:val="clear" w:color="auto" w:fill="CFF0FC"/>
          </w:tcPr>
          <w:p>
            <w:pPr>
              <w:spacing w:after="0"/>
              <w:rPr>
                <w:sz w:val="20"/>
                <w:szCs w:val="20"/>
                <w:color w:val="auto"/>
              </w:rPr>
            </w:pPr>
          </w:p>
        </w:tc>
        <w:tc>
          <w:tcPr>
            <w:tcW w:w="194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2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Midwest</w:t>
            </w:r>
          </w:p>
        </w:tc>
        <w:tc>
          <w:tcPr>
            <w:tcW w:w="4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16.0 %</w:t>
            </w:r>
          </w:p>
        </w:tc>
        <w:tc>
          <w:tcPr>
            <w:tcW w:w="272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18.1 %</w:t>
            </w:r>
          </w:p>
        </w:tc>
        <w:tc>
          <w:tcPr>
            <w:tcW w:w="0" w:type="dxa"/>
            <w:vAlign w:val="bottom"/>
          </w:tcPr>
          <w:p>
            <w:pPr>
              <w:spacing w:after="0"/>
              <w:rPr>
                <w:sz w:val="1"/>
                <w:szCs w:val="1"/>
                <w:color w:val="auto"/>
              </w:rPr>
            </w:pPr>
          </w:p>
        </w:tc>
      </w:tr>
      <w:tr>
        <w:trPr>
          <w:trHeight w:val="238"/>
        </w:trPr>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Northeast</w:t>
            </w:r>
          </w:p>
        </w:tc>
        <w:tc>
          <w:tcPr>
            <w:tcW w:w="4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23.1 %</w:t>
            </w:r>
          </w:p>
        </w:tc>
        <w:tc>
          <w:tcPr>
            <w:tcW w:w="272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45.5 %</w:t>
            </w: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w:t>
            </w:r>
          </w:p>
        </w:tc>
        <w:tc>
          <w:tcPr>
            <w:tcW w:w="4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7.4 %</w:t>
            </w:r>
          </w:p>
        </w:tc>
        <w:tc>
          <w:tcPr>
            <w:tcW w:w="272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West</w:t>
            </w:r>
          </w:p>
        </w:tc>
        <w:tc>
          <w:tcPr>
            <w:tcW w:w="4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40.3 %</w:t>
            </w:r>
          </w:p>
        </w:tc>
        <w:tc>
          <w:tcPr>
            <w:tcW w:w="272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32.5 %</w:t>
            </w: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4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1.9 %</w:t>
            </w:r>
          </w:p>
        </w:tc>
        <w:tc>
          <w:tcPr>
            <w:tcW w:w="2720" w:type="dxa"/>
            <w:vAlign w:val="bottom"/>
            <w:gridSpan w:val="3"/>
          </w:tcPr>
          <w:p>
            <w:pPr>
              <w:jc w:val="right"/>
              <w:ind w:righ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40" w:type="dxa"/>
            <w:vAlign w:val="bottom"/>
            <w:shd w:val="clear" w:color="auto" w:fill="CFF0FC"/>
          </w:tcPr>
          <w:p>
            <w:pPr>
              <w:spacing w:after="0" w:line="257" w:lineRule="exact"/>
              <w:rPr>
                <w:sz w:val="20"/>
                <w:szCs w:val="20"/>
                <w:color w:val="auto"/>
              </w:rPr>
            </w:pPr>
            <w:r>
              <w:rPr>
                <w:rFonts w:ascii="Times New Roman" w:cs="Times New Roman" w:eastAsia="Times New Roman" w:hAnsi="Times New Roman"/>
                <w:sz w:val="18"/>
                <w:szCs w:val="18"/>
                <w:color w:val="auto"/>
              </w:rPr>
              <w:t xml:space="preserve">Finland </w:t>
            </w:r>
            <w:r>
              <w:rPr>
                <w:rFonts w:ascii="Times New Roman" w:cs="Times New Roman" w:eastAsia="Times New Roman" w:hAnsi="Times New Roman"/>
                <w:sz w:val="24"/>
                <w:szCs w:val="24"/>
                <w:color w:val="auto"/>
                <w:vertAlign w:val="superscript"/>
              </w:rPr>
              <w:t>(1)</w:t>
            </w:r>
          </w:p>
        </w:tc>
        <w:tc>
          <w:tcPr>
            <w:tcW w:w="41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4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0.3 %</w:t>
            </w:r>
          </w:p>
        </w:tc>
        <w:tc>
          <w:tcPr>
            <w:tcW w:w="272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38"/>
        </w:trPr>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Luxembourg</w:t>
            </w:r>
          </w:p>
        </w:tc>
        <w:tc>
          <w:tcPr>
            <w:tcW w:w="4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c>
          <w:tcPr>
            <w:tcW w:w="272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4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c>
          <w:tcPr>
            <w:tcW w:w="2720" w:type="dxa"/>
            <w:vAlign w:val="bottom"/>
            <w:gridSpan w:val="3"/>
          </w:tcPr>
          <w:p>
            <w:pPr>
              <w:jc w:val="right"/>
              <w:ind w:righ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Norway</w:t>
            </w:r>
          </w:p>
        </w:tc>
        <w:tc>
          <w:tcPr>
            <w:tcW w:w="4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5.4 %</w:t>
            </w:r>
          </w:p>
        </w:tc>
        <w:tc>
          <w:tcPr>
            <w:tcW w:w="272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000" w:type="dxa"/>
            <w:vAlign w:val="bottom"/>
          </w:tcPr>
          <w:p>
            <w:pPr>
              <w:spacing w:after="0"/>
              <w:rPr>
                <w:sz w:val="21"/>
                <w:szCs w:val="21"/>
                <w:color w:val="auto"/>
              </w:rPr>
            </w:pPr>
          </w:p>
        </w:tc>
        <w:tc>
          <w:tcPr>
            <w:tcW w:w="2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5.4 %</w:t>
            </w:r>
          </w:p>
        </w:tc>
        <w:tc>
          <w:tcPr>
            <w:tcW w:w="2720" w:type="dxa"/>
            <w:vAlign w:val="bottom"/>
            <w:gridSpan w:val="3"/>
          </w:tcPr>
          <w:p>
            <w:pPr>
              <w:jc w:val="right"/>
              <w:ind w:righ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0" w:type="dxa"/>
            <w:vAlign w:val="bottom"/>
          </w:tcPr>
          <w:p>
            <w:pPr>
              <w:spacing w:after="0"/>
              <w:rPr>
                <w:sz w:val="2"/>
                <w:szCs w:val="2"/>
                <w:color w:val="auto"/>
              </w:rPr>
            </w:pPr>
          </w:p>
        </w:tc>
        <w:tc>
          <w:tcPr>
            <w:tcW w:w="1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40" w:type="dxa"/>
            <w:vAlign w:val="bottom"/>
            <w:vMerge w:val="continue"/>
          </w:tcPr>
          <w:p>
            <w:pPr>
              <w:spacing w:after="0"/>
              <w:rPr>
                <w:sz w:val="20"/>
                <w:szCs w:val="20"/>
                <w:color w:val="auto"/>
              </w:rPr>
            </w:pPr>
          </w:p>
        </w:tc>
        <w:tc>
          <w:tcPr>
            <w:tcW w:w="2000" w:type="dxa"/>
            <w:vAlign w:val="bottom"/>
          </w:tcPr>
          <w:p>
            <w:pPr>
              <w:spacing w:after="0"/>
              <w:rPr>
                <w:sz w:val="20"/>
                <w:szCs w:val="20"/>
                <w:color w:val="auto"/>
              </w:rPr>
            </w:pPr>
          </w:p>
        </w:tc>
        <w:tc>
          <w:tcPr>
            <w:tcW w:w="2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272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8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35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Value rounds to less than 0.1%</w:t>
            </w:r>
          </w:p>
        </w:tc>
        <w:tc>
          <w:tcPr>
            <w:tcW w:w="200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80" w:type="dxa"/>
            <w:vAlign w:val="bottom"/>
            <w:vMerge w:val="continue"/>
          </w:tcPr>
          <w:p>
            <w:pPr>
              <w:spacing w:after="0"/>
              <w:rPr>
                <w:sz w:val="24"/>
                <w:szCs w:val="24"/>
                <w:color w:val="auto"/>
              </w:rPr>
            </w:pPr>
          </w:p>
        </w:tc>
        <w:tc>
          <w:tcPr>
            <w:tcW w:w="3500" w:type="dxa"/>
            <w:vAlign w:val="bottom"/>
            <w:gridSpan w:val="2"/>
            <w:vMerge w:val="continue"/>
          </w:tcPr>
          <w:p>
            <w:pPr>
              <w:spacing w:after="0"/>
              <w:rPr>
                <w:sz w:val="24"/>
                <w:szCs w:val="24"/>
                <w:color w:val="auto"/>
              </w:rPr>
            </w:pPr>
          </w:p>
        </w:tc>
        <w:tc>
          <w:tcPr>
            <w:tcW w:w="20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10</w:t>
            </w:r>
          </w:p>
        </w:tc>
        <w:tc>
          <w:tcPr>
            <w:tcW w:w="1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-2708275</wp:posOffset>
            </wp:positionV>
            <wp:extent cx="570039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-2399665</wp:posOffset>
            </wp:positionV>
            <wp:extent cx="5700395"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-1782445</wp:posOffset>
            </wp:positionV>
            <wp:extent cx="570039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-1473835</wp:posOffset>
            </wp:positionV>
            <wp:extent cx="5700395"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-1156970</wp:posOffset>
            </wp:positionV>
            <wp:extent cx="5700395" cy="180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00395" cy="18034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Investment Commitments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December 31, 2023 and 2022, we had the following commitments to fund investments in current portfolio companies:</w:t>
      </w:r>
    </w:p>
    <w:p>
      <w:pPr>
        <w:spacing w:after="0" w:line="340" w:lineRule="exact"/>
        <w:rPr>
          <w:sz w:val="20"/>
          <w:szCs w:val="20"/>
          <w:color w:val="auto"/>
        </w:rPr>
      </w:pPr>
    </w:p>
    <w:tbl>
      <w:tblPr>
        <w:tblLayout w:type="fixed"/>
        <w:tblInd w:w="920" w:type="dxa"/>
        <w:tblCellMar>
          <w:top w:w="0" w:type="dxa"/>
          <w:left w:w="0" w:type="dxa"/>
          <w:bottom w:w="0" w:type="dxa"/>
          <w:right w:w="0" w:type="dxa"/>
        </w:tblCellMar>
      </w:tblPr>
      <w:tr>
        <w:trPr>
          <w:trHeight w:val="187"/>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0" w:type="dxa"/>
            <w:vAlign w:val="bottom"/>
          </w:tcPr>
          <w:p>
            <w:pPr>
              <w:spacing w:after="0"/>
              <w:rPr>
                <w:sz w:val="16"/>
                <w:szCs w:val="16"/>
                <w:color w:val="auto"/>
              </w:rPr>
            </w:pPr>
          </w:p>
        </w:tc>
      </w:tr>
      <w:tr>
        <w:trPr>
          <w:trHeight w:val="23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Alaska Bidco Oy - Delayed Draw &amp; Revolver</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Arrow Buyer, Inc. - Delayed Draw</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Artisan Bidco, Inc - Revolver</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Avalara, Inc. - Revolver</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20"/>
                <w:szCs w:val="20"/>
                <w:color w:val="auto"/>
              </w:rPr>
            </w:pPr>
          </w:p>
        </w:tc>
      </w:tr>
      <w:tr>
        <w:trPr>
          <w:trHeight w:val="247"/>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Banyan Software Holdings, LLC - Delayed Draw</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BCTO Bluebill Buyer, Inc. - Delayed Draw</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BTRS Holdings, Inc. - Delayed Draw &amp; Revolver</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shd w:val="clear" w:color="auto" w:fill="CFF0FC"/>
          </w:tcPr>
          <w:p>
            <w:pPr>
              <w:spacing w:after="0"/>
              <w:rPr>
                <w:sz w:val="21"/>
                <w:szCs w:val="21"/>
                <w:color w:val="auto"/>
              </w:rPr>
            </w:pP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Coupa Holdings, LLC - Delayed Draw &amp; Revolver</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Crewline Buyer, Inc. - Revolver &amp; Partnership Interest</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Disco Parent, Inc. - Revolver</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Edge Bidco B.V. - Delayed Draw &amp; Revolver</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Erling Lux Bidco SARL - Delayed Draw &amp; Revolver</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20"/>
                <w:szCs w:val="20"/>
                <w:color w:val="auto"/>
              </w:rPr>
            </w:pPr>
          </w:p>
        </w:tc>
      </w:tr>
      <w:tr>
        <w:trPr>
          <w:trHeight w:val="247"/>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Fullsteam Operations, LLC - Delayed Draw &amp; Revolver</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Galileo Parent, Inc. - Revolver</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Hirevue, Inc. - Revolver</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Hornetsecurity Holding GmbH - Delayed Draw &amp; Revolver</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0"/>
                <w:szCs w:val="20"/>
                <w:color w:val="auto"/>
              </w:rPr>
            </w:pPr>
          </w:p>
        </w:tc>
      </w:tr>
      <w:tr>
        <w:trPr>
          <w:trHeight w:val="247"/>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Kangaroo Bidco AS - Delayed Draw</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Laramie Energy, LLC - Delayed Draw</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OutSystems Luxco SARL - Delayed Draw</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FF0FC"/>
          </w:tcPr>
          <w:p>
            <w:pPr>
              <w:spacing w:after="0"/>
              <w:rPr>
                <w:sz w:val="21"/>
                <w:szCs w:val="21"/>
                <w:color w:val="auto"/>
              </w:rPr>
            </w:pP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Ping Identity Holding Corp. - Revolver</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20"/>
                <w:szCs w:val="20"/>
                <w:color w:val="auto"/>
              </w:rPr>
            </w:pPr>
          </w:p>
        </w:tc>
      </w:tr>
      <w:tr>
        <w:trPr>
          <w:trHeight w:val="247"/>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Rapid Data GmbH Unternehmensberatung - Delayed Draw &amp; Revolver</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Skylark UK DebtCo - Delayed Draw</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SL Buyer Corp - Delayed Draw</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Wrangler TopCo, LLC - Revolver</w:t>
            </w: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r>
        <w:trPr>
          <w:trHeight w:val="277"/>
        </w:trPr>
        <w:tc>
          <w:tcPr>
            <w:tcW w:w="5820" w:type="dxa"/>
            <w:vAlign w:val="bottom"/>
            <w:tcBorders>
              <w:bottom w:val="single" w:sz="8" w:color="CFF0FC"/>
            </w:tcBorders>
            <w:shd w:val="clear" w:color="auto" w:fill="CFF0FC"/>
          </w:tcPr>
          <w:p>
            <w:pPr>
              <w:ind w:left="180"/>
              <w:spacing w:after="0" w:line="236" w:lineRule="exact"/>
              <w:rPr>
                <w:sz w:val="20"/>
                <w:szCs w:val="20"/>
                <w:color w:val="auto"/>
              </w:rPr>
            </w:pPr>
            <w:r>
              <w:rPr>
                <w:rFonts w:ascii="Times New Roman" w:cs="Times New Roman" w:eastAsia="Times New Roman" w:hAnsi="Times New Roman"/>
                <w:sz w:val="18"/>
                <w:szCs w:val="18"/>
                <w:b w:val="1"/>
                <w:bCs w:val="1"/>
                <w:color w:val="auto"/>
              </w:rPr>
              <w:t xml:space="preserve">Total Portfolio Company Commitments </w:t>
            </w:r>
            <w:r>
              <w:rPr>
                <w:rFonts w:ascii="Times New Roman" w:cs="Times New Roman" w:eastAsia="Times New Roman" w:hAnsi="Times New Roman"/>
                <w:sz w:val="24"/>
                <w:szCs w:val="24"/>
                <w:b w:val="1"/>
                <w:bCs w:val="1"/>
                <w:color w:val="auto"/>
                <w:vertAlign w:val="superscript"/>
              </w:rPr>
              <w:t>(1)(2)</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-24765</wp:posOffset>
            </wp:positionV>
            <wp:extent cx="596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596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-24765</wp:posOffset>
            </wp:positionV>
            <wp:extent cx="514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-7620</wp:posOffset>
            </wp:positionV>
            <wp:extent cx="514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both"/>
        <w:ind w:left="520" w:right="160" w:hanging="512"/>
        <w:spacing w:after="0" w:line="257"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w:t>
      </w:r>
    </w:p>
    <w:p>
      <w:pPr>
        <w:spacing w:after="0" w:line="1" w:lineRule="exact"/>
        <w:rPr>
          <w:rFonts w:ascii="Times New Roman" w:cs="Times New Roman" w:eastAsia="Times New Roman" w:hAnsi="Times New Roman"/>
          <w:sz w:val="18"/>
          <w:szCs w:val="18"/>
          <w:color w:val="auto"/>
        </w:rPr>
      </w:pPr>
    </w:p>
    <w:p>
      <w:pPr>
        <w:ind w:left="520" w:right="580" w:hanging="512"/>
        <w:spacing w:after="0" w:line="260"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 of the fair value of the current investments in these portfolio companies includes as analysis of the fair value of any unfunded commitments.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 and Contingencies</w:t>
      </w:r>
    </w:p>
    <w:p>
      <w:pPr>
        <w:spacing w:after="0" w:line="119"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As of December 31, 2023 and 2022, we did not have any unfunded commitments to fund investments to new borrowers that were not current portfolio companies as of such date.</w:t>
      </w:r>
    </w:p>
    <w:p>
      <w:pPr>
        <w:spacing w:after="0" w:line="162" w:lineRule="exact"/>
        <w:rPr>
          <w:sz w:val="20"/>
          <w:szCs w:val="20"/>
          <w:color w:val="auto"/>
        </w:rPr>
      </w:pPr>
    </w:p>
    <w:p>
      <w:pPr>
        <w:jc w:val="both"/>
        <w:ind w:right="300" w:firstLine="255"/>
        <w:spacing w:after="0" w:line="282" w:lineRule="auto"/>
        <w:rPr>
          <w:sz w:val="20"/>
          <w:szCs w:val="20"/>
          <w:color w:val="auto"/>
        </w:rPr>
      </w:pPr>
      <w:r>
        <w:rPr>
          <w:rFonts w:ascii="Times New Roman" w:cs="Times New Roman" w:eastAsia="Times New Roman" w:hAnsi="Times New Roman"/>
          <w:sz w:val="18"/>
          <w:szCs w:val="18"/>
          <w:color w:val="auto"/>
        </w:rPr>
        <w:t>From time to time, we may become a party to certain legal proceedings incidental to the normal course of our business. As of December 31, 2023, management is not aware of any material pending or threatened litigation that would require accounting recognition or financial statement disclosure.</w:t>
      </w:r>
    </w:p>
    <w:p>
      <w:pPr>
        <w:spacing w:after="0" w:line="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32"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119" w:lineRule="exact"/>
        <w:rPr>
          <w:sz w:val="20"/>
          <w:szCs w:val="20"/>
          <w:color w:val="auto"/>
        </w:rPr>
      </w:pPr>
    </w:p>
    <w:p>
      <w:pPr>
        <w:ind w:right="60" w:firstLine="255"/>
        <w:spacing w:after="0" w:line="255" w:lineRule="auto"/>
        <w:rPr>
          <w:sz w:val="20"/>
          <w:szCs w:val="20"/>
          <w:color w:val="auto"/>
        </w:rPr>
      </w:pPr>
      <w:r>
        <w:rPr>
          <w:rFonts w:ascii="Times New Roman" w:cs="Times New Roman" w:eastAsia="Times New Roman" w:hAnsi="Times New Roman"/>
          <w:sz w:val="18"/>
          <w:szCs w:val="18"/>
          <w:color w:val="auto"/>
        </w:rPr>
        <w:t>We compete for investments with a number of capital providers, including BDCs, other investment funds (including private debt and equity funds and venture capital funds), special purpose acquisition company sponsors, investment banks with underwriting activities, hedge funds that invest in private investments in public equities, traditional financial services companies such as commercial banks, and other sources of financing, including the broadly syndicated loan market and high yield capital market. Many of these capital providers have greater financial and managerial resources than we do. In addition, many of our competitors are not subject to the regulatory restrictions that the 1940 Act imposes on us as a BDC. For additional information concerning the competitive risks we expect to face, see “</w:t>
      </w:r>
      <w:r>
        <w:rPr>
          <w:rFonts w:ascii="Times New Roman" w:cs="Times New Roman" w:eastAsia="Times New Roman" w:hAnsi="Times New Roman"/>
          <w:sz w:val="18"/>
          <w:szCs w:val="18"/>
          <w:i w:val="1"/>
          <w:iCs w:val="1"/>
          <w:color w:val="auto"/>
        </w:rPr>
        <w:t>ITEM 1A. RISK FACTORS—Risks Related to Our Business and Structure—We operate in a highly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competitive market for investment opportunities.</w:t>
      </w:r>
      <w:r>
        <w:rPr>
          <w:rFonts w:ascii="Times New Roman" w:cs="Times New Roman" w:eastAsia="Times New Roman" w:hAnsi="Times New Roman"/>
          <w:sz w:val="18"/>
          <w:szCs w:val="18"/>
          <w:color w:val="auto"/>
        </w:rPr>
        <w: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Resources and Borrowings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anticipate generating cash in the future from cash flows from operations, including interest received on our cash and cash equivalents,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securities and other high-quality debt investments that mature in one year or less, and through issuances of Common Shares.</w:t>
      </w:r>
    </w:p>
    <w:p>
      <w:pPr>
        <w:spacing w:after="0" w:line="207" w:lineRule="exact"/>
        <w:rPr>
          <w:sz w:val="20"/>
          <w:szCs w:val="20"/>
          <w:color w:val="auto"/>
        </w:rPr>
      </w:pPr>
    </w:p>
    <w:p>
      <w:pPr>
        <w:jc w:val="both"/>
        <w:ind w:right="400" w:firstLine="255"/>
        <w:spacing w:after="0" w:line="266" w:lineRule="auto"/>
        <w:rPr>
          <w:sz w:val="20"/>
          <w:szCs w:val="20"/>
          <w:color w:val="auto"/>
        </w:rPr>
      </w:pPr>
      <w:r>
        <w:rPr>
          <w:rFonts w:ascii="Times New Roman" w:cs="Times New Roman" w:eastAsia="Times New Roman" w:hAnsi="Times New Roman"/>
          <w:sz w:val="18"/>
          <w:szCs w:val="18"/>
          <w:color w:val="auto"/>
        </w:rPr>
        <w:t>Additionally, we are permitted, under specified conditions, to issue multiple classes of indebtedness and one class of shares senior to our Common Shares if our asset coverage, as defined in the 1940 Act, is at least equal to 150% immediately after each such issuance. As of December 31, 2023 and 2022, our asset coverage was 245.6% and 201.6%, respectively. See “</w:t>
      </w:r>
      <w:r>
        <w:rPr>
          <w:rFonts w:ascii="Times New Roman" w:cs="Times New Roman" w:eastAsia="Times New Roman" w:hAnsi="Times New Roman"/>
          <w:sz w:val="18"/>
          <w:szCs w:val="18"/>
          <w:i w:val="1"/>
          <w:iCs w:val="1"/>
          <w:color w:val="auto"/>
        </w:rPr>
        <w:t>Regulation as a Business Development Company—Senior Securities</w:t>
      </w:r>
      <w:r>
        <w:rPr>
          <w:rFonts w:ascii="Times New Roman" w:cs="Times New Roman" w:eastAsia="Times New Roman" w:hAnsi="Times New Roman"/>
          <w:sz w:val="18"/>
          <w:szCs w:val="18"/>
          <w:color w:val="auto"/>
        </w:rPr>
        <w:t>” below.</w:t>
      </w:r>
    </w:p>
    <w:p>
      <w:pPr>
        <w:spacing w:after="0" w:line="176"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Furthermore, while any indebtedness and senior securities remain outstanding, we must make provisions to prohibit any distribution to our shareholders (which may cause us to fail to distribute amounts necessary to avoid entity-level taxation under the Code), or the repurchase of such securities or shares unless we meet the applicable asset coverage ratios at the time of the distribution or repurchase. In addition, we must also comply with positive and negative covenants customary for these types of facilities.</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debt obligations consisted of the following as of December 31, 2023 and 2022:</w:t>
      </w:r>
    </w:p>
    <w:p>
      <w:pPr>
        <w:spacing w:after="0" w:line="200" w:lineRule="exact"/>
        <w:rPr>
          <w:sz w:val="20"/>
          <w:szCs w:val="20"/>
          <w:color w:val="auto"/>
        </w:rPr>
      </w:pPr>
    </w:p>
    <w:p>
      <w:pPr>
        <w:spacing w:after="0" w:line="248" w:lineRule="exact"/>
        <w:rPr>
          <w:sz w:val="20"/>
          <w:szCs w:val="20"/>
          <w:color w:val="auto"/>
        </w:rPr>
      </w:pPr>
    </w:p>
    <w:tbl>
      <w:tblPr>
        <w:tblLayout w:type="fixed"/>
        <w:tblInd w:w="1020" w:type="dxa"/>
        <w:tblCellMar>
          <w:top w:w="0" w:type="dxa"/>
          <w:left w:w="0" w:type="dxa"/>
          <w:bottom w:w="0" w:type="dxa"/>
          <w:right w:w="0" w:type="dxa"/>
        </w:tblCellMar>
      </w:tblPr>
      <w:tr>
        <w:trPr>
          <w:trHeight w:val="187"/>
        </w:trPr>
        <w:tc>
          <w:tcPr>
            <w:tcW w:w="3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81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39"/>
        </w:trPr>
        <w:tc>
          <w:tcPr>
            <w:tcW w:w="3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right"/>
              <w:ind w:right="117"/>
              <w:spacing w:after="0" w:line="139" w:lineRule="exact"/>
              <w:rPr>
                <w:sz w:val="20"/>
                <w:szCs w:val="20"/>
                <w:color w:val="auto"/>
              </w:rPr>
            </w:pPr>
            <w:r>
              <w:rPr>
                <w:rFonts w:ascii="Times New Roman" w:cs="Times New Roman" w:eastAsia="Times New Roman" w:hAnsi="Times New Roman"/>
                <w:sz w:val="14"/>
                <w:szCs w:val="14"/>
                <w:b w:val="1"/>
                <w:bCs w:val="1"/>
                <w:color w:val="auto"/>
              </w:rPr>
              <w:t>Aggregate Principal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119"/>
              <w:spacing w:after="0" w:line="13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237"/>
              <w:spacing w:after="0" w:line="13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ind w:right="237"/>
              <w:spacing w:after="0" w:line="13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80" w:type="dxa"/>
            <w:vAlign w:val="bottom"/>
          </w:tcPr>
          <w:p>
            <w:pPr>
              <w:spacing w:after="0"/>
              <w:rPr>
                <w:sz w:val="12"/>
                <w:szCs w:val="12"/>
                <w:color w:val="auto"/>
              </w:rPr>
            </w:pPr>
          </w:p>
        </w:tc>
      </w:tr>
      <w:tr>
        <w:trPr>
          <w:trHeight w:val="206"/>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Amount Committed</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37"/>
              <w:spacing w:after="0" w:line="206" w:lineRule="exact"/>
              <w:rPr>
                <w:sz w:val="20"/>
                <w:szCs w:val="20"/>
                <w:color w:val="auto"/>
              </w:rPr>
            </w:pPr>
            <w:r>
              <w:rPr>
                <w:rFonts w:ascii="Times New Roman" w:cs="Times New Roman" w:eastAsia="Times New Roman" w:hAnsi="Times New Roman"/>
                <w:sz w:val="14"/>
                <w:szCs w:val="14"/>
                <w:b w:val="1"/>
                <w:bCs w:val="1"/>
                <w:color w:val="auto"/>
              </w:rPr>
              <w:t xml:space="preserve">Available </w:t>
            </w:r>
            <w:r>
              <w:rPr>
                <w:rFonts w:ascii="Times New Roman" w:cs="Times New Roman" w:eastAsia="Times New Roman" w:hAnsi="Times New Roman"/>
                <w:sz w:val="19"/>
                <w:szCs w:val="19"/>
                <w:b w:val="1"/>
                <w:bCs w:val="1"/>
                <w:color w:val="auto"/>
                <w:vertAlign w:val="superscript"/>
              </w:rPr>
              <w:t>(1)</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57"/>
              <w:spacing w:after="0" w:line="206" w:lineRule="exact"/>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19"/>
                <w:szCs w:val="19"/>
                <w:b w:val="1"/>
                <w:bCs w:val="1"/>
                <w:color w:val="auto"/>
                <w:vertAlign w:val="superscript"/>
              </w:rPr>
              <w:t>(2)</w:t>
            </w:r>
          </w:p>
        </w:tc>
        <w:tc>
          <w:tcPr>
            <w:tcW w:w="80" w:type="dxa"/>
            <w:vAlign w:val="bottom"/>
          </w:tcPr>
          <w:p>
            <w:pPr>
              <w:spacing w:after="0"/>
              <w:rPr>
                <w:sz w:val="17"/>
                <w:szCs w:val="17"/>
                <w:color w:val="auto"/>
              </w:rPr>
            </w:pPr>
          </w:p>
        </w:tc>
      </w:tr>
      <w:tr>
        <w:trPr>
          <w:trHeight w:val="237"/>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Subscription Facility</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4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1,051.0</w:t>
            </w:r>
          </w:p>
        </w:tc>
        <w:tc>
          <w:tcPr>
            <w:tcW w:w="80" w:type="dxa"/>
            <w:vAlign w:val="bottom"/>
            <w:shd w:val="clear" w:color="auto" w:fill="CFF0FC"/>
          </w:tcPr>
          <w:p>
            <w:pPr>
              <w:spacing w:after="0"/>
              <w:rPr>
                <w:sz w:val="20"/>
                <w:szCs w:val="20"/>
                <w:color w:val="auto"/>
              </w:rPr>
            </w:pPr>
          </w:p>
        </w:tc>
      </w:tr>
      <w:tr>
        <w:trPr>
          <w:trHeight w:val="23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80" w:type="dxa"/>
            <w:vAlign w:val="bottom"/>
          </w:tcPr>
          <w:p>
            <w:pPr>
              <w:spacing w:after="0"/>
              <w:rPr>
                <w:sz w:val="20"/>
                <w:szCs w:val="20"/>
                <w:color w:val="auto"/>
              </w:rPr>
            </w:pPr>
          </w:p>
        </w:tc>
      </w:tr>
      <w:tr>
        <w:trPr>
          <w:trHeight w:val="278"/>
        </w:trPr>
        <w:tc>
          <w:tcPr>
            <w:tcW w:w="33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2,225.0</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1,248.0</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971.5</w:t>
            </w:r>
          </w:p>
        </w:tc>
        <w:tc>
          <w:tcPr>
            <w:tcW w:w="1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1,239.9</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-25400</wp:posOffset>
            </wp:positionV>
            <wp:extent cx="603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-8255</wp:posOffset>
            </wp:positionV>
            <wp:extent cx="603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-25400</wp:posOffset>
            </wp:positionV>
            <wp:extent cx="603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-8255</wp:posOffset>
            </wp:positionV>
            <wp:extent cx="603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-25400</wp:posOffset>
            </wp:positionV>
            <wp:extent cx="514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-8255</wp:posOffset>
            </wp:positionV>
            <wp:extent cx="514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-25400</wp:posOffset>
            </wp:positionV>
            <wp:extent cx="514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-8255</wp:posOffset>
            </wp:positionV>
            <wp:extent cx="514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70" w:lineRule="exact"/>
        <w:rPr>
          <w:sz w:val="20"/>
          <w:szCs w:val="20"/>
          <w:color w:val="auto"/>
        </w:rPr>
      </w:pPr>
    </w:p>
    <w:p>
      <w:pPr>
        <w:ind w:left="52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may be subject to limitations related to the borrowing base under the Subscription Facility, Revolving Credit Facility and asset coverage requirements.</w:t>
      </w:r>
    </w:p>
    <w:p>
      <w:pPr>
        <w:spacing w:after="0" w:line="53"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Subscription Facility and Revolving Credit Facility are presented net of deferred financing costs of $3.7 million and $4.5 million, respectively.</w:t>
      </w:r>
    </w:p>
    <w:p>
      <w:pPr>
        <w:spacing w:after="0" w:line="277" w:lineRule="exact"/>
        <w:rPr>
          <w:sz w:val="20"/>
          <w:szCs w:val="20"/>
          <w:color w:val="auto"/>
        </w:rPr>
      </w:pPr>
    </w:p>
    <w:tbl>
      <w:tblPr>
        <w:tblLayout w:type="fixed"/>
        <w:tblInd w:w="960" w:type="dxa"/>
        <w:tblCellMar>
          <w:top w:w="0" w:type="dxa"/>
          <w:left w:w="0" w:type="dxa"/>
          <w:bottom w:w="0" w:type="dxa"/>
          <w:right w:w="0" w:type="dxa"/>
        </w:tblCellMar>
      </w:tblPr>
      <w:tr>
        <w:trPr>
          <w:trHeight w:val="187"/>
        </w:trPr>
        <w:tc>
          <w:tcPr>
            <w:tcW w:w="3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39"/>
        </w:trPr>
        <w:tc>
          <w:tcPr>
            <w:tcW w:w="3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right"/>
              <w:ind w:right="39"/>
              <w:spacing w:after="0" w:line="139" w:lineRule="exact"/>
              <w:rPr>
                <w:sz w:val="20"/>
                <w:szCs w:val="20"/>
                <w:color w:val="auto"/>
              </w:rPr>
            </w:pPr>
            <w:r>
              <w:rPr>
                <w:rFonts w:ascii="Times New Roman" w:cs="Times New Roman" w:eastAsia="Times New Roman" w:hAnsi="Times New Roman"/>
                <w:sz w:val="14"/>
                <w:szCs w:val="14"/>
                <w:b w:val="1"/>
                <w:bCs w:val="1"/>
                <w:color w:val="auto"/>
              </w:rPr>
              <w:t>Aggregate Principal</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right"/>
              <w:ind w:right="181"/>
              <w:spacing w:after="0" w:line="13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jc w:val="right"/>
              <w:ind w:right="299"/>
              <w:spacing w:after="0" w:line="13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ind w:right="159"/>
              <w:spacing w:after="0" w:line="13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80" w:type="dxa"/>
            <w:vAlign w:val="bottom"/>
          </w:tcPr>
          <w:p>
            <w:pPr>
              <w:spacing w:after="0"/>
              <w:rPr>
                <w:sz w:val="12"/>
                <w:szCs w:val="12"/>
                <w:color w:val="auto"/>
              </w:rPr>
            </w:pPr>
          </w:p>
        </w:tc>
      </w:tr>
      <w:tr>
        <w:trPr>
          <w:trHeight w:val="206"/>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Amount Committed</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9"/>
              <w:spacing w:after="0" w:line="206" w:lineRule="exact"/>
              <w:rPr>
                <w:sz w:val="20"/>
                <w:szCs w:val="20"/>
                <w:color w:val="auto"/>
              </w:rPr>
            </w:pPr>
            <w:r>
              <w:rPr>
                <w:rFonts w:ascii="Times New Roman" w:cs="Times New Roman" w:eastAsia="Times New Roman" w:hAnsi="Times New Roman"/>
                <w:sz w:val="14"/>
                <w:szCs w:val="14"/>
                <w:b w:val="1"/>
                <w:bCs w:val="1"/>
                <w:color w:val="auto"/>
                <w:w w:val="95"/>
              </w:rPr>
              <w:t xml:space="preserve">Available </w:t>
            </w:r>
            <w:r>
              <w:rPr>
                <w:rFonts w:ascii="Times New Roman" w:cs="Times New Roman" w:eastAsia="Times New Roman" w:hAnsi="Times New Roman"/>
                <w:sz w:val="19"/>
                <w:szCs w:val="19"/>
                <w:b w:val="1"/>
                <w:bCs w:val="1"/>
                <w:color w:val="auto"/>
                <w:w w:val="95"/>
                <w:vertAlign w:val="superscript"/>
              </w:rPr>
              <w:t>(1)</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9"/>
              <w:spacing w:after="0" w:line="206" w:lineRule="exact"/>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19"/>
                <w:szCs w:val="19"/>
                <w:b w:val="1"/>
                <w:bCs w:val="1"/>
                <w:color w:val="auto"/>
                <w:vertAlign w:val="superscript"/>
              </w:rPr>
              <w:t>(2)</w:t>
            </w:r>
          </w:p>
        </w:tc>
        <w:tc>
          <w:tcPr>
            <w:tcW w:w="80" w:type="dxa"/>
            <w:vAlign w:val="bottom"/>
          </w:tcPr>
          <w:p>
            <w:pPr>
              <w:spacing w:after="0"/>
              <w:rPr>
                <w:sz w:val="17"/>
                <w:szCs w:val="17"/>
                <w:color w:val="auto"/>
              </w:rPr>
            </w:pPr>
          </w:p>
        </w:tc>
      </w:tr>
      <w:tr>
        <w:trPr>
          <w:trHeight w:val="236"/>
        </w:trPr>
        <w:tc>
          <w:tcPr>
            <w:tcW w:w="3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Subscription Facility</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538.0</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37"/>
        </w:trPr>
        <w:tc>
          <w:tcPr>
            <w:tcW w:w="34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538.0</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80" w:type="dxa"/>
            <w:vAlign w:val="bottom"/>
          </w:tcPr>
          <w:p>
            <w:pPr>
              <w:spacing w:after="0"/>
              <w:rPr>
                <w:sz w:val="20"/>
                <w:szCs w:val="20"/>
                <w:color w:val="auto"/>
              </w:rPr>
            </w:pPr>
          </w:p>
        </w:tc>
      </w:tr>
      <w:tr>
        <w:trPr>
          <w:trHeight w:val="20"/>
        </w:trPr>
        <w:tc>
          <w:tcPr>
            <w:tcW w:w="3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-187960</wp:posOffset>
            </wp:positionV>
            <wp:extent cx="603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-187960</wp:posOffset>
            </wp:positionV>
            <wp:extent cx="603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-187960</wp:posOffset>
            </wp:positionV>
            <wp:extent cx="514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-187960</wp:posOffset>
            </wp:positionV>
            <wp:extent cx="514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86" w:lineRule="exact"/>
        <w:rPr>
          <w:sz w:val="20"/>
          <w:szCs w:val="20"/>
          <w:color w:val="auto"/>
        </w:rPr>
      </w:pPr>
    </w:p>
    <w:p>
      <w:pPr>
        <w:ind w:left="520" w:right="52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may be subject to limitations related to the borrowing base under the Subscription Facility (as defined below) and asset coverage requirements.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 of the Subscription Facility is presented net of deferred financing costs of $3.9 million.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7" w:right="359" w:bottom="1440" w:gutter="0" w:footer="0" w:header="0"/>
        </w:sectPr>
      </w:pPr>
    </w:p>
    <w:bookmarkStart w:id="12" w:name="page13"/>
    <w:bookmarkEnd w:id="12"/>
    <w:p>
      <w:pPr>
        <w:ind w:right="520" w:firstLine="255"/>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and for the period from April 5, 2022 (Inception) through December 31, 2022, the components of interest expense were as follows:</w:t>
      </w:r>
    </w:p>
    <w:p>
      <w:pPr>
        <w:spacing w:after="0" w:line="372"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80" w:type="dxa"/>
            <w:vAlign w:val="bottom"/>
            <w:gridSpan w:val="2"/>
            <w:vMerge w:val="restart"/>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3"/>
                <w:szCs w:val="13"/>
                <w:color w:val="auto"/>
              </w:rPr>
            </w:pPr>
          </w:p>
        </w:tc>
        <w:tc>
          <w:tcPr>
            <w:tcW w:w="19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From April 5, 2022</w:t>
            </w:r>
          </w:p>
        </w:tc>
        <w:tc>
          <w:tcPr>
            <w:tcW w:w="0" w:type="dxa"/>
            <w:vAlign w:val="bottom"/>
          </w:tcPr>
          <w:p>
            <w:pPr>
              <w:spacing w:after="0"/>
              <w:rPr>
                <w:sz w:val="1"/>
                <w:szCs w:val="1"/>
                <w:color w:val="auto"/>
              </w:rPr>
            </w:pPr>
          </w:p>
        </w:tc>
      </w:tr>
      <w:tr>
        <w:trPr>
          <w:trHeight w:val="176"/>
        </w:trPr>
        <w:tc>
          <w:tcPr>
            <w:tcW w:w="4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(Inception) through</w:t>
            </w:r>
          </w:p>
        </w:tc>
        <w:tc>
          <w:tcPr>
            <w:tcW w:w="0" w:type="dxa"/>
            <w:vAlign w:val="bottom"/>
          </w:tcPr>
          <w:p>
            <w:pPr>
              <w:spacing w:after="0"/>
              <w:rPr>
                <w:sz w:val="1"/>
                <w:szCs w:val="1"/>
                <w:color w:val="auto"/>
              </w:rPr>
            </w:pPr>
          </w:p>
        </w:tc>
      </w:tr>
      <w:tr>
        <w:trPr>
          <w:trHeight w:val="187"/>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220" w:type="dxa"/>
            <w:vAlign w:val="bottom"/>
          </w:tcPr>
          <w:p>
            <w:pPr>
              <w:spacing w:after="0"/>
              <w:rPr>
                <w:sz w:val="16"/>
                <w:szCs w:val="16"/>
                <w:color w:val="auto"/>
              </w:rPr>
            </w:pPr>
          </w:p>
        </w:tc>
        <w:tc>
          <w:tcPr>
            <w:tcW w:w="19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16"/>
                <w:szCs w:val="16"/>
                <w:color w:val="auto"/>
              </w:rPr>
            </w:pPr>
          </w:p>
        </w:tc>
        <w:tc>
          <w:tcPr>
            <w:tcW w:w="19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6"/>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3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 fees</w:t>
            </w: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2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3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0" w:type="dxa"/>
            <w:vAlign w:val="bottom"/>
            <w:shd w:val="clear" w:color="auto" w:fill="CFF0FC"/>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Average debt outstanding </w:t>
            </w:r>
            <w:r>
              <w:rPr>
                <w:rFonts w:ascii="Times New Roman" w:cs="Times New Roman" w:eastAsia="Times New Roman" w:hAnsi="Times New Roman"/>
                <w:sz w:val="24"/>
                <w:szCs w:val="24"/>
                <w:color w:val="auto"/>
                <w:vertAlign w:val="superscript"/>
              </w:rPr>
              <w:t>(1)</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17"/>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interest rate </w:t>
            </w:r>
            <w:r>
              <w:rPr>
                <w:rFonts w:ascii="Times New Roman" w:cs="Times New Roman" w:eastAsia="Times New Roman" w:hAnsi="Times New Roman"/>
                <w:sz w:val="24"/>
                <w:szCs w:val="24"/>
                <w:color w:val="auto"/>
                <w:vertAlign w:val="superscript"/>
              </w:rPr>
              <w:t>(1)</w:t>
            </w:r>
          </w:p>
        </w:tc>
        <w:tc>
          <w:tcPr>
            <w:tcW w:w="220" w:type="dxa"/>
            <w:vAlign w:val="bottom"/>
          </w:tcPr>
          <w:p>
            <w:pPr>
              <w:spacing w:after="0"/>
              <w:rPr>
                <w:sz w:val="24"/>
                <w:szCs w:val="24"/>
                <w:color w:val="auto"/>
              </w:rPr>
            </w:pPr>
          </w:p>
        </w:tc>
        <w:tc>
          <w:tcPr>
            <w:tcW w:w="1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7.3 %</w:t>
            </w:r>
          </w:p>
        </w:tc>
        <w:tc>
          <w:tcPr>
            <w:tcW w:w="220" w:type="dxa"/>
            <w:vAlign w:val="bottom"/>
          </w:tcPr>
          <w:p>
            <w:pPr>
              <w:spacing w:after="0"/>
              <w:rPr>
                <w:sz w:val="24"/>
                <w:szCs w:val="24"/>
                <w:color w:val="auto"/>
              </w:rPr>
            </w:pPr>
          </w:p>
        </w:tc>
        <w:tc>
          <w:tcPr>
            <w:tcW w:w="1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-543560</wp:posOffset>
            </wp:positionV>
            <wp:extent cx="603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-543560</wp:posOffset>
            </wp:positionV>
            <wp:extent cx="514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04" w:lineRule="exact"/>
        <w:rPr>
          <w:sz w:val="20"/>
          <w:szCs w:val="20"/>
          <w:color w:val="auto"/>
        </w:rPr>
      </w:pPr>
    </w:p>
    <w:p>
      <w:pPr>
        <w:ind w:left="520" w:right="20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April 5, 2022 (Inception) through December 31, 2022, the average debt outstanding and weighted average interest rate were computed from the initial drawdown on the Subscription Facility, September 1, 2022.</w:t>
      </w:r>
    </w:p>
    <w:p>
      <w:pPr>
        <w:spacing w:after="0" w:line="160" w:lineRule="exact"/>
        <w:rPr>
          <w:sz w:val="20"/>
          <w:szCs w:val="20"/>
          <w:color w:val="auto"/>
        </w:rPr>
      </w:pPr>
    </w:p>
    <w:p>
      <w:pPr>
        <w:ind w:right="80" w:firstLine="255"/>
        <w:spacing w:after="0" w:line="284" w:lineRule="auto"/>
        <w:rPr>
          <w:sz w:val="20"/>
          <w:szCs w:val="20"/>
          <w:color w:val="auto"/>
        </w:rPr>
      </w:pPr>
      <w:r>
        <w:rPr>
          <w:rFonts w:ascii="Times New Roman" w:cs="Times New Roman" w:eastAsia="Times New Roman" w:hAnsi="Times New Roman"/>
          <w:sz w:val="18"/>
          <w:szCs w:val="18"/>
          <w:color w:val="auto"/>
        </w:rPr>
        <w:t>For more information on our debt, see “</w:t>
      </w:r>
      <w:r>
        <w:rPr>
          <w:rFonts w:ascii="Times New Roman" w:cs="Times New Roman" w:eastAsia="Times New Roman" w:hAnsi="Times New Roman"/>
          <w:sz w:val="18"/>
          <w:szCs w:val="18"/>
          <w:i w:val="1"/>
          <w:iCs w:val="1"/>
          <w:color w:val="auto"/>
        </w:rPr>
        <w:t>ITEM 7. 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OPERATIONS——Financial Condition, Liquidity and Capital Resources.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Policy</w:t>
      </w:r>
    </w:p>
    <w:p>
      <w:pPr>
        <w:spacing w:after="0" w:line="119" w:lineRule="exact"/>
        <w:rPr>
          <w:sz w:val="20"/>
          <w:szCs w:val="20"/>
          <w:color w:val="auto"/>
        </w:rPr>
      </w:pPr>
    </w:p>
    <w:p>
      <w:pPr>
        <w:ind w:right="60" w:firstLine="300"/>
        <w:spacing w:after="0" w:line="256" w:lineRule="auto"/>
        <w:rPr>
          <w:sz w:val="20"/>
          <w:szCs w:val="20"/>
          <w:color w:val="auto"/>
        </w:rPr>
      </w:pPr>
      <w:r>
        <w:rPr>
          <w:rFonts w:ascii="Times New Roman" w:cs="Times New Roman" w:eastAsia="Times New Roman" w:hAnsi="Times New Roman"/>
          <w:sz w:val="18"/>
          <w:szCs w:val="18"/>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shareholders. In addition, to avoid the imposition of a nondeductible 4% U.S. federal excise tax, we must distribute (or be treated as distributing) in each calendar year an amount at least equal to the sum of:</w:t>
      </w:r>
    </w:p>
    <w:p>
      <w:pPr>
        <w:spacing w:after="0" w:line="79" w:lineRule="exact"/>
        <w:rPr>
          <w:sz w:val="20"/>
          <w:szCs w:val="20"/>
          <w:color w:val="auto"/>
        </w:rPr>
      </w:pPr>
    </w:p>
    <w:p>
      <w:pPr>
        <w:ind w:left="520" w:hanging="257"/>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and losses, recognized during a calendar year;</w:t>
      </w:r>
    </w:p>
    <w:p>
      <w:pPr>
        <w:spacing w:after="0" w:line="117" w:lineRule="exact"/>
        <w:rPr>
          <w:rFonts w:ascii="Times New Roman" w:cs="Times New Roman" w:eastAsia="Times New Roman" w:hAnsi="Times New Roman"/>
          <w:sz w:val="18"/>
          <w:szCs w:val="18"/>
          <w:color w:val="auto"/>
        </w:rPr>
      </w:pPr>
    </w:p>
    <w:p>
      <w:pPr>
        <w:ind w:left="520" w:right="140" w:hanging="257"/>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such calendar year; and</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any income or gains recognized, but not distributed, in preceding years.</w:t>
      </w:r>
    </w:p>
    <w:p>
      <w:pPr>
        <w:spacing w:after="0" w:line="225"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excise tax entirely. In that event, we will be liable for the excise tax only on the amount by which we do not meet the foregoing distribution requirement. See “ITEM 1A. RISK FACTORS— Risks Related to Our Business and Structure—We will be subject to corporate-level income tax if we are unable to maintain our qualification as a RIC under Subchapter M of the Code.”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Reinvestment Plan</w:t>
      </w:r>
    </w:p>
    <w:p>
      <w:pPr>
        <w:spacing w:after="0" w:line="119"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We have adopted an “opt out” dividend reinvestment plan for our common shareholders. As a result, if we declare a cash dividend or other distribution, each shareholder that has not “opted out” of our dividend reinvestment plan will have their dividends or distributions automatically reinvested in additional shares of our Common Shares rather than receiving cash dividends. Shareholders who receive distributions in the form of Common Shares will be subject to the same U.S. federal, state and local tax consequences as if they received cash distributions.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19"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Each of our executive officers is an employee of our Adviser or its affiliates. We do not currently have any employees and do not expect to have any employees. Individuals who are employees of our Adviser or its affiliates provide services necessary for our business under the terms of the Investment Advisory Agreement and the Administration Agreement. Our day-to-day investment operations are managed by our Adviser and the services necessary for the origination and administration of our investment portfolio are provided by investment professionals employed by our Adviser or its affiliates. Our Investment Team focuses on origination and</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3" w:name="page14"/>
    <w:bookmarkEnd w:id="13"/>
    <w:p>
      <w:pPr>
        <w:ind w:right="260"/>
        <w:spacing w:after="0" w:line="261" w:lineRule="auto"/>
        <w:rPr>
          <w:sz w:val="20"/>
          <w:szCs w:val="20"/>
          <w:color w:val="auto"/>
        </w:rPr>
      </w:pPr>
      <w:r>
        <w:rPr>
          <w:rFonts w:ascii="Times New Roman" w:cs="Times New Roman" w:eastAsia="Times New Roman" w:hAnsi="Times New Roman"/>
          <w:sz w:val="18"/>
          <w:szCs w:val="18"/>
          <w:color w:val="auto"/>
        </w:rPr>
        <w:t>transaction development and the ongoing monitoring of our investments. In addition, we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 See “</w:t>
      </w:r>
      <w:r>
        <w:rPr>
          <w:rFonts w:ascii="Times New Roman" w:cs="Times New Roman" w:eastAsia="Times New Roman" w:hAnsi="Times New Roman"/>
          <w:sz w:val="18"/>
          <w:szCs w:val="18"/>
          <w:i w:val="1"/>
          <w:iCs w:val="1"/>
          <w:color w:val="auto"/>
        </w:rPr>
        <w:t>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Advisory Agreement; Administration Agreement; License Agreement</w:t>
      </w:r>
      <w:r>
        <w:rPr>
          <w:rFonts w:ascii="Times New Roman" w:cs="Times New Roman" w:eastAsia="Times New Roman" w:hAnsi="Times New Roman"/>
          <w:sz w:val="18"/>
          <w:szCs w:val="18"/>
          <w:color w:val="auto"/>
        </w:rPr>
        <w:t>” below.</w:t>
      </w:r>
    </w:p>
    <w:p>
      <w:pPr>
        <w:spacing w:after="0" w:line="72"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In addition to our Adviser, Sixth Street has a team of over 580 investment and operating professionals. As of December 31, 2023, seventy (70) of these personnel are dedicated to direct lending, including fifty-five (55) investment professionals.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Advisory Agreement; Administration Agreement; License Agreement</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On June 28, 2022, we entered into the Investment Advisory Agreement with our Adviser.</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Under the Investment Advisory Agreement, the Adviser:</w:t>
      </w:r>
    </w:p>
    <w:p>
      <w:pPr>
        <w:spacing w:after="0" w:line="117" w:lineRule="exact"/>
        <w:rPr>
          <w:sz w:val="20"/>
          <w:szCs w:val="20"/>
          <w:color w:val="auto"/>
        </w:rPr>
      </w:pPr>
    </w:p>
    <w:p>
      <w:pPr>
        <w:ind w:left="520" w:hanging="257"/>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composition of our portfolio, the nature and timing of the changes to our portfolio and the manner of implementing those changes;</w:t>
      </w:r>
    </w:p>
    <w:p>
      <w:pPr>
        <w:spacing w:after="0" w:line="117" w:lineRule="exact"/>
        <w:rPr>
          <w:rFonts w:ascii="Times New Roman" w:cs="Times New Roman" w:eastAsia="Times New Roman" w:hAnsi="Times New Roman"/>
          <w:sz w:val="18"/>
          <w:szCs w:val="18"/>
          <w:color w:val="auto"/>
        </w:rPr>
      </w:pPr>
    </w:p>
    <w:p>
      <w:pPr>
        <w:ind w:left="520" w:right="520" w:hanging="257"/>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evaluates and negotiates the structure of the investments we make (including performing due diligence on our prospective portfolio companies);</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assets we will originate, purchase, retain or sell;</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closes, monitors and administers the investments we make, including the exercise of any rights in our capacity as a lender or equity holder; and</w:t>
      </w:r>
    </w:p>
    <w:p>
      <w:pPr>
        <w:spacing w:after="0" w:line="117" w:lineRule="exact"/>
        <w:rPr>
          <w:rFonts w:ascii="Times New Roman" w:cs="Times New Roman" w:eastAsia="Times New Roman" w:hAnsi="Times New Roman"/>
          <w:sz w:val="18"/>
          <w:szCs w:val="18"/>
          <w:color w:val="auto"/>
        </w:rPr>
      </w:pPr>
    </w:p>
    <w:p>
      <w:pPr>
        <w:ind w:left="520" w:right="440" w:hanging="257"/>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62" w:lineRule="exact"/>
        <w:rPr>
          <w:sz w:val="20"/>
          <w:szCs w:val="20"/>
          <w:color w:val="auto"/>
        </w:rPr>
      </w:pPr>
    </w:p>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The Adviser’s services under the Investment Advisory Agreement are not exclusive, and the Adviser is free to furnish similar or other services to others so long as its services to us are not impaired.</w:t>
      </w:r>
    </w:p>
    <w:p>
      <w:pPr>
        <w:spacing w:after="0" w:line="162" w:lineRule="exact"/>
        <w:rPr>
          <w:sz w:val="20"/>
          <w:szCs w:val="20"/>
          <w:color w:val="auto"/>
        </w:rPr>
      </w:pPr>
    </w:p>
    <w:p>
      <w:pPr>
        <w:ind w:right="540" w:firstLine="255"/>
        <w:spacing w:after="0" w:line="282" w:lineRule="auto"/>
        <w:rPr>
          <w:sz w:val="20"/>
          <w:szCs w:val="20"/>
          <w:color w:val="auto"/>
        </w:rPr>
      </w:pPr>
      <w:r>
        <w:rPr>
          <w:rFonts w:ascii="Times New Roman" w:cs="Times New Roman" w:eastAsia="Times New Roman" w:hAnsi="Times New Roman"/>
          <w:sz w:val="18"/>
          <w:szCs w:val="18"/>
          <w:color w:val="auto"/>
        </w:rPr>
        <w:t>Under the terms of the Investment Advisory Agreement, we pay the Adviser a base management fee, (the “Management Fee,”) and may also pay certain incentive fees (the “Incentive Fees”).</w:t>
      </w:r>
    </w:p>
    <w:p>
      <w:pPr>
        <w:spacing w:after="0" w:line="162"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The Management Fee is calculated at an annual rate of 1.25% based on the average value of our gross assets calculated using the values at the end of the two most recently completed calendar quarters, adjusted for any share issuances or repurchases during the period. The Management Fee is payable quarterly in arrears.</w:t>
      </w:r>
    </w:p>
    <w:p>
      <w:pPr>
        <w:spacing w:after="0" w:line="176" w:lineRule="exact"/>
        <w:rPr>
          <w:sz w:val="20"/>
          <w:szCs w:val="20"/>
          <w:color w:val="auto"/>
        </w:rPr>
      </w:pPr>
    </w:p>
    <w:p>
      <w:pPr>
        <w:ind w:right="440" w:firstLine="255"/>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and for the period from April 5, 2022 (Inception) through December 31, 2022, Management Fees (gross of waivers) were $25.2 million and $2.7 million, respectively.</w:t>
      </w:r>
    </w:p>
    <w:p>
      <w:pPr>
        <w:spacing w:after="0" w:line="162" w:lineRule="exact"/>
        <w:rPr>
          <w:sz w:val="20"/>
          <w:szCs w:val="20"/>
          <w:color w:val="auto"/>
        </w:rPr>
      </w:pPr>
    </w:p>
    <w:p>
      <w:pPr>
        <w:ind w:right="220" w:firstLine="255"/>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and for the period from April 5, 2022 (Inception) through December 31, 2022 Management Fees of $16.7 and $2.0 million were waived, respectively.</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Any waived Management Fees are not subject to recoupment by the Adviser.</w:t>
      </w:r>
    </w:p>
    <w:p>
      <w:pPr>
        <w:spacing w:after="0" w:line="225" w:lineRule="exact"/>
        <w:rPr>
          <w:sz w:val="20"/>
          <w:szCs w:val="20"/>
          <w:color w:val="auto"/>
        </w:rPr>
      </w:pPr>
    </w:p>
    <w:p>
      <w:pPr>
        <w:ind w:right="200" w:firstLine="255"/>
        <w:spacing w:after="0" w:line="261" w:lineRule="auto"/>
        <w:rPr>
          <w:sz w:val="20"/>
          <w:szCs w:val="20"/>
          <w:color w:val="auto"/>
        </w:rPr>
      </w:pPr>
      <w:r>
        <w:rPr>
          <w:rFonts w:ascii="Times New Roman" w:cs="Times New Roman" w:eastAsia="Times New Roman" w:hAnsi="Times New Roman"/>
          <w:sz w:val="18"/>
          <w:szCs w:val="18"/>
          <w:color w:val="auto"/>
        </w:rPr>
        <w:t>Prior to any Exchange Listing (as defined below) that may occur, the Adviser will waive its right to receive Management Fees in excess of the sum of 1.00% of the Company’s average aggregate drawn capital (including capital drawn to pay Company expenses) as of the end of the two most recently completed calendar quarters, appropriately adjusted for any share issuances or repurchases during the relevant calendar quarter. The fee waiver will terminate if and when the Company consummates an Exchange Listing.</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Incentive Fee consists of two parts, as follows:</w:t>
      </w:r>
    </w:p>
    <w:p>
      <w:pPr>
        <w:spacing w:after="0" w:line="117" w:lineRule="exact"/>
        <w:rPr>
          <w:sz w:val="20"/>
          <w:szCs w:val="20"/>
          <w:color w:val="auto"/>
        </w:rPr>
      </w:pPr>
    </w:p>
    <w:p>
      <w:pPr>
        <w:ind w:left="520" w:right="100" w:hanging="257"/>
        <w:spacing w:after="0" w:line="266"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component, payable at the end of each quarter in arrears, equals 100% of the excess of pre-Incentive Fee net investment income in excess of a 1.5% quarterly hurdle rate, until the Adviser has received 12.5% (17.5% subsequent to an Exchange Listing) of total net investment income for that quarter, and 12.5% (17.5% subsequent to an Exchange Listing) of all remaining pre-Incentive Fee net investment income for that quarter.</w:t>
      </w:r>
    </w:p>
    <w:p>
      <w:pPr>
        <w:spacing w:after="0" w:line="68" w:lineRule="exact"/>
        <w:rPr>
          <w:sz w:val="20"/>
          <w:szCs w:val="20"/>
          <w:color w:val="auto"/>
        </w:rPr>
      </w:pPr>
    </w:p>
    <w:p>
      <w:pPr>
        <w:ind w:left="520" w:right="40"/>
        <w:spacing w:after="0" w:line="266" w:lineRule="auto"/>
        <w:rPr>
          <w:sz w:val="20"/>
          <w:szCs w:val="20"/>
          <w:color w:val="auto"/>
        </w:rPr>
      </w:pPr>
      <w:r>
        <w:rPr>
          <w:rFonts w:ascii="Times New Roman" w:cs="Times New Roman" w:eastAsia="Times New Roman" w:hAnsi="Times New Roman"/>
          <w:sz w:val="18"/>
          <w:szCs w:val="18"/>
          <w:color w:val="auto"/>
        </w:rPr>
        <w:t>Pre-Incentive Fee net investment income means dividends (including reinvested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jc w:val="both"/>
        <w:ind w:left="520" w:right="40"/>
        <w:spacing w:after="0" w:line="258" w:lineRule="auto"/>
        <w:rPr>
          <w:sz w:val="20"/>
          <w:szCs w:val="20"/>
          <w:color w:val="auto"/>
        </w:rPr>
      </w:pPr>
      <w:r>
        <w:rPr>
          <w:rFonts w:ascii="Times New Roman" w:cs="Times New Roman" w:eastAsia="Times New Roman" w:hAnsi="Times New Roman"/>
          <w:sz w:val="18"/>
          <w:szCs w:val="18"/>
          <w:color w:val="auto"/>
        </w:rPr>
        <w:t>on any issued and outstanding preferred shares, but excluding the Incentive Fee). Pre-Incentive Fee net investment income includes, in the case of investments with a deferred interest feature (such as original issue discount, debt instruments with pay-in-kind interest and zero coupon securities), accrued income that the Company has not yet received in cash. The Adviser will not be obligated to return cash to the Company if the Incentive Fee it receives on investments with deferred interest are later determined to be uncollectible. Pre-Incentive Fee net investment income does not include any realized capital gains, realized capital losses or unrealized capital appreciation or depreciation.</w:t>
      </w:r>
    </w:p>
    <w:p>
      <w:pPr>
        <w:spacing w:after="0" w:line="75" w:lineRule="exact"/>
        <w:rPr>
          <w:sz w:val="20"/>
          <w:szCs w:val="20"/>
          <w:color w:val="auto"/>
        </w:rPr>
      </w:pPr>
    </w:p>
    <w:p>
      <w:pPr>
        <w:ind w:left="520" w:right="120" w:hanging="257"/>
        <w:spacing w:after="0" w:line="253"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component, payable at the end of each fiscal year in arrears, prior to an Exchange Listing, equal 12.5% of cumulative realized capital gains from the inception of the Company to the end of such fiscal year, less the aggregate amount of any previously paid capital gain Incentive Fee for prior periods (the “Capital Gains Fee”). Following an Exchange Listing, the Capital Gains Fee will equal a weighted percentage of the Company’s realized capital gains, if any, on a cumulative basis as between the inception of the Company to an Exchange Listing and from such Exchange Listing to the end of such fiscal year. The weighted percentage is intended to ensure that for each fiscal year following an Exchange Listing, the portion of the Company’s realized capital gains that accrued prior to an Exchange Listing will be subject to an Incentive Fee rate of</w:t>
      </w:r>
    </w:p>
    <w:p>
      <w:pPr>
        <w:spacing w:after="0" w:line="5"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12.5% and the portion of the Company’s realized capital gains that accrued following an Exchange Listing will be subject to an Incentive Fee rate of</w:t>
      </w:r>
    </w:p>
    <w:p>
      <w:pPr>
        <w:spacing w:after="0" w:line="20"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w:t>
      </w:r>
    </w:p>
    <w:p>
      <w:pPr>
        <w:spacing w:after="0" w:line="207" w:lineRule="exact"/>
        <w:rPr>
          <w:sz w:val="20"/>
          <w:szCs w:val="20"/>
          <w:color w:val="auto"/>
        </w:rPr>
      </w:pPr>
    </w:p>
    <w:p>
      <w:pPr>
        <w:ind w:right="420" w:firstLine="255"/>
        <w:spacing w:after="0" w:line="282" w:lineRule="auto"/>
        <w:rPr>
          <w:sz w:val="20"/>
          <w:szCs w:val="20"/>
          <w:color w:val="auto"/>
        </w:rPr>
      </w:pPr>
      <w:r>
        <w:rPr>
          <w:rFonts w:ascii="Times New Roman" w:cs="Times New Roman" w:eastAsia="Times New Roman" w:hAnsi="Times New Roman"/>
          <w:sz w:val="18"/>
          <w:szCs w:val="18"/>
          <w:color w:val="auto"/>
        </w:rPr>
        <w:t>For purposes of determining whether pre-Incentive Fee net investment income exceeds the hurdle rate, pre-Incentive Fee net investment income is expressed as a rate of return on the value of our net assets at the end of the immediately preceding calendar quarter.</w:t>
      </w:r>
    </w:p>
    <w:p>
      <w:pPr>
        <w:spacing w:after="0" w:line="162" w:lineRule="exact"/>
        <w:rPr>
          <w:sz w:val="20"/>
          <w:szCs w:val="20"/>
          <w:color w:val="auto"/>
        </w:rPr>
      </w:pPr>
    </w:p>
    <w:p>
      <w:pPr>
        <w:ind w:right="100" w:firstLine="255"/>
        <w:spacing w:after="0" w:line="254" w:lineRule="auto"/>
        <w:rPr>
          <w:sz w:val="20"/>
          <w:szCs w:val="20"/>
          <w:color w:val="auto"/>
        </w:rPr>
      </w:pPr>
      <w:r>
        <w:rPr>
          <w:rFonts w:ascii="Times New Roman" w:cs="Times New Roman" w:eastAsia="Times New Roman" w:hAnsi="Times New Roman"/>
          <w:sz w:val="18"/>
          <w:szCs w:val="18"/>
          <w:color w:val="auto"/>
        </w:rPr>
        <w:t>Pre-Incentive Fee net investment income does not include any realized capital gains, realized capital losses or unrealized capital gains or losses.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92" w:lineRule="exact"/>
        <w:rPr>
          <w:sz w:val="20"/>
          <w:szCs w:val="20"/>
          <w:color w:val="auto"/>
        </w:rPr>
      </w:pPr>
    </w:p>
    <w:p>
      <w:pPr>
        <w:ind w:right="180" w:firstLine="255"/>
        <w:spacing w:after="0" w:line="282" w:lineRule="auto"/>
        <w:rPr>
          <w:sz w:val="20"/>
          <w:szCs w:val="20"/>
          <w:color w:val="auto"/>
        </w:rPr>
      </w:pPr>
      <w:r>
        <w:rPr>
          <w:rFonts w:ascii="Times New Roman" w:cs="Times New Roman" w:eastAsia="Times New Roman" w:hAnsi="Times New Roman"/>
          <w:sz w:val="18"/>
          <w:szCs w:val="18"/>
          <w:color w:val="auto"/>
        </w:rPr>
        <w:t>Section 205(b)(3) of the Advisers Act, as amended, prohibits the Adviser from receiving the payment of fees on unrealized gains until those gains are realized, if ever. There can be no assurance that such unrealized gains will be realized in the future.</w:t>
      </w:r>
    </w:p>
    <w:p>
      <w:pPr>
        <w:spacing w:after="0" w:line="162" w:lineRule="exact"/>
        <w:rPr>
          <w:sz w:val="20"/>
          <w:szCs w:val="20"/>
          <w:color w:val="auto"/>
        </w:rPr>
      </w:pPr>
    </w:p>
    <w:p>
      <w:pPr>
        <w:ind w:right="160" w:firstLine="255"/>
        <w:spacing w:after="0" w:line="266" w:lineRule="auto"/>
        <w:rPr>
          <w:sz w:val="20"/>
          <w:szCs w:val="20"/>
          <w:color w:val="auto"/>
        </w:rPr>
      </w:pPr>
      <w:r>
        <w:rPr>
          <w:rFonts w:ascii="Times New Roman" w:cs="Times New Roman" w:eastAsia="Times New Roman" w:hAnsi="Times New Roman"/>
          <w:sz w:val="18"/>
          <w:szCs w:val="18"/>
          <w:color w:val="auto"/>
        </w:rPr>
        <w:t>An “Exchange Listing” is a quotation or listing of the Company’s securities on a national securities exchange (including through an initial public offering) or a sale of all or substantially all of our assets to, or a merger or other liquidity transaction with, an entity in which the Company’s shareholders receive shares of a publicly-traded company which continues to be managed by the Adviser or an affiliate thereof.</w:t>
      </w:r>
    </w:p>
    <w:p>
      <w:pPr>
        <w:spacing w:after="0" w:line="176" w:lineRule="exact"/>
        <w:rPr>
          <w:sz w:val="20"/>
          <w:szCs w:val="20"/>
          <w:color w:val="auto"/>
        </w:rPr>
      </w:pPr>
    </w:p>
    <w:p>
      <w:pPr>
        <w:jc w:val="both"/>
        <w:ind w:right="60" w:firstLine="255"/>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and for the period from April 5, 2022 (Inception) through December 31, 2022, Incentive Fees on net investment income were $19.3 million and $1.0 million, respectively. For the year ended December 31, 2023, $6.7 million were accrued related to Capital Gains Fees. For the period from April 5, 2022 (Inception) through December 31, 2022, there was no accrual for Capital Gains Fees.</w:t>
      </w:r>
    </w:p>
    <w:p>
      <w:pPr>
        <w:spacing w:after="0" w:line="176" w:lineRule="exact"/>
        <w:rPr>
          <w:sz w:val="20"/>
          <w:szCs w:val="20"/>
          <w:color w:val="auto"/>
        </w:rPr>
      </w:pPr>
    </w:p>
    <w:p>
      <w:pPr>
        <w:jc w:val="both"/>
        <w:ind w:right="60" w:firstLine="255"/>
        <w:spacing w:after="0" w:line="266" w:lineRule="auto"/>
        <w:rPr>
          <w:sz w:val="20"/>
          <w:szCs w:val="20"/>
          <w:color w:val="auto"/>
        </w:rPr>
      </w:pPr>
      <w:r>
        <w:rPr>
          <w:rFonts w:ascii="Times New Roman" w:cs="Times New Roman" w:eastAsia="Times New Roman" w:hAnsi="Times New Roman"/>
          <w:sz w:val="18"/>
          <w:szCs w:val="18"/>
          <w:color w:val="auto"/>
        </w:rPr>
        <w:t>On November 2, 2023, the Board renewed the Investment Advisory Agreement. Unless earlier terminated as described below, the Investment Advisory Agreement will remain in effect until November 2, 2024, and may be extended subject to required approvals. The Investment Advisory Agreement may be terminated by either party without penalty on 60 days’ written notice to the other party.</w:t>
      </w:r>
    </w:p>
    <w:p>
      <w:pPr>
        <w:spacing w:after="0" w:line="176" w:lineRule="exact"/>
        <w:rPr>
          <w:sz w:val="20"/>
          <w:szCs w:val="20"/>
          <w:color w:val="auto"/>
        </w:rPr>
      </w:pPr>
    </w:p>
    <w:p>
      <w:pPr>
        <w:ind w:right="120" w:firstLine="255"/>
        <w:spacing w:after="0" w:line="282" w:lineRule="auto"/>
        <w:rPr>
          <w:sz w:val="20"/>
          <w:szCs w:val="20"/>
          <w:color w:val="auto"/>
        </w:rPr>
      </w:pPr>
      <w:r>
        <w:rPr>
          <w:rFonts w:ascii="Times New Roman" w:cs="Times New Roman" w:eastAsia="Times New Roman" w:hAnsi="Times New Roman"/>
          <w:sz w:val="18"/>
          <w:szCs w:val="18"/>
          <w:color w:val="auto"/>
        </w:rPr>
        <w:t>Our Board monitors the mix and performance of our investments over time and seeks to satisfy itself that the Adviser is acting in our interests and that our fee structure appropriately incentivizes the Adviser to do so.</w:t>
      </w:r>
    </w:p>
    <w:p>
      <w:pPr>
        <w:spacing w:after="0" w:line="162" w:lineRule="exact"/>
        <w:rPr>
          <w:sz w:val="20"/>
          <w:szCs w:val="20"/>
          <w:color w:val="auto"/>
        </w:rPr>
      </w:pPr>
    </w:p>
    <w:p>
      <w:pPr>
        <w:ind w:right="20" w:firstLine="255"/>
        <w:spacing w:after="0" w:line="255" w:lineRule="auto"/>
        <w:rPr>
          <w:sz w:val="20"/>
          <w:szCs w:val="20"/>
          <w:color w:val="auto"/>
        </w:rPr>
      </w:pPr>
      <w:r>
        <w:rPr>
          <w:rFonts w:ascii="Times New Roman" w:cs="Times New Roman" w:eastAsia="Times New Roman" w:hAnsi="Times New Roman"/>
          <w:sz w:val="18"/>
          <w:szCs w:val="18"/>
          <w:color w:val="auto"/>
        </w:rPr>
        <w:t>On June 28, 2022, we entered into the Administration Agreement with our Adviser. Under the terms of the Administration Agreement, the Adviser provides administrative services to us. These services include providing office space, equipment and office services, maintaining financial records, preparing reports to shareholders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See "-Payment of Our Expenses" below. In addition, the Adviser is permitted to delegate its duties under the Administration Agreement to affiliates or third parties and we pay or reimburse the Adviser for certain expenses incurred by any such affiliates or third parties for work done on its behalf. For the year ended December 31, 2023 and for the period from April 5, 2022 (Inception) through December 31, 2022, we incurred expenses of</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5" w:name="page16"/>
    <w:bookmarkEnd w:id="15"/>
    <w:p>
      <w:pPr>
        <w:ind w:right="320"/>
        <w:spacing w:after="0" w:line="282" w:lineRule="auto"/>
        <w:rPr>
          <w:sz w:val="20"/>
          <w:szCs w:val="20"/>
          <w:color w:val="auto"/>
        </w:rPr>
      </w:pPr>
      <w:r>
        <w:rPr>
          <w:rFonts w:ascii="Times New Roman" w:cs="Times New Roman" w:eastAsia="Times New Roman" w:hAnsi="Times New Roman"/>
          <w:sz w:val="18"/>
          <w:szCs w:val="18"/>
          <w:color w:val="auto"/>
        </w:rPr>
        <w:t>$2.7 million and $0.5 million, respectively, for administrative services payable under the terms of the Administration Agreement, which are included in Other general and administrative expenses.</w:t>
      </w:r>
    </w:p>
    <w:p>
      <w:pPr>
        <w:spacing w:after="0" w:line="162" w:lineRule="exact"/>
        <w:rPr>
          <w:sz w:val="20"/>
          <w:szCs w:val="20"/>
          <w:color w:val="auto"/>
        </w:rPr>
      </w:pPr>
    </w:p>
    <w:p>
      <w:pPr>
        <w:ind w:right="440" w:firstLine="255"/>
        <w:spacing w:after="0" w:line="266" w:lineRule="auto"/>
        <w:rPr>
          <w:sz w:val="20"/>
          <w:szCs w:val="20"/>
          <w:color w:val="auto"/>
        </w:rPr>
      </w:pPr>
      <w:r>
        <w:rPr>
          <w:rFonts w:ascii="Times New Roman" w:cs="Times New Roman" w:eastAsia="Times New Roman" w:hAnsi="Times New Roman"/>
          <w:sz w:val="18"/>
          <w:szCs w:val="18"/>
          <w:color w:val="auto"/>
        </w:rPr>
        <w:t>From time to time, the Adviser may pay amounts owed by us to third-party providers of goods or services, including the Board, and we will subsequently reimburse the Adviser for such amounts paid on our behalf. Amounts payable to the Adviser are settled in the normal course of business without formal payment terms.</w:t>
      </w:r>
    </w:p>
    <w:p>
      <w:pPr>
        <w:spacing w:after="0" w:line="176" w:lineRule="exact"/>
        <w:rPr>
          <w:sz w:val="20"/>
          <w:szCs w:val="20"/>
          <w:color w:val="auto"/>
        </w:rPr>
      </w:pPr>
    </w:p>
    <w:p>
      <w:pPr>
        <w:ind w:right="60" w:firstLine="255"/>
        <w:spacing w:after="0" w:line="253" w:lineRule="auto"/>
        <w:rPr>
          <w:sz w:val="20"/>
          <w:szCs w:val="20"/>
          <w:color w:val="auto"/>
        </w:rPr>
      </w:pPr>
      <w:r>
        <w:rPr>
          <w:rFonts w:ascii="Times New Roman" w:cs="Times New Roman" w:eastAsia="Times New Roman" w:hAnsi="Times New Roman"/>
          <w:sz w:val="18"/>
          <w:szCs w:val="18"/>
          <w:color w:val="auto"/>
        </w:rPr>
        <w:t>No person who is an officer, trustee or employee of the Adviser or its affiliates and who serves as our trustee receives any compensation from us for his or her services as a trustee. However, we reimburse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 allocable portion of the compensation paid by the Adviser or its affiliates to our Chief Financial Officer, Chief Compliance Officer, and other professionals who provide operational and administrative services to us pursuant to the Administration Agreement, including individuals who provide “back office” or “middle office” financial, operational, legal and/or compliance services to us. We reimburse the Adviser or its affiliates for the allocable portion of the compensation paid by the Adviser or its affiliates to such individuals based on the percentage of time those individuals devote, on an estimated basis, to our business and affairs and in acting on behalf of us. We may also reimburse the Adviser or its affiliates for the allocable portion of overhead expenses (including rent, office equipment and utilities) attributable thereto. Trustees who are not affiliated with the Adviser receive compensation for their services and reimbursement of expenses incurred to attend meetings.</w:t>
      </w:r>
    </w:p>
    <w:p>
      <w:pPr>
        <w:spacing w:after="0" w:line="192"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The Adviser does not assume any responsibility to us other than to render the services described in, and on the terms of the Investment Advisory Agreement and the Administration Agreement, and is not responsible for any action of our Board in declining to follow the advice or recommendations of the Adviser. Under the terms of the Investment Advisory Agreement and the Administration Agreement,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of the Adviser or any other person or entity affiliated with the Adviser, or is or was a member of the Adviser’s Investment Review Committee, on the same general terms set forth in Article V of the Declaration of Trust.</w:t>
      </w:r>
    </w:p>
    <w:p>
      <w:pPr>
        <w:spacing w:after="0" w:line="190"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 of Our Expenses</w:t>
      </w:r>
    </w:p>
    <w:p>
      <w:pPr>
        <w:spacing w:after="0" w:line="119" w:lineRule="exact"/>
        <w:rPr>
          <w:sz w:val="20"/>
          <w:szCs w:val="20"/>
          <w:color w:val="auto"/>
        </w:rPr>
      </w:pPr>
    </w:p>
    <w:p>
      <w:pPr>
        <w:ind w:right="180" w:firstLine="255"/>
        <w:spacing w:after="0" w:line="266" w:lineRule="auto"/>
        <w:rPr>
          <w:sz w:val="20"/>
          <w:szCs w:val="20"/>
          <w:color w:val="auto"/>
        </w:rPr>
      </w:pPr>
      <w:r>
        <w:rPr>
          <w:rFonts w:ascii="Times New Roman" w:cs="Times New Roman" w:eastAsia="Times New Roman" w:hAnsi="Times New Roman"/>
          <w:sz w:val="18"/>
          <w:szCs w:val="18"/>
          <w:color w:val="auto"/>
        </w:rPr>
        <w:t>The costs associated with the Investment Team and staff of the Adviser, when and to the extent engaged in providing us investment advisory and management services are paid for by the Adviser. We bear all other costs and expenses of our operations, administration and transactions, including those relating to:</w:t>
      </w:r>
    </w:p>
    <w:p>
      <w:pPr>
        <w:spacing w:after="0" w:line="284" w:lineRule="exact"/>
        <w:rPr>
          <w:sz w:val="20"/>
          <w:szCs w:val="20"/>
          <w:color w:val="auto"/>
        </w:rPr>
      </w:pPr>
    </w:p>
    <w:p>
      <w:pPr>
        <w:jc w:val="both"/>
        <w:ind w:left="520" w:right="460" w:hanging="257"/>
        <w:spacing w:after="0" w:line="266"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and offering expenses related to the Company’s initial private offering of Common Shares (up to an aggregate of 0.10% of total capital commitments to the Company, it being understood and agreed that the Adviser shall bear all such organizational and offering expenses related to the Company’s initial private offering of Common Shares in excess of such amount);</w:t>
      </w:r>
    </w:p>
    <w:p>
      <w:pPr>
        <w:spacing w:after="0" w:line="6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individual asset values and our net asset value (including the cost and expenses of any independent valuation firms);</w:t>
      </w:r>
    </w:p>
    <w:p>
      <w:pPr>
        <w:spacing w:after="0" w:line="117" w:lineRule="exact"/>
        <w:rPr>
          <w:rFonts w:ascii="Times New Roman" w:cs="Times New Roman" w:eastAsia="Times New Roman" w:hAnsi="Times New Roman"/>
          <w:sz w:val="18"/>
          <w:szCs w:val="18"/>
          <w:color w:val="auto"/>
        </w:rPr>
      </w:pPr>
    </w:p>
    <w:p>
      <w:pPr>
        <w:ind w:left="520" w:right="80" w:hanging="257"/>
        <w:spacing w:after="0" w:line="258"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including travel expenses, incurred by the Adviser, or members of our Investment Team, or payable to third parties, in respect of due diligence on prospective portfolio companies and, if necessary, in respect of enforcing the Company’s rights with respect to investments in existing portfolio companies, including, among others, professional fees (including, without limitation, the fees and expenses of consultants and experts) and fees and expenses relating to, or associated with, evaluating, monitoring, researching and performing due diligence on investments and prospective investments;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ind w:left="520" w:right="160" w:hanging="257"/>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diligence and research expenses (including an allocable portion of any research or other service that may deemed to be bundled for the benefit of the Company), as well as the information technology systems used to obtain such research and other information;</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public offerings of our Common Shares and other securities, including registration and listing fees;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and any Incentive Fee;</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and expenses relating to distributions paid on our Common Shares;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fees payable under our Administration Agreement with the Adviser;</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and other costs of borrowings or other financing arrangements;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allocable share of costs incurred in providing significant managerial assistance to those portfolio companies that request it;</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payable to third parties relating to, or associated with, making or holding investments;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derivatives and hedging;</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and other compensation payable to brokers or dealers;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and governmental fees;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Trustee fees and expenses;</w:t>
      </w:r>
    </w:p>
    <w:p>
      <w:pPr>
        <w:spacing w:after="0" w:line="117" w:lineRule="exact"/>
        <w:rPr>
          <w:rFonts w:ascii="Times New Roman" w:cs="Times New Roman" w:eastAsia="Times New Roman" w:hAnsi="Times New Roman"/>
          <w:sz w:val="18"/>
          <w:szCs w:val="18"/>
          <w:color w:val="auto"/>
        </w:rPr>
      </w:pPr>
    </w:p>
    <w:p>
      <w:pPr>
        <w:ind w:left="520" w:right="100" w:hanging="257"/>
        <w:spacing w:after="0" w:line="266"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and chief compliance officer and their respective staffs;</w:t>
      </w:r>
    </w:p>
    <w:p>
      <w:pPr>
        <w:spacing w:after="0" w:line="67" w:lineRule="exact"/>
        <w:rPr>
          <w:rFonts w:ascii="Times New Roman" w:cs="Times New Roman" w:eastAsia="Times New Roman" w:hAnsi="Times New Roman"/>
          <w:sz w:val="18"/>
          <w:szCs w:val="18"/>
          <w:color w:val="auto"/>
        </w:rPr>
      </w:pPr>
    </w:p>
    <w:p>
      <w:pPr>
        <w:ind w:left="520" w:right="140" w:hanging="257"/>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reports, proxy statements or other notices to our shareholders (including printing and mailing costs), the costs of any shareholders’ meetings and the compensation of investor relations personnel responsible for the preparation of the foregoing and related matters;</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fidelity bond;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 and officers/errors and omissions liability insurance, and any other insurance premiums;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payments;</w:t>
      </w:r>
    </w:p>
    <w:p>
      <w:pPr>
        <w:spacing w:after="0" w:line="117" w:lineRule="exact"/>
        <w:rPr>
          <w:rFonts w:ascii="Times New Roman" w:cs="Times New Roman" w:eastAsia="Times New Roman" w:hAnsi="Times New Roman"/>
          <w:sz w:val="18"/>
          <w:szCs w:val="18"/>
          <w:color w:val="auto"/>
        </w:rPr>
      </w:pPr>
    </w:p>
    <w:p>
      <w:pPr>
        <w:ind w:left="520" w:right="320" w:hanging="257"/>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and related costs, including costs related to software, hardware and other technological systems (including specialty and custom software);</w:t>
      </w:r>
    </w:p>
    <w:p>
      <w:pPr>
        <w:spacing w:after="0" w:line="53" w:lineRule="exact"/>
        <w:rPr>
          <w:rFonts w:ascii="Times New Roman" w:cs="Times New Roman" w:eastAsia="Times New Roman" w:hAnsi="Times New Roman"/>
          <w:sz w:val="18"/>
          <w:szCs w:val="18"/>
          <w:color w:val="auto"/>
        </w:rPr>
      </w:pPr>
    </w:p>
    <w:p>
      <w:pPr>
        <w:ind w:left="520" w:hanging="257"/>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in connection with any claim, litigation, arbitration, mediation, government investigation or dispute in connection with the business of the Company and the amount of any judgment or settlement paid in connection therewith;</w:t>
      </w:r>
    </w:p>
    <w:p>
      <w:pPr>
        <w:spacing w:after="0" w:line="53" w:lineRule="exact"/>
        <w:rPr>
          <w:rFonts w:ascii="Times New Roman" w:cs="Times New Roman" w:eastAsia="Times New Roman" w:hAnsi="Times New Roman"/>
          <w:sz w:val="18"/>
          <w:szCs w:val="18"/>
          <w:color w:val="auto"/>
        </w:rPr>
      </w:pPr>
    </w:p>
    <w:p>
      <w:pPr>
        <w:ind w:left="520" w:right="160" w:hanging="257"/>
        <w:spacing w:after="0" w:line="281" w:lineRule="auto"/>
        <w:tabs>
          <w:tab w:leader="none" w:pos="5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fees, costs and expenses, if any, incurred by or on behalf of the Company in developing, negotiating and structuring prospective or potential investments that are not ultimately made, including, without limitation any reverse termination fees and any liquidated damages, commitment fees that become payable in connection with any proposed investment that is not ultimately made, forfeited deposits or similar payments, including expenses relating to unconsummated investments that may have been attributable to co-investors had such investments been consummated;</w:t>
      </w:r>
    </w:p>
    <w:p>
      <w:pPr>
        <w:spacing w:after="0" w:line="56" w:lineRule="exact"/>
        <w:rPr>
          <w:rFonts w:ascii="Times New Roman" w:cs="Times New Roman" w:eastAsia="Times New Roman" w:hAnsi="Times New Roman"/>
          <w:sz w:val="17"/>
          <w:szCs w:val="17"/>
          <w:color w:val="auto"/>
        </w:rPr>
      </w:pPr>
    </w:p>
    <w:p>
      <w:pPr>
        <w:ind w:left="520" w:right="240" w:hanging="257"/>
        <w:spacing w:after="0" w:line="256"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costs, including all fees, costs and expenses incurred in sourcing, evaluating, developing, negotiating, structuring, trading (including trading errors), settling, monitoring and holding prospective or actual investments or investment strategies including, without limitation, any financing, legal, filing, auditing, tax, accounting, compliance, loan administration, travel, meals, accommodations and entertainment, advisory, consulting, engineering, data-related and other professional fees, costs and expenses in connection therewith (to the extent the Adviser is not reimbursed by a prospective or actual issuer of the applicable investment or other third parties or capitalized as part of the acquisition price of the transaction);</w:t>
      </w:r>
    </w:p>
    <w:p>
      <w:pPr>
        <w:spacing w:after="0" w:line="79"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audit, accounting, consulting and legal costs;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200" w:firstLine="225"/>
        <w:spacing w:after="0" w:line="282" w:lineRule="auto"/>
        <w:rPr>
          <w:sz w:val="20"/>
          <w:szCs w:val="20"/>
          <w:color w:val="auto"/>
        </w:rPr>
      </w:pPr>
      <w:r>
        <w:rPr>
          <w:rFonts w:ascii="Times New Roman" w:cs="Times New Roman" w:eastAsia="Times New Roman" w:hAnsi="Times New Roman"/>
          <w:sz w:val="18"/>
          <w:szCs w:val="18"/>
          <w:color w:val="auto"/>
        </w:rPr>
        <w:t>The Company bears its allocable portion of the costs of the compensation, benefits, and related administrative expenses (including travel expenses) of its officers who provide operational and administrative services under the Administration Agreement, their</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7" w:name="page18"/>
    <w:bookmarkEnd w:id="17"/>
    <w:p>
      <w:pPr>
        <w:ind w:right="40"/>
        <w:spacing w:after="0" w:line="255" w:lineRule="auto"/>
        <w:rPr>
          <w:sz w:val="20"/>
          <w:szCs w:val="20"/>
          <w:color w:val="auto"/>
        </w:rPr>
      </w:pPr>
      <w:r>
        <w:rPr>
          <w:rFonts w:ascii="Times New Roman" w:cs="Times New Roman" w:eastAsia="Times New Roman" w:hAnsi="Times New Roman"/>
          <w:sz w:val="18"/>
          <w:szCs w:val="18"/>
          <w:color w:val="auto"/>
        </w:rPr>
        <w:t>respective staffs and other professionals who provide services to the Company (including, in each case, employees of the Administrator or an affiliate) who assist with the preparation, coordination, and administration of the foregoing or provide other “back office” or “middle office” financial or operational services to the Company. The Company reimburses the Adviser (or its affiliates) for an allocable portion of the compensation paid by the Adviser (or its affiliates) to such individuals (based on a percentage of time such individuals devote, on an estimated basis, to the business and affairs of the Company and in acting on behalf of the Company). Although the Investment Advisory Agreement and Administration Agreement do not specify a timeframe by which the Adviser or its affiliates must be so reimbursed, the Company expects that it would generally reimburse the Adviser or its affiliates by the end of following quarter in which the expense is recognized.</w:t>
      </w:r>
    </w:p>
    <w:p>
      <w:pPr>
        <w:spacing w:after="0" w:line="189"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In addition, from time to time, the Adviser pays amounts owed by us to third-party providers of goods or services, including the Board. We subsequently reimburse the Adviser for those amounts paid on our behalf. Amounts payable to the Adviser are settled in the normal course of business without formal payment terms.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Duration and Termination</w:t>
      </w:r>
    </w:p>
    <w:p>
      <w:pPr>
        <w:spacing w:after="0" w:line="119" w:lineRule="exact"/>
        <w:rPr>
          <w:sz w:val="20"/>
          <w:szCs w:val="20"/>
          <w:color w:val="auto"/>
        </w:rPr>
      </w:pPr>
    </w:p>
    <w:p>
      <w:pPr>
        <w:ind w:right="80" w:firstLine="255"/>
        <w:spacing w:after="0" w:line="254" w:lineRule="auto"/>
        <w:rPr>
          <w:sz w:val="20"/>
          <w:szCs w:val="20"/>
          <w:color w:val="auto"/>
        </w:rPr>
      </w:pPr>
      <w:r>
        <w:rPr>
          <w:rFonts w:ascii="Times New Roman" w:cs="Times New Roman" w:eastAsia="Times New Roman" w:hAnsi="Times New Roman"/>
          <w:sz w:val="18"/>
          <w:szCs w:val="18"/>
          <w:color w:val="auto"/>
        </w:rPr>
        <w:t>Unless earlier terminated as described below, both the Investment Advisory Agreement and the Administration Agreement will remain in effect until November 2024, and each may be extended subject to required approvals. Each agreement will remain in effect from year to year thereafter if approved annually by our Board or by the affirmative vote of the holders of a majority of our outstanding voting securities, and, in either case, if also approved by a majority of the trustees of the Board who are not “interested persons” of us, the Adviser or any of our or its respective affiliates, as defined in the 1940 Act (known as Independent Trustees). The Investment Advisory Agreement automatically terminates in the event of its assignment, as defined in the 1940 Act, by the Adviser. Each agreement may be terminated by either party without penalty on 60 days’ written notice to the other party. The holders of a majority of our outstanding voting securities may also terminate each agreement without penalty on 60 days’ written notice. See “</w:t>
      </w:r>
      <w:r>
        <w:rPr>
          <w:rFonts w:ascii="Times New Roman" w:cs="Times New Roman" w:eastAsia="Times New Roman" w:hAnsi="Times New Roman"/>
          <w:sz w:val="18"/>
          <w:szCs w:val="18"/>
          <w:i w:val="1"/>
          <w:iCs w:val="1"/>
          <w:color w:val="auto"/>
        </w:rPr>
        <w:t>ITEM 1A. RISK FACTORS—Risks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Our Business and Structure—We are dependent upon management personnel of the Adviser, Sixth Street, and their affiliates for our future success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19" w:lineRule="exact"/>
        <w:rPr>
          <w:sz w:val="20"/>
          <w:szCs w:val="20"/>
          <w:color w:val="auto"/>
        </w:rPr>
      </w:pPr>
    </w:p>
    <w:p>
      <w:pPr>
        <w:ind w:right="20" w:firstLine="255"/>
        <w:spacing w:after="0" w:line="253" w:lineRule="auto"/>
        <w:rPr>
          <w:sz w:val="20"/>
          <w:szCs w:val="20"/>
          <w:color w:val="auto"/>
        </w:rPr>
      </w:pPr>
      <w:r>
        <w:rPr>
          <w:rFonts w:ascii="Times New Roman" w:cs="Times New Roman" w:eastAsia="Times New Roman" w:hAnsi="Times New Roman"/>
          <w:sz w:val="18"/>
          <w:szCs w:val="18"/>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declaration of trust.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Approval of the Investment Advisory Agreement</w:t>
      </w:r>
    </w:p>
    <w:p>
      <w:pPr>
        <w:spacing w:after="0" w:line="119" w:lineRule="exact"/>
        <w:rPr>
          <w:sz w:val="20"/>
          <w:szCs w:val="20"/>
          <w:color w:val="auto"/>
        </w:rPr>
      </w:pPr>
    </w:p>
    <w:p>
      <w:pPr>
        <w:jc w:val="both"/>
        <w:ind w:right="80" w:firstLine="255"/>
        <w:spacing w:after="0" w:line="266" w:lineRule="auto"/>
        <w:rPr>
          <w:sz w:val="20"/>
          <w:szCs w:val="20"/>
          <w:color w:val="auto"/>
        </w:rPr>
      </w:pPr>
      <w:r>
        <w:rPr>
          <w:rFonts w:ascii="Times New Roman" w:cs="Times New Roman" w:eastAsia="Times New Roman" w:hAnsi="Times New Roman"/>
          <w:sz w:val="18"/>
          <w:szCs w:val="18"/>
          <w:color w:val="auto"/>
        </w:rPr>
        <w:t>Our Board, including our Independent Trustees, and holders of a majority of our outstanding securities, approved our Investment Advisory Agreement in June 2022. In its consideration of the Investment Advisory Agreement at the time of approval, the Board focused on information it had received relating to, among other things:</w:t>
      </w:r>
    </w:p>
    <w:p>
      <w:pPr>
        <w:spacing w:after="0" w:line="68" w:lineRule="exact"/>
        <w:rPr>
          <w:sz w:val="20"/>
          <w:szCs w:val="20"/>
          <w:color w:val="auto"/>
        </w:rPr>
      </w:pPr>
    </w:p>
    <w:p>
      <w:pPr>
        <w:ind w:left="520" w:hanging="257"/>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quality and extent of the advisory and other services to be provided to us by the Adviser;</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and financial performance on a standalone basis and against a comparative universe of peers;</w:t>
      </w:r>
    </w:p>
    <w:p>
      <w:pPr>
        <w:spacing w:after="0" w:line="117" w:lineRule="exact"/>
        <w:rPr>
          <w:rFonts w:ascii="Times New Roman" w:cs="Times New Roman" w:eastAsia="Times New Roman" w:hAnsi="Times New Roman"/>
          <w:sz w:val="18"/>
          <w:szCs w:val="18"/>
          <w:color w:val="auto"/>
        </w:rPr>
      </w:pPr>
    </w:p>
    <w:p>
      <w:pPr>
        <w:ind w:left="520" w:right="460" w:hanging="257"/>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economies of scale would be realized as we grow, and whether the fees payable under the Investment Advisory Agreement reflect these economies of scale for the benefit of our shareholders;</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comparative data with respect to advisory fees or similar expenses paid by other BDCs with similar investment objectives;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expense ratio compared to BDCs with similar investment objectives;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8" w:name="page19"/>
    <w:bookmarkEnd w:id="18"/>
    <w:p>
      <w:pPr>
        <w:ind w:left="520" w:hanging="257"/>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existing and potential sources of indirect income to the Adviser from its relationships with us and the profitability of those income sources;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the services to be performed and the personnel performing those services under the Investment Advisory Agreement;</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organizational and functional capabilities and financial condition of the Adviser and its respective affiliates;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obtaining similar services from other third-party service providers or through an internally managed structure.</w:t>
      </w:r>
    </w:p>
    <w:p>
      <w:pPr>
        <w:spacing w:after="0" w:line="225" w:lineRule="exact"/>
        <w:rPr>
          <w:sz w:val="20"/>
          <w:szCs w:val="20"/>
          <w:color w:val="auto"/>
        </w:rPr>
      </w:pPr>
    </w:p>
    <w:p>
      <w:pPr>
        <w:ind w:right="80" w:firstLine="255"/>
        <w:spacing w:after="0" w:line="266" w:lineRule="auto"/>
        <w:rPr>
          <w:sz w:val="20"/>
          <w:szCs w:val="20"/>
          <w:color w:val="auto"/>
        </w:rPr>
      </w:pPr>
      <w:r>
        <w:rPr>
          <w:rFonts w:ascii="Times New Roman" w:cs="Times New Roman" w:eastAsia="Times New Roman" w:hAnsi="Times New Roman"/>
          <w:sz w:val="18"/>
          <w:szCs w:val="18"/>
          <w:color w:val="auto"/>
        </w:rPr>
        <w:t>The Board also takes into consideration the reimbursement of expenses incurred by the Adviser on our behalf when determining whether to approve renewal of the Investment Advisory Agreement and the Administration Agreement. No one factor was given greater weight than any others, but rather the Board considered all factors collectively as a whole.</w:t>
      </w:r>
    </w:p>
    <w:p>
      <w:pPr>
        <w:spacing w:after="0" w:line="176" w:lineRule="exact"/>
        <w:rPr>
          <w:sz w:val="20"/>
          <w:szCs w:val="20"/>
          <w:color w:val="auto"/>
        </w:rPr>
      </w:pPr>
    </w:p>
    <w:p>
      <w:pPr>
        <w:ind w:right="700" w:firstLine="255"/>
        <w:spacing w:after="0" w:line="282" w:lineRule="auto"/>
        <w:rPr>
          <w:sz w:val="20"/>
          <w:szCs w:val="20"/>
          <w:color w:val="auto"/>
        </w:rPr>
      </w:pPr>
      <w:r>
        <w:rPr>
          <w:rFonts w:ascii="Times New Roman" w:cs="Times New Roman" w:eastAsia="Times New Roman" w:hAnsi="Times New Roman"/>
          <w:sz w:val="18"/>
          <w:szCs w:val="18"/>
          <w:color w:val="auto"/>
        </w:rPr>
        <w:t>Based on the information reviewed and the discussion thereof, the Board, including a majority of the Independent Trustees, concluded that the investment advisory fee rates are reasonable in relation to the services to be provided.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as a Business Development Company</w:t>
      </w:r>
    </w:p>
    <w:p>
      <w:pPr>
        <w:spacing w:after="0" w:line="121"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We are regulated as a BDC under the 1940 Act. A BDC must be organized in the United States for the purpose of investing in or lending to primarily private companies and making significant managerial assistance available to them. A BDC may use capital provided by public shareholders and from other sources to make long-term, private investments in businesses.</w:t>
      </w:r>
    </w:p>
    <w:p>
      <w:pPr>
        <w:spacing w:after="0" w:line="176"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As with other companies regulated by the 1940 Act, a BDC must adhere to certain substantive regulatory requirements. A majority of our trustees must be persons who are not “interested persons,” as that term is defined in the 1940 Act. Additionally, we are required to provide and maintain a bond issued by a reputable fidelity insurance company to protect us against larceny and embezzlement. Furthermore, as a BDC, we are prohibited from protecting any trustee or officer against any liability to us or our shareholders arising from willful misfeasance, bad faith, gross negligence or reckless disregard of the duties involved in the conduct of such person’s office.</w:t>
      </w:r>
    </w:p>
    <w:p>
      <w:pPr>
        <w:spacing w:after="0" w:line="183"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As a BDC, we are permitted, under specified conditions, to issue multiple classes of indebtedness and one class of shares senior to our Common Shares if our asset coverage, as defined in the 1940 Act, is at least equal to 150% immediately after any borrowing or issuance. See “</w:t>
      </w:r>
      <w:r>
        <w:rPr>
          <w:rFonts w:ascii="Times New Roman" w:cs="Times New Roman" w:eastAsia="Times New Roman" w:hAnsi="Times New Roman"/>
          <w:sz w:val="18"/>
          <w:szCs w:val="18"/>
          <w:i w:val="1"/>
          <w:iCs w:val="1"/>
          <w:color w:val="auto"/>
        </w:rPr>
        <w:t>—Senior Securities</w:t>
      </w:r>
      <w:r>
        <w:rPr>
          <w:rFonts w:ascii="Times New Roman" w:cs="Times New Roman" w:eastAsia="Times New Roman" w:hAnsi="Times New Roman"/>
          <w:sz w:val="18"/>
          <w:szCs w:val="18"/>
          <w:color w:val="auto"/>
        </w:rPr>
        <w:t>” for more information. In addition, while any preferred shares or publicly traded debt securities are outstanding, we may be prohibited from making distributions to our shareholders or repurchasing securities or shares unless we meet the applicable asset coverage ratio at the time of the distribution or repurchase. We may also borrow amounts up to 5% of the value of our total assets for temporary or emergency purposes without regard to asset coverage. For a discussion of the risks associated with leverage, see “</w:t>
      </w:r>
      <w:r>
        <w:rPr>
          <w:rFonts w:ascii="Times New Roman" w:cs="Times New Roman" w:eastAsia="Times New Roman" w:hAnsi="Times New Roman"/>
          <w:sz w:val="18"/>
          <w:szCs w:val="18"/>
          <w:i w:val="1"/>
          <w:iCs w:val="1"/>
          <w:color w:val="auto"/>
        </w:rPr>
        <w:t>ITEM 1A. RISK FACTORS—Risks Related to Our Business and Structure—We borrow money, which magnifies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potential for gain or loss and increases the risk of investing in us</w:t>
      </w:r>
      <w:r>
        <w:rPr>
          <w:rFonts w:ascii="Times New Roman" w:cs="Times New Roman" w:eastAsia="Times New Roman" w:hAnsi="Times New Roman"/>
          <w:sz w:val="18"/>
          <w:szCs w:val="18"/>
          <w:color w:val="auto"/>
        </w:rPr>
        <w:t>.” As of December 31, 2023 and 2022 our asset coverage was 245.6% and 201.6%,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w:t>
      </w:r>
    </w:p>
    <w:p>
      <w:pPr>
        <w:spacing w:after="0" w:line="192" w:lineRule="exact"/>
        <w:rPr>
          <w:sz w:val="20"/>
          <w:szCs w:val="20"/>
          <w:color w:val="auto"/>
        </w:rPr>
      </w:pPr>
    </w:p>
    <w:p>
      <w:pPr>
        <w:ind w:right="200" w:firstLine="255"/>
        <w:spacing w:after="0" w:line="261" w:lineRule="auto"/>
        <w:rPr>
          <w:sz w:val="20"/>
          <w:szCs w:val="20"/>
          <w:color w:val="auto"/>
        </w:rPr>
      </w:pPr>
      <w:r>
        <w:rPr>
          <w:rFonts w:ascii="Times New Roman" w:cs="Times New Roman" w:eastAsia="Times New Roman" w:hAnsi="Times New Roman"/>
          <w:sz w:val="18"/>
          <w:szCs w:val="18"/>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and (b) more than 50% of the outstanding voting securities of such company.</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do not anticipate any substantial change in the nature of our business.</w:t>
      </w:r>
    </w:p>
    <w:p>
      <w:pPr>
        <w:spacing w:after="0" w:line="225"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shareholders to additional expenses. Our investment portfolio is also subject to diversification requirements by virtue of our status as a RIC for U.S. federal income tax purposes. See “—Regulated Investment Company Classification” for more information.</w:t>
      </w:r>
    </w:p>
    <w:p>
      <w:pPr>
        <w:spacing w:after="0" w:line="187"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8"/>
          <w:szCs w:val="18"/>
          <w:color w:val="auto"/>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9" w:name="page20"/>
    <w:bookmarkEnd w:id="19"/>
    <w:p>
      <w:pPr>
        <w:ind w:right="20" w:firstLine="255"/>
        <w:spacing w:after="0" w:line="253" w:lineRule="auto"/>
        <w:rPr>
          <w:sz w:val="20"/>
          <w:szCs w:val="20"/>
          <w:color w:val="auto"/>
        </w:rPr>
      </w:pPr>
      <w:r>
        <w:rPr>
          <w:rFonts w:ascii="Times New Roman" w:cs="Times New Roman" w:eastAsia="Times New Roman" w:hAnsi="Times New Roman"/>
          <w:sz w:val="18"/>
          <w:szCs w:val="18"/>
          <w:color w:val="auto"/>
        </w:rPr>
        <w:t>We are generally not able to issue and sell our Common Shares at a price below net asset value per share. See “ITEM 1A. RISK FACTORS—Risks Related to Our Business and Structure—Regulations governing our operation as a BDC affect our ability to, and the way in which we, raise additional capital.” We may, however, elect to issue and sell our Common Shares at a price below the then-current net asset value of our Common Shares if our Board determines that the sale is in our best interests and the best interests of our shareholders, and our shareholders have approved our policy and practice of making these sales within the preceding 12 months. In addition we may elect to issue and sell warrants, options and rights to acquire our Common Shares at a price below the then-current net asset value of our Common Shares if our Board approves the issuance of such warrants, option and rights and shareholders approve such issuance as well. We may in the future seek such approval; however, there is no assurance such approval will be obtained. In any such case, the price at which our securities are to be issued and sold may not be less than a price that, in the determination of our Board, closely approximates the market value of such securities (less any distribution commission or discount). In addition, we may generally issue new Common Shares at a price below net asset value in rights offerings to existing shareholders, in payment of dividends and in certain other limited circumstances.</w:t>
      </w:r>
    </w:p>
    <w:p>
      <w:pPr>
        <w:spacing w:after="0" w:line="1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are subject to periodic examination by the SEC for compliance with the 1940 Act.</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Compliance with regulations has not had a material effect on our capital expenditure, earnings or competitive position.</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a BDC, we are subject to certain risks and uncertainties. See “</w:t>
      </w:r>
      <w:r>
        <w:rPr>
          <w:rFonts w:ascii="Times New Roman" w:cs="Times New Roman" w:eastAsia="Times New Roman" w:hAnsi="Times New Roman"/>
          <w:sz w:val="18"/>
          <w:szCs w:val="18"/>
          <w:i w:val="1"/>
          <w:iCs w:val="1"/>
          <w:color w:val="auto"/>
        </w:rPr>
        <w:t>ITEM 1A. RISK FACTORS—Risks Related to Our Business and Structure.</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with our Affiliates</w:t>
      </w:r>
    </w:p>
    <w:p>
      <w:pPr>
        <w:spacing w:after="0" w:line="119"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We may also be prohibited under the 1940 Act from knowingly participating in certain transactions with our affiliates, including our officers, trustees,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w:t>
      </w:r>
    </w:p>
    <w:p>
      <w:pPr>
        <w:spacing w:after="0" w:line="180"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On August 3, 2022, we were granted an exemptive order from the SEC that allows us to co-invest, subject to certain conditions and to the extent the size of an investment opportunity exceeds the amount our Adviser has independently determined is appropriate for us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w:t>
      </w:r>
    </w:p>
    <w:p>
      <w:pPr>
        <w:spacing w:after="0" w:line="180"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0" w:lineRule="exact"/>
        <w:rPr>
          <w:sz w:val="20"/>
          <w:szCs w:val="20"/>
          <w:color w:val="auto"/>
        </w:rPr>
      </w:pPr>
    </w:p>
    <w:p>
      <w:pPr>
        <w:ind w:right="380" w:firstLine="255"/>
        <w:spacing w:after="0" w:line="312" w:lineRule="auto"/>
        <w:rPr>
          <w:sz w:val="20"/>
          <w:szCs w:val="20"/>
          <w:color w:val="auto"/>
        </w:rPr>
      </w:pPr>
      <w:r>
        <w:rPr>
          <w:rFonts w:ascii="Times New Roman" w:cs="Times New Roman" w:eastAsia="Times New Roman" w:hAnsi="Times New Roman"/>
          <w:sz w:val="17"/>
          <w:szCs w:val="17"/>
          <w:color w:val="auto"/>
        </w:rPr>
        <w:t>Further, in accordance with the exemptive order, we have undertaken that, in connection with any commitment to a co-investment or follow-on investment, a “required majority” (as defined in Section 57(o) of the 1940 Act) of Independent Trustees must make certain conclusions, including that:</w:t>
      </w:r>
    </w:p>
    <w:p>
      <w:pPr>
        <w:spacing w:after="0" w:line="32" w:lineRule="exact"/>
        <w:rPr>
          <w:sz w:val="20"/>
          <w:szCs w:val="20"/>
          <w:color w:val="auto"/>
        </w:rPr>
      </w:pPr>
    </w:p>
    <w:p>
      <w:pPr>
        <w:ind w:left="520" w:right="180" w:hanging="257"/>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proposed transaction (including the consideration to be paid) are reasonable and fair to us and our shareholders and do not involve overreaching of us or our shareholders on the part of any person concerned;</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consistent with the interests of our shareholders and our investment strategies and policies;</w:t>
      </w:r>
    </w:p>
    <w:p>
      <w:pPr>
        <w:spacing w:after="0" w:line="117" w:lineRule="exact"/>
        <w:rPr>
          <w:rFonts w:ascii="Times New Roman" w:cs="Times New Roman" w:eastAsia="Times New Roman" w:hAnsi="Times New Roman"/>
          <w:sz w:val="18"/>
          <w:szCs w:val="18"/>
          <w:color w:val="auto"/>
        </w:rPr>
      </w:pPr>
    </w:p>
    <w:p>
      <w:pPr>
        <w:ind w:left="520" w:right="80" w:hanging="257"/>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by our affiliate would not disadvantage us, and our participation is not on a basis different from or less advantageous than that of our affiliate; and</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will not benefit any affiliate other than the affiliate participating in the investment, and as otherwise permitted by the order.</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ITEM 13. CERTAIN RELATIONSHIPS AND RELATED TRANSACTIONS, AND TRUSTEE INDEPENDENCE.</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Qualifying Assets</w:t>
      </w:r>
    </w:p>
    <w:p>
      <w:pPr>
        <w:spacing w:after="0" w:line="119" w:lineRule="exact"/>
        <w:rPr>
          <w:sz w:val="20"/>
          <w:szCs w:val="20"/>
          <w:color w:val="auto"/>
        </w:rPr>
      </w:pPr>
    </w:p>
    <w:p>
      <w:pPr>
        <w:ind w:right="80" w:firstLine="255"/>
        <w:spacing w:after="0" w:line="266" w:lineRule="auto"/>
        <w:rPr>
          <w:sz w:val="20"/>
          <w:szCs w:val="20"/>
          <w:color w:val="auto"/>
        </w:rPr>
      </w:pPr>
      <w:r>
        <w:rPr>
          <w:rFonts w:ascii="Times New Roman" w:cs="Times New Roman" w:eastAsia="Times New Roman" w:hAnsi="Times New Roman"/>
          <w:sz w:val="18"/>
          <w:szCs w:val="18"/>
          <w:color w:val="auto"/>
        </w:rPr>
        <w:t>Under the 1940 Act, a BDC may not acquire any assets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68" w:lineRule="exact"/>
        <w:rPr>
          <w:sz w:val="20"/>
          <w:szCs w:val="20"/>
          <w:color w:val="auto"/>
        </w:rPr>
      </w:pPr>
    </w:p>
    <w:p>
      <w:pPr>
        <w:ind w:left="520" w:right="420" w:hanging="257"/>
        <w:spacing w:after="0" w:line="261"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71"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organized under the laws of, and has its principal place of business in, the United States;</w:t>
      </w:r>
    </w:p>
    <w:p>
      <w:pPr>
        <w:spacing w:after="0" w:line="117" w:lineRule="exact"/>
        <w:rPr>
          <w:rFonts w:ascii="Times New Roman" w:cs="Times New Roman" w:eastAsia="Times New Roman" w:hAnsi="Times New Roman"/>
          <w:sz w:val="18"/>
          <w:szCs w:val="18"/>
          <w:color w:val="auto"/>
        </w:rPr>
      </w:pPr>
    </w:p>
    <w:p>
      <w:pPr>
        <w:ind w:left="780" w:right="80" w:hanging="263"/>
        <w:spacing w:after="0" w:line="282" w:lineRule="auto"/>
        <w:tabs>
          <w:tab w:leader="none" w:pos="7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 investment company (other than a small business investment company wholly owned by us) or a company that would be an investment company but for certain exclusions under the 1940 Act; and</w:t>
      </w:r>
    </w:p>
    <w:p>
      <w:pPr>
        <w:spacing w:after="0" w:line="53"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satisfies any of the following:</w:t>
      </w:r>
    </w:p>
    <w:p>
      <w:pPr>
        <w:spacing w:after="0" w:line="117" w:lineRule="exact"/>
        <w:rPr>
          <w:rFonts w:ascii="Times New Roman" w:cs="Times New Roman" w:eastAsia="Times New Roman" w:hAnsi="Times New Roman"/>
          <w:sz w:val="18"/>
          <w:szCs w:val="18"/>
          <w:color w:val="auto"/>
        </w:rPr>
      </w:pPr>
    </w:p>
    <w:p>
      <w:pPr>
        <w:ind w:left="1280" w:right="640" w:hanging="254"/>
        <w:spacing w:after="0" w:line="282" w:lineRule="auto"/>
        <w:tabs>
          <w:tab w:leader="none" w:pos="128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an equity market capitalization of less than $250 million or does not have any class of securities listed on a national securities exchange;</w:t>
      </w:r>
    </w:p>
    <w:p>
      <w:pPr>
        <w:spacing w:after="0" w:line="53" w:lineRule="exact"/>
        <w:rPr>
          <w:rFonts w:ascii="Times New Roman" w:cs="Times New Roman" w:eastAsia="Times New Roman" w:hAnsi="Times New Roman"/>
          <w:sz w:val="18"/>
          <w:szCs w:val="18"/>
          <w:color w:val="auto"/>
        </w:rPr>
      </w:pPr>
    </w:p>
    <w:p>
      <w:pPr>
        <w:ind w:left="1280" w:right="40" w:hanging="254"/>
        <w:spacing w:after="0" w:line="266" w:lineRule="auto"/>
        <w:tabs>
          <w:tab w:leader="none" w:pos="128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controlled by a BDC or a group of companies including a BDC, the BDC actually exercises a controlling influence over the management or policies of the eligible portfolio company, and, as a result thereof, the BDC has an affiliated person who is a trustee of the eligible portfolio company; or</w:t>
      </w:r>
    </w:p>
    <w:p>
      <w:pPr>
        <w:spacing w:after="0" w:line="67" w:lineRule="exact"/>
        <w:rPr>
          <w:rFonts w:ascii="Times New Roman" w:cs="Times New Roman" w:eastAsia="Times New Roman" w:hAnsi="Times New Roman"/>
          <w:sz w:val="18"/>
          <w:szCs w:val="18"/>
          <w:color w:val="auto"/>
        </w:rPr>
      </w:pPr>
    </w:p>
    <w:p>
      <w:pPr>
        <w:ind w:left="1280" w:hanging="254"/>
        <w:spacing w:after="0"/>
        <w:tabs>
          <w:tab w:leader="none" w:pos="128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small and solvent company having total assets of not more than $4 million and capital and surplus of not less than $2 million.</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any eligible portfolio company that we control;</w:t>
      </w:r>
    </w:p>
    <w:p>
      <w:pPr>
        <w:spacing w:after="0" w:line="117" w:lineRule="exact"/>
        <w:rPr>
          <w:rFonts w:ascii="Times New Roman" w:cs="Times New Roman" w:eastAsia="Times New Roman" w:hAnsi="Times New Roman"/>
          <w:sz w:val="18"/>
          <w:szCs w:val="18"/>
          <w:color w:val="auto"/>
        </w:rPr>
      </w:pPr>
    </w:p>
    <w:p>
      <w:pPr>
        <w:ind w:left="520" w:right="320" w:hanging="257"/>
        <w:spacing w:after="0" w:line="261"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71" w:lineRule="exact"/>
        <w:rPr>
          <w:rFonts w:ascii="Times New Roman" w:cs="Times New Roman" w:eastAsia="Times New Roman" w:hAnsi="Times New Roman"/>
          <w:sz w:val="18"/>
          <w:szCs w:val="18"/>
          <w:color w:val="auto"/>
        </w:rPr>
      </w:pPr>
    </w:p>
    <w:p>
      <w:pPr>
        <w:ind w:left="520" w:right="100" w:hanging="257"/>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3" w:lineRule="exact"/>
        <w:rPr>
          <w:rFonts w:ascii="Times New Roman" w:cs="Times New Roman" w:eastAsia="Times New Roman" w:hAnsi="Times New Roman"/>
          <w:sz w:val="18"/>
          <w:szCs w:val="18"/>
          <w:color w:val="auto"/>
        </w:rPr>
      </w:pPr>
    </w:p>
    <w:p>
      <w:pPr>
        <w:ind w:left="520" w:right="220" w:hanging="257"/>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received in exchange for or distributed on or with respect to securities described above, or pursuant to the exercise of warrants or rights relating to such securities;</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U.S. Government securities or high-quality debt securities maturing in one year or less from the time of investment.</w:t>
      </w:r>
    </w:p>
    <w:p>
      <w:pPr>
        <w:spacing w:after="0" w:line="225"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such that at least 70% of our assets are qualifying assets.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Managerial Assistance to Portfolio Companies</w:t>
      </w:r>
    </w:p>
    <w:p>
      <w:pPr>
        <w:spacing w:after="0" w:line="119" w:lineRule="exact"/>
        <w:rPr>
          <w:sz w:val="20"/>
          <w:szCs w:val="20"/>
          <w:color w:val="auto"/>
        </w:rPr>
      </w:pPr>
    </w:p>
    <w:p>
      <w:pPr>
        <w:ind w:right="100" w:firstLine="255"/>
        <w:spacing w:after="0" w:line="255" w:lineRule="auto"/>
        <w:rPr>
          <w:sz w:val="20"/>
          <w:szCs w:val="20"/>
          <w:color w:val="auto"/>
        </w:rPr>
      </w:pPr>
      <w:r>
        <w:rPr>
          <w:rFonts w:ascii="Times New Roman" w:cs="Times New Roman" w:eastAsia="Times New Roman" w:hAnsi="Times New Roman"/>
          <w:sz w:val="18"/>
          <w:szCs w:val="18"/>
          <w:color w:val="auto"/>
        </w:rPr>
        <w:t>A BDC must be operated for the purpose of making investments in the types of securities described under “Qualifying Assets” above. However, to count portfolio securities as qualifying assets for the purpose of the 70% test, the BDC must offer to make available to the issuer of the securities (other than small and solvent companies described above) significant managerial assistance; except that, where the BDC purchases such securities in conjunction with one or more other persons acting together, the BDC will satisfy this test if one of the other persons in the group makes available such managerial assistance. Making available managerial assistance means, among other things, either controlling the issuer of the securities or any arrangement whereby the BDC, through its trustees, officers or employees, offers to provide, and, if accepted, does in fact provide, significant guidance and counsel concerning the management, operations or business objectives and policies of a portfolio company.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Securities</w:t>
      </w:r>
    </w:p>
    <w:p>
      <w:pPr>
        <w:spacing w:after="0" w:line="119" w:lineRule="exact"/>
        <w:rPr>
          <w:sz w:val="20"/>
          <w:szCs w:val="20"/>
          <w:color w:val="auto"/>
        </w:rPr>
      </w:pPr>
    </w:p>
    <w:p>
      <w:pPr>
        <w:ind w:right="200" w:firstLine="255"/>
        <w:spacing w:after="0" w:line="282" w:lineRule="auto"/>
        <w:rPr>
          <w:sz w:val="20"/>
          <w:szCs w:val="20"/>
          <w:color w:val="auto"/>
        </w:rPr>
      </w:pPr>
      <w:r>
        <w:rPr>
          <w:rFonts w:ascii="Times New Roman" w:cs="Times New Roman" w:eastAsia="Times New Roman" w:hAnsi="Times New Roman"/>
          <w:sz w:val="18"/>
          <w:szCs w:val="18"/>
          <w:color w:val="auto"/>
        </w:rPr>
        <w:t>Under the 1940 Act, a BDC generally is not permitted to incur borrowings, issue debt securities or issue preferred shares unless immediately after the borrowing or issuance the ratio of total assets (less total liabilities other than indebtedness) to total indebtedness plus preferred shares is at least 150%.</w:t>
      </w:r>
    </w:p>
    <w:p>
      <w:pPr>
        <w:spacing w:after="0" w:line="162" w:lineRule="exact"/>
        <w:rPr>
          <w:sz w:val="20"/>
          <w:szCs w:val="20"/>
          <w:color w:val="auto"/>
        </w:rPr>
      </w:pPr>
    </w:p>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We are permitted, under specified conditions, to issue multiple classes of indebtedness and one class of shares senior to our Common Shares if our asset coverage, as defined in the 1940 Act, is at least equal to 150% immediately after any borrowing or</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1" w:name="page22"/>
    <w:bookmarkEnd w:id="21"/>
    <w:p>
      <w:pPr>
        <w:ind w:right="140"/>
        <w:spacing w:after="0" w:line="266" w:lineRule="auto"/>
        <w:rPr>
          <w:sz w:val="20"/>
          <w:szCs w:val="20"/>
          <w:color w:val="auto"/>
        </w:rPr>
      </w:pPr>
      <w:r>
        <w:rPr>
          <w:rFonts w:ascii="Times New Roman" w:cs="Times New Roman" w:eastAsia="Times New Roman" w:hAnsi="Times New Roman"/>
          <w:sz w:val="18"/>
          <w:szCs w:val="18"/>
          <w:color w:val="auto"/>
        </w:rPr>
        <w:t>issuance. In addition, while any preferred shares or publicly-traded debt securities are outstanding, we may be prohibited from making distributions to our shareholders or repurchasing securities or shares unless we meet the applicable asset coverage ratio at the time of the distribution or repurchase. We may also borrow amounts up to 5% of the value of our total assets for temporary or emergency purposes without regard to asset coverage.</w:t>
      </w:r>
    </w:p>
    <w:p>
      <w:pPr>
        <w:spacing w:after="0" w:line="176" w:lineRule="exact"/>
        <w:rPr>
          <w:sz w:val="20"/>
          <w:szCs w:val="20"/>
          <w:color w:val="auto"/>
        </w:rPr>
      </w:pPr>
    </w:p>
    <w:p>
      <w:pPr>
        <w:ind w:right="20" w:firstLine="255"/>
        <w:spacing w:after="0" w:line="282" w:lineRule="auto"/>
        <w:rPr>
          <w:sz w:val="20"/>
          <w:szCs w:val="20"/>
          <w:color w:val="auto"/>
        </w:rPr>
      </w:pPr>
      <w:r>
        <w:rPr>
          <w:rFonts w:ascii="Times New Roman" w:cs="Times New Roman" w:eastAsia="Times New Roman" w:hAnsi="Times New Roman"/>
          <w:sz w:val="18"/>
          <w:szCs w:val="18"/>
          <w:color w:val="auto"/>
        </w:rPr>
        <w:t>The 1940 Act imposes limitations on a BDC’s issuance of preferred shares, which is considered a “senior security” and thus is subject to the 150% asset coverage requirement described above.</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December 31, 2023 and 2022, our asset coverage was 245.6% and 201.6%, respectively.</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Code of Ethics</w:t>
      </w:r>
    </w:p>
    <w:p>
      <w:pPr>
        <w:spacing w:after="0" w:line="119" w:lineRule="exact"/>
        <w:rPr>
          <w:sz w:val="20"/>
          <w:szCs w:val="20"/>
          <w:color w:val="auto"/>
        </w:rPr>
      </w:pPr>
    </w:p>
    <w:p>
      <w:pPr>
        <w:ind w:right="160" w:firstLine="255"/>
        <w:spacing w:after="0" w:line="256" w:lineRule="auto"/>
        <w:rPr>
          <w:sz w:val="20"/>
          <w:szCs w:val="20"/>
          <w:color w:val="auto"/>
        </w:rPr>
      </w:pPr>
      <w:r>
        <w:rPr>
          <w:rFonts w:ascii="Times New Roman" w:cs="Times New Roman" w:eastAsia="Times New Roman" w:hAnsi="Times New Roman"/>
          <w:sz w:val="18"/>
          <w:szCs w:val="18"/>
          <w:color w:val="auto"/>
        </w:rPr>
        <w:t>As required by the Advisers Act and the 1940 Act, we and the Adviser have adopted codes of ethics which apply to, among others, our and our Adviser’s executive officers, including our Chief Executive Officer and Chief Financial Officer, as well as our Adviser’s officers, trustees and employees. The codes of ethics establish procedures for personal investments and restrict certain personal securities transactions. Personnel subject to the codes may invest in securities for their personal investment accounts, including securities that may be purchased or held by us, so long as such investments are made in accordance with the codes’ requirements. There have been no material changes to the codes or material waivers of the codes that apply to our Chief Executive Officer or Chief Financial Officer.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Compliance Policies and Procedures</w:t>
      </w:r>
    </w:p>
    <w:p>
      <w:pPr>
        <w:spacing w:after="0" w:line="119" w:lineRule="exact"/>
        <w:rPr>
          <w:sz w:val="20"/>
          <w:szCs w:val="20"/>
          <w:color w:val="auto"/>
        </w:rPr>
      </w:pPr>
    </w:p>
    <w:p>
      <w:pPr>
        <w:ind w:right="200" w:firstLine="255"/>
        <w:spacing w:after="0" w:line="266" w:lineRule="auto"/>
        <w:rPr>
          <w:sz w:val="20"/>
          <w:szCs w:val="20"/>
          <w:color w:val="auto"/>
        </w:rPr>
      </w:pPr>
      <w:r>
        <w:rPr>
          <w:rFonts w:ascii="Times New Roman" w:cs="Times New Roman" w:eastAsia="Times New Roman" w:hAnsi="Times New Roman"/>
          <w:sz w:val="18"/>
          <w:szCs w:val="18"/>
          <w:color w:val="auto"/>
        </w:rPr>
        <w:t>We and our Adviser have adopted and implemented written policies and procedures reasonably designed to detect and prevent violation of the federal securities laws and we are required to review these compliance policies and procedures annually for their adequacy and the effectiveness of their implementation and designate a Chief Compliance Officer to be responsible for administering the policies and procedures.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Sarbanes-Oxley Act of 2002</w:t>
      </w:r>
    </w:p>
    <w:p>
      <w:pPr>
        <w:spacing w:after="0" w:line="119" w:lineRule="exact"/>
        <w:rPr>
          <w:sz w:val="20"/>
          <w:szCs w:val="20"/>
          <w:color w:val="auto"/>
        </w:rPr>
      </w:pPr>
    </w:p>
    <w:p>
      <w:pPr>
        <w:ind w:right="260" w:firstLine="255"/>
        <w:spacing w:after="0" w:line="282" w:lineRule="auto"/>
        <w:rPr>
          <w:sz w:val="20"/>
          <w:szCs w:val="20"/>
          <w:color w:val="auto"/>
        </w:rPr>
      </w:pPr>
      <w:r>
        <w:rPr>
          <w:rFonts w:ascii="Times New Roman" w:cs="Times New Roman" w:eastAsia="Times New Roman" w:hAnsi="Times New Roman"/>
          <w:sz w:val="18"/>
          <w:szCs w:val="18"/>
          <w:color w:val="auto"/>
        </w:rPr>
        <w:t>The Sarbanes-Oxley Act of 2002 imposes a wide variety of regulatory requirements on certain publicly held companies and their insiders. Assuming certain requirements are met, many of these requirements affect us. For example:</w:t>
      </w:r>
    </w:p>
    <w:p>
      <w:pPr>
        <w:spacing w:after="0" w:line="54" w:lineRule="exact"/>
        <w:rPr>
          <w:sz w:val="20"/>
          <w:szCs w:val="20"/>
          <w:color w:val="auto"/>
        </w:rPr>
      </w:pPr>
    </w:p>
    <w:p>
      <w:pPr>
        <w:ind w:left="520" w:right="740" w:hanging="257"/>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13a-14 of the Exchange Act, our Chief Executive Officer and Chief Financial Officer certify the accuracy of the financial statements contained in our periodic reports;</w:t>
      </w:r>
    </w:p>
    <w:p>
      <w:pPr>
        <w:spacing w:after="0" w:line="53" w:lineRule="exact"/>
        <w:rPr>
          <w:rFonts w:ascii="Times New Roman" w:cs="Times New Roman" w:eastAsia="Times New Roman" w:hAnsi="Times New Roman"/>
          <w:sz w:val="18"/>
          <w:szCs w:val="18"/>
          <w:color w:val="auto"/>
        </w:rPr>
      </w:pPr>
    </w:p>
    <w:p>
      <w:pPr>
        <w:ind w:left="520" w:right="680" w:hanging="257"/>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307 of Regulation S-K, our periodic reports disclose our conclusions about the effectiveness of our disclosure controls and procedures;</w:t>
      </w:r>
    </w:p>
    <w:p>
      <w:pPr>
        <w:spacing w:after="0" w:line="53" w:lineRule="exact"/>
        <w:rPr>
          <w:rFonts w:ascii="Times New Roman" w:cs="Times New Roman" w:eastAsia="Times New Roman" w:hAnsi="Times New Roman"/>
          <w:sz w:val="18"/>
          <w:szCs w:val="18"/>
          <w:color w:val="auto"/>
        </w:rPr>
      </w:pPr>
    </w:p>
    <w:p>
      <w:pPr>
        <w:ind w:left="520" w:hanging="257"/>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13a-15 of the Exchange Act, subject to certain assumptions, our management is required to prepare an annual report regarding its assessment of our internal control over financial reporting, which is required to be audited by our independent registered public accounting firm; and</w:t>
      </w:r>
    </w:p>
    <w:p>
      <w:pPr>
        <w:spacing w:after="0" w:line="53" w:lineRule="exact"/>
        <w:rPr>
          <w:rFonts w:ascii="Times New Roman" w:cs="Times New Roman" w:eastAsia="Times New Roman" w:hAnsi="Times New Roman"/>
          <w:sz w:val="18"/>
          <w:szCs w:val="18"/>
          <w:color w:val="auto"/>
        </w:rPr>
      </w:pPr>
    </w:p>
    <w:p>
      <w:pPr>
        <w:ind w:left="520" w:right="120" w:hanging="257"/>
        <w:spacing w:after="0" w:line="266"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308 of Regulation S-K and Rule 13a-15 of the Exchange Act, our periodic reports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76" w:lineRule="exact"/>
        <w:rPr>
          <w:sz w:val="20"/>
          <w:szCs w:val="20"/>
          <w:color w:val="auto"/>
        </w:rPr>
      </w:pPr>
    </w:p>
    <w:p>
      <w:pPr>
        <w:ind w:right="220" w:firstLine="255"/>
        <w:spacing w:after="0" w:line="266" w:lineRule="auto"/>
        <w:rPr>
          <w:sz w:val="20"/>
          <w:szCs w:val="20"/>
          <w:color w:val="auto"/>
        </w:rPr>
      </w:pPr>
      <w:r>
        <w:rPr>
          <w:rFonts w:ascii="Times New Roman" w:cs="Times New Roman" w:eastAsia="Times New Roman" w:hAnsi="Times New Roman"/>
          <w:sz w:val="18"/>
          <w:szCs w:val="18"/>
          <w:color w:val="auto"/>
        </w:rPr>
        <w:t>The Sarbanes-Oxley Act requires us to review our policies and procedures to determine whether we comply with the Sarbanes-Oxley Act and the regulations promulgated thereunder. We continue to monitor our compliance with all regulations that are adopted under the Sarbanes-Oxley Act and take actions necessary to ensure that we are in compliance therewith.</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Proxy Voting Policies and Procedures</w:t>
      </w:r>
    </w:p>
    <w:p>
      <w:pPr>
        <w:spacing w:after="0" w:line="119" w:lineRule="exact"/>
        <w:rPr>
          <w:sz w:val="20"/>
          <w:szCs w:val="20"/>
          <w:color w:val="auto"/>
        </w:rPr>
      </w:pPr>
    </w:p>
    <w:p>
      <w:pPr>
        <w:ind w:right="780" w:firstLine="255"/>
        <w:spacing w:after="0" w:line="282" w:lineRule="auto"/>
        <w:rPr>
          <w:sz w:val="20"/>
          <w:szCs w:val="20"/>
          <w:color w:val="auto"/>
        </w:rPr>
      </w:pPr>
      <w:r>
        <w:rPr>
          <w:rFonts w:ascii="Times New Roman" w:cs="Times New Roman" w:eastAsia="Times New Roman" w:hAnsi="Times New Roman"/>
          <w:sz w:val="18"/>
          <w:szCs w:val="18"/>
          <w:color w:val="auto"/>
        </w:rPr>
        <w:t>We delegate our proxy voting responsibility to our Adviser. The Proxy Voting Policies and Procedures of our Adviser are set forth below. The guidelines are reviewed periodically by the Adviser and our Independent Trustees, and, accordingly, are subject to change.</w:t>
      </w:r>
    </w:p>
    <w:p>
      <w:pPr>
        <w:spacing w:after="0" w:line="162"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An investment adviser registered under the Advisers Act has a fiduciary duty to act solely in the best interests of its clients. As part of this duty, the Adviser recognizes that it must vote client securities in a timely manner free of conflicts of interest and in the best interests of its clients. These policies and procedures for voting proxies for the Adviser’s investment advisory clients are intended to comply with Section 206 of, and Rule 206(4)-6 under, the Advisers Act.</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ind w:firstLine="255"/>
        <w:spacing w:after="0" w:line="253" w:lineRule="auto"/>
        <w:rPr>
          <w:sz w:val="20"/>
          <w:szCs w:val="20"/>
          <w:color w:val="auto"/>
        </w:rPr>
      </w:pPr>
      <w:r>
        <w:rPr>
          <w:rFonts w:ascii="Times New Roman" w:cs="Times New Roman" w:eastAsia="Times New Roman" w:hAnsi="Times New Roman"/>
          <w:sz w:val="18"/>
          <w:szCs w:val="18"/>
          <w:color w:val="auto"/>
        </w:rPr>
        <w:t>The Adviser will vote all proxies based upon the guiding principle of seeking the maximization of the ultimate long-term economic value of our shareholders’ holdings, and ultimately all votes are cast on a case-by-case basis, taking into consideration the contractual obligations under the relevant advisory agreements or comparable documents, and all other relevant facts and circumstances at the time of the vote. All proxy voting decisions will require a mandatory conflicts of interest review by our Chief Compliance Officer in accordance with these policies and procedures, which will include consideration of whether the Adviser or any investment professional or other person recommending how to vote the proxy has an interest in how the proxy is voted that may present a conflict of interest. It is the Adviser’s general policy to vote or give consent on all matters presented to security holders in any proxy, and these policies and procedures have been designed with that in mind. However, the Adviser reserves the right to abstain on any particular vote or otherwise withhold its vote or consent on any matter if, in the judgment of our Chief Compliance Officer or the relevant investment professional(s), the costs associated with voting such proxy outweigh the benefits to our shareholders or if the circumstances make such an abstention or withholding otherwise advisable and in the best interest of the relevant shareholder(s).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Privacy Principles</w:t>
      </w:r>
    </w:p>
    <w:p>
      <w:pPr>
        <w:spacing w:after="0" w:line="119" w:lineRule="exact"/>
        <w:rPr>
          <w:sz w:val="20"/>
          <w:szCs w:val="20"/>
          <w:color w:val="auto"/>
        </w:rPr>
      </w:pPr>
    </w:p>
    <w:p>
      <w:pPr>
        <w:ind w:right="180" w:firstLine="255"/>
        <w:spacing w:after="0" w:line="266" w:lineRule="auto"/>
        <w:rPr>
          <w:sz w:val="20"/>
          <w:szCs w:val="20"/>
          <w:color w:val="auto"/>
        </w:rPr>
      </w:pPr>
      <w:r>
        <w:rPr>
          <w:rFonts w:ascii="Times New Roman" w:cs="Times New Roman" w:eastAsia="Times New Roman" w:hAnsi="Times New Roman"/>
          <w:sz w:val="18"/>
          <w:szCs w:val="18"/>
          <w:color w:val="auto"/>
        </w:rPr>
        <w:t>We are committed to maintaining the confidentiality, integrity and security of nonpublic personal information relating to investors. The following information is provided to help investors understand what personal information we collect, how we protect that information and why, in certain cases, we may share information with select other parties.</w:t>
      </w:r>
    </w:p>
    <w:p>
      <w:pPr>
        <w:spacing w:after="0" w:line="176" w:lineRule="exact"/>
        <w:rPr>
          <w:sz w:val="20"/>
          <w:szCs w:val="20"/>
          <w:color w:val="auto"/>
        </w:rPr>
      </w:pPr>
    </w:p>
    <w:p>
      <w:pPr>
        <w:ind w:right="60" w:firstLine="255"/>
        <w:spacing w:after="0" w:line="254" w:lineRule="auto"/>
        <w:rPr>
          <w:sz w:val="20"/>
          <w:szCs w:val="20"/>
          <w:color w:val="auto"/>
        </w:rPr>
      </w:pPr>
      <w:r>
        <w:rPr>
          <w:rFonts w:ascii="Times New Roman" w:cs="Times New Roman" w:eastAsia="Times New Roman" w:hAnsi="Times New Roman"/>
          <w:sz w:val="18"/>
          <w:szCs w:val="18"/>
          <w:color w:val="auto"/>
        </w:rPr>
        <w:t>We generally will not receive any nonpublic personal information relating to shareholders who purchase Common Shares. We may collect nonpublic personal information regarding certain investors from sources such as subscription agreements, investor questionnaires and other forms; individual investors’ account histories; and correspondence between us and individual investors. We may share information that we collect regarding an investor with our affiliates and the employees of such affiliates for legitimate business purposes, for example, to service the investor’s accounts or provide the investor with information about other products and services offered by us or our affiliates that may be of interest to the investor. In addition, we may disclose information that we collect regarding investors to third parties who are not affiliated with us (i) as authorized by our investors in investor subscription agreements or our organizational documents; (ii) as required by law or in connection with regulatory or law enforcement inquiries; or, (iii) as otherwise permitted by law to the extent necessary to effect, administer or enforce investor transactions or our transactions.</w:t>
      </w:r>
    </w:p>
    <w:p>
      <w:pPr>
        <w:spacing w:after="0" w:line="192"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Any party that receives nonpublic personal information relating to investors from us is permitted to use the information only for legitimate business purposes or as otherwise required or permitted by applicable law or regulation. In this regard, our officers, employees and agents and those of our affiliates, access to such information is restricted to those who need such access to provide services to us and our investors. We maintain physical, electronic and procedural safeguards to seek to guard investor nonpublic personal information.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Reporting Obligations</w:t>
      </w:r>
    </w:p>
    <w:p>
      <w:pPr>
        <w:spacing w:after="0" w:line="119" w:lineRule="exact"/>
        <w:rPr>
          <w:sz w:val="20"/>
          <w:szCs w:val="20"/>
          <w:color w:val="auto"/>
        </w:rPr>
      </w:pPr>
    </w:p>
    <w:p>
      <w:pPr>
        <w:ind w:right="220" w:firstLine="255"/>
        <w:spacing w:after="0" w:line="266" w:lineRule="auto"/>
        <w:rPr>
          <w:sz w:val="20"/>
          <w:szCs w:val="20"/>
          <w:color w:val="auto"/>
        </w:rPr>
      </w:pPr>
      <w:r>
        <w:rPr>
          <w:rFonts w:ascii="Times New Roman" w:cs="Times New Roman" w:eastAsia="Times New Roman" w:hAnsi="Times New Roman"/>
          <w:sz w:val="18"/>
          <w:szCs w:val="18"/>
          <w:color w:val="auto"/>
        </w:rPr>
        <w:t>We will furnish our shareholders with annual reports containing audited financial statements, quarterly reports, and such other periodic reports, as we determine to be appropriate or as may be required by law. We are required to comply with all periodic reporting, proxy solicitation and other applicable requirements under the Exchange Act.</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Shareholders and the public may access the Company's public filings at www.sec.gov or obtain information by calling the SEC at (202) 551-8090.</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Regulated Investment Company Classification</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a BDC, we have elected to be treated as a RIC for U.S. federal income tax purposes.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 maintain our status as a RIC, we must, among other things:</w:t>
      </w:r>
    </w:p>
    <w:p>
      <w:pPr>
        <w:spacing w:after="0" w:line="117" w:lineRule="exact"/>
        <w:rPr>
          <w:sz w:val="20"/>
          <w:szCs w:val="20"/>
          <w:color w:val="auto"/>
        </w:rPr>
      </w:pPr>
    </w:p>
    <w:p>
      <w:pPr>
        <w:ind w:left="520" w:hanging="257"/>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election under the 1940 Act to be treated as a BDC;</w:t>
      </w:r>
    </w:p>
    <w:p>
      <w:pPr>
        <w:spacing w:after="0" w:line="117" w:lineRule="exact"/>
        <w:rPr>
          <w:rFonts w:ascii="Times New Roman" w:cs="Times New Roman" w:eastAsia="Times New Roman" w:hAnsi="Times New Roman"/>
          <w:sz w:val="18"/>
          <w:szCs w:val="18"/>
          <w:color w:val="auto"/>
        </w:rPr>
      </w:pPr>
    </w:p>
    <w:p>
      <w:pPr>
        <w:ind w:left="520" w:right="180" w:hanging="257"/>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diversified holdings so that, subject to certain exceptions and cure periods, at the end of each quarter of our taxable year:</w:t>
      </w:r>
    </w:p>
    <w:p>
      <w:pPr>
        <w:spacing w:after="0" w:line="117" w:lineRule="exact"/>
        <w:rPr>
          <w:sz w:val="20"/>
          <w:szCs w:val="20"/>
          <w:color w:val="auto"/>
        </w:rPr>
      </w:pPr>
    </w:p>
    <w:p>
      <w:pPr>
        <w:ind w:left="780" w:right="100" w:hanging="263"/>
        <w:spacing w:after="0" w:line="266" w:lineRule="auto"/>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3" w:name="page24"/>
    <w:bookmarkEnd w:id="23"/>
    <w:p>
      <w:pPr>
        <w:ind w:left="780" w:right="240" w:hanging="263"/>
        <w:spacing w:after="0" w:line="266" w:lineRule="auto"/>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76" w:lineRule="exact"/>
        <w:rPr>
          <w:sz w:val="20"/>
          <w:szCs w:val="20"/>
          <w:color w:val="auto"/>
        </w:rPr>
      </w:pPr>
    </w:p>
    <w:p>
      <w:pPr>
        <w:ind w:right="100" w:firstLine="255"/>
        <w:spacing w:after="0" w:line="256" w:lineRule="auto"/>
        <w:rPr>
          <w:sz w:val="20"/>
          <w:szCs w:val="20"/>
          <w:color w:val="auto"/>
        </w:rPr>
      </w:pPr>
      <w:r>
        <w:rPr>
          <w:rFonts w:ascii="Times New Roman" w:cs="Times New Roman" w:eastAsia="Times New Roman" w:hAnsi="Times New Roman"/>
          <w:sz w:val="18"/>
          <w:szCs w:val="18"/>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shareholders. In addition, to avoid the imposition of a nondeductible 4% U.S. federal excise tax, we must distribute (or be treated as distributing) in each calendar year an amount at least equal to the sum of:</w:t>
      </w:r>
    </w:p>
    <w:p>
      <w:pPr>
        <w:spacing w:after="0" w:line="79" w:lineRule="exact"/>
        <w:rPr>
          <w:sz w:val="20"/>
          <w:szCs w:val="20"/>
          <w:color w:val="auto"/>
        </w:rPr>
      </w:pPr>
    </w:p>
    <w:p>
      <w:pPr>
        <w:ind w:left="780" w:hanging="263"/>
        <w:spacing w:after="0"/>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and losses, recognized during a calendar year;</w:t>
      </w:r>
    </w:p>
    <w:p>
      <w:pPr>
        <w:spacing w:after="0" w:line="117" w:lineRule="exact"/>
        <w:rPr>
          <w:rFonts w:ascii="Times New Roman" w:cs="Times New Roman" w:eastAsia="Times New Roman" w:hAnsi="Times New Roman"/>
          <w:sz w:val="18"/>
          <w:szCs w:val="18"/>
          <w:color w:val="auto"/>
        </w:rPr>
      </w:pPr>
    </w:p>
    <w:p>
      <w:pPr>
        <w:ind w:left="780" w:right="120" w:hanging="263"/>
        <w:spacing w:after="0" w:line="282" w:lineRule="auto"/>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such calendar year; and</w:t>
      </w:r>
    </w:p>
    <w:p>
      <w:pPr>
        <w:spacing w:after="0" w:line="53"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any income or gains recognized, but not distributed, in preceding years.</w:t>
      </w:r>
    </w:p>
    <w:p>
      <w:pPr>
        <w:spacing w:after="0" w:line="225"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80" w:lineRule="exact"/>
        <w:rPr>
          <w:sz w:val="20"/>
          <w:szCs w:val="20"/>
          <w:color w:val="auto"/>
        </w:rPr>
      </w:pPr>
    </w:p>
    <w:p>
      <w:pPr>
        <w:ind w:right="240" w:firstLine="255"/>
        <w:spacing w:after="0" w:line="261" w:lineRule="auto"/>
        <w:rPr>
          <w:sz w:val="20"/>
          <w:szCs w:val="20"/>
          <w:color w:val="auto"/>
        </w:rPr>
      </w:pPr>
      <w:r>
        <w:rPr>
          <w:rFonts w:ascii="Times New Roman" w:cs="Times New Roman" w:eastAsia="Times New Roman" w:hAnsi="Times New Roman"/>
          <w:sz w:val="18"/>
          <w:szCs w:val="18"/>
          <w:color w:val="auto"/>
        </w:rPr>
        <w:t>We generally expect to distribute substantially all of our earnings on a quarterly basis, but will reinvest dividends on behalf of those investors that do not elect to receive their dividends in cash. See “—</w:t>
      </w:r>
      <w:r>
        <w:rPr>
          <w:rFonts w:ascii="Times New Roman" w:cs="Times New Roman" w:eastAsia="Times New Roman" w:hAnsi="Times New Roman"/>
          <w:sz w:val="18"/>
          <w:szCs w:val="18"/>
          <w:i w:val="1"/>
          <w:iCs w:val="1"/>
          <w:color w:val="auto"/>
        </w:rPr>
        <w:t>Dividend Policy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Dividend Reinvestment Plan</w:t>
      </w:r>
      <w:r>
        <w:rPr>
          <w:rFonts w:ascii="Times New Roman" w:cs="Times New Roman" w:eastAsia="Times New Roman" w:hAnsi="Times New Roman"/>
          <w:sz w:val="18"/>
          <w:szCs w:val="18"/>
          <w:color w:val="auto"/>
        </w:rPr>
        <w:t>” for a description of our dividend policy and obligations. One or more of the considerations described below, however, could result in the deferral of dividend distributions until the end of the fiscal year:</w:t>
      </w:r>
    </w:p>
    <w:p>
      <w:pPr>
        <w:spacing w:after="0" w:line="72" w:lineRule="exact"/>
        <w:rPr>
          <w:sz w:val="20"/>
          <w:szCs w:val="20"/>
          <w:color w:val="auto"/>
        </w:rPr>
      </w:pPr>
    </w:p>
    <w:p>
      <w:pPr>
        <w:ind w:left="520" w:hanging="257"/>
        <w:spacing w:after="0" w:line="266"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make investments that are subject to tax rules that require us to include amounts in our income before we receive cash corresponding to that income or that defer or limit our ability to claim the benefit of deductions or losses. For example, if we acquire securities issued with original issue discount, that original issue discount may be accrued in income before we receive any corresponding cash payments.</w:t>
      </w:r>
    </w:p>
    <w:p>
      <w:pPr>
        <w:spacing w:after="0" w:line="67" w:lineRule="exact"/>
        <w:rPr>
          <w:rFonts w:ascii="Times New Roman" w:cs="Times New Roman" w:eastAsia="Times New Roman" w:hAnsi="Times New Roman"/>
          <w:sz w:val="18"/>
          <w:szCs w:val="18"/>
          <w:color w:val="auto"/>
        </w:rPr>
      </w:pPr>
    </w:p>
    <w:p>
      <w:pPr>
        <w:ind w:left="520" w:right="80" w:hanging="257"/>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162" w:lineRule="exact"/>
        <w:rPr>
          <w:sz w:val="20"/>
          <w:szCs w:val="20"/>
          <w:color w:val="auto"/>
        </w:rPr>
      </w:pPr>
    </w:p>
    <w:p>
      <w:pPr>
        <w:ind w:right="120" w:firstLine="255"/>
        <w:spacing w:after="0" w:line="258" w:lineRule="auto"/>
        <w:rPr>
          <w:sz w:val="20"/>
          <w:szCs w:val="20"/>
          <w:color w:val="auto"/>
        </w:rPr>
      </w:pPr>
      <w:r>
        <w:rPr>
          <w:rFonts w:ascii="Times New Roman" w:cs="Times New Roman" w:eastAsia="Times New Roman" w:hAnsi="Times New Roman"/>
          <w:sz w:val="18"/>
          <w:szCs w:val="18"/>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83"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If in any particular taxable year, we do not qualify as a RIC, all of our taxable income (including our net capital gains) will be subject to tax at regular corporate rates without any deduction for distributions to shareholders, and distributions will be taxable to our shareholders as ordinary dividends to the extent of our current or accumulated earnings and profits, and distributions would not be required. Distributions in excess of our current and accumulated earnings and profits would be treated first as a return of capital to the extent of the shareholder’s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years.</w:t>
      </w:r>
    </w:p>
    <w:p>
      <w:pPr>
        <w:spacing w:after="0" w:line="192" w:lineRule="exact"/>
        <w:rPr>
          <w:sz w:val="20"/>
          <w:szCs w:val="20"/>
          <w:color w:val="auto"/>
        </w:rPr>
      </w:pPr>
    </w:p>
    <w:p>
      <w:pPr>
        <w:ind w:right="80" w:firstLine="255"/>
        <w:spacing w:after="0" w:line="282" w:lineRule="auto"/>
        <w:rPr>
          <w:sz w:val="20"/>
          <w:szCs w:val="20"/>
          <w:color w:val="auto"/>
        </w:rPr>
      </w:pPr>
      <w:r>
        <w:rPr>
          <w:rFonts w:ascii="Times New Roman" w:cs="Times New Roman" w:eastAsia="Times New Roman" w:hAnsi="Times New Roman"/>
          <w:sz w:val="18"/>
          <w:szCs w:val="18"/>
          <w:color w:val="auto"/>
        </w:rPr>
        <w:t>In the event we invest in foreign securities, we may be subject to withholding and other foreign taxes with respect to those securities. We do not expect to satisfy the conditions necessary to pass through to our shareholders their share of the foreign taxes paid by 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260" w:firstLine="255"/>
        <w:spacing w:after="0" w:line="282" w:lineRule="auto"/>
        <w:rPr>
          <w:sz w:val="20"/>
          <w:szCs w:val="20"/>
          <w:color w:val="auto"/>
        </w:rPr>
      </w:pPr>
      <w:r>
        <w:rPr>
          <w:rFonts w:ascii="Times New Roman" w:cs="Times New Roman" w:eastAsia="Times New Roman" w:hAnsi="Times New Roman"/>
          <w:sz w:val="18"/>
          <w:szCs w:val="18"/>
          <w:color w:val="auto"/>
        </w:rPr>
        <w:t>Investing in our securities involves a number of significant risks. Before you invest in our securities, you should be aware of various risks associated with the investment, including those described below. The risks set out below are not the only risks we face.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4" w:name="page25"/>
    <w:bookmarkEnd w:id="24"/>
    <w:p>
      <w:pPr>
        <w:spacing w:after="0" w:line="266" w:lineRule="auto"/>
        <w:rPr>
          <w:sz w:val="20"/>
          <w:szCs w:val="20"/>
          <w:color w:val="auto"/>
        </w:rPr>
      </w:pPr>
      <w:r>
        <w:rPr>
          <w:rFonts w:ascii="Times New Roman" w:cs="Times New Roman" w:eastAsia="Times New Roman" w:hAnsi="Times New Roman"/>
          <w:sz w:val="18"/>
          <w:szCs w:val="18"/>
          <w:color w:val="auto"/>
        </w:rPr>
        <w:t>Additional risks and uncertainties not presently known to us or not presently deemed material by us may also impair our operations and performance. If any of the following events occur, our business, financial condition and results of operations could be materially and adversely affected. In such case, our net asset value and the trading price of our securities could decline, and you may lose all or part of your investment.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principal risks that could adversely affect our business, operations and financial results.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Business and Structure</w:t>
      </w:r>
    </w:p>
    <w:p>
      <w:pPr>
        <w:spacing w:after="0" w:line="119" w:lineRule="exact"/>
        <w:rPr>
          <w:sz w:val="20"/>
          <w:szCs w:val="20"/>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relatively new company and have a limited operating history.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Trustees may amend our Declaration of Trust without prior shareholder approval.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management personnel of the Adviser, Sixth Street and their affiliates for our future success.</w:t>
      </w:r>
    </w:p>
    <w:p>
      <w:pPr>
        <w:spacing w:after="0" w:line="117" w:lineRule="exact"/>
        <w:rPr>
          <w:rFonts w:ascii="Times New Roman" w:cs="Times New Roman" w:eastAsia="Times New Roman" w:hAnsi="Times New Roman"/>
          <w:sz w:val="18"/>
          <w:szCs w:val="18"/>
          <w:color w:val="auto"/>
        </w:rPr>
      </w:pPr>
    </w:p>
    <w:p>
      <w:pPr>
        <w:ind w:left="760" w:right="4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significant regulations governing our operation as a BDC, which affect our ability to, and the way in which we, raise additional capital. Changes in regulation could adversely affect our business.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borrow money, which magnifies the potential for gain or loss and increases the risk of investing in us.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market for investment opportunities.</w:t>
      </w:r>
    </w:p>
    <w:p>
      <w:pPr>
        <w:spacing w:after="0" w:line="117" w:lineRule="exact"/>
        <w:rPr>
          <w:rFonts w:ascii="Times New Roman" w:cs="Times New Roman" w:eastAsia="Times New Roman" w:hAnsi="Times New Roman"/>
          <w:sz w:val="18"/>
          <w:szCs w:val="18"/>
          <w:color w:val="auto"/>
        </w:rPr>
      </w:pPr>
    </w:p>
    <w:p>
      <w:pPr>
        <w:ind w:left="760" w:right="52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source investments, access financing or manage future growth effectively, we may be unable to achieve our investment objective.</w:t>
      </w:r>
    </w:p>
    <w:p>
      <w:pPr>
        <w:spacing w:after="0" w:line="53" w:lineRule="exact"/>
        <w:rPr>
          <w:rFonts w:ascii="Times New Roman" w:cs="Times New Roman" w:eastAsia="Times New Roman" w:hAnsi="Times New Roman"/>
          <w:sz w:val="18"/>
          <w:szCs w:val="18"/>
          <w:color w:val="auto"/>
        </w:rPr>
      </w:pPr>
    </w:p>
    <w:p>
      <w:pPr>
        <w:ind w:left="760" w:right="58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in the event the value of your investment declines, the Management Fee and, in certain circumstances, the Incentive Fee will still be payable to the Adviser.</w:t>
      </w:r>
    </w:p>
    <w:p>
      <w:pPr>
        <w:spacing w:after="0" w:line="53"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do not realize income or choose not to retain after-tax realized net capital gains, we will have a greater need for additional capital to fund our investments and operating expenses.</w:t>
      </w:r>
    </w:p>
    <w:p>
      <w:pPr>
        <w:spacing w:after="0" w:line="53"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53" w:lineRule="exact"/>
        <w:rPr>
          <w:rFonts w:ascii="Times New Roman" w:cs="Times New Roman" w:eastAsia="Times New Roman" w:hAnsi="Times New Roman"/>
          <w:sz w:val="18"/>
          <w:szCs w:val="18"/>
          <w:color w:val="auto"/>
        </w:rPr>
      </w:pPr>
    </w:p>
    <w:p>
      <w:pPr>
        <w:ind w:left="760" w:right="26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 be expected to retain some income and capital gains in excess of what is permissible for excise tax purposes and such amounts will be subject to 4% U.S. federal excise tax.</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Adviser and its affiliates, officers and employees may face certain conflicts of interest.</w:t>
      </w:r>
    </w:p>
    <w:p>
      <w:pPr>
        <w:spacing w:after="0" w:line="117" w:lineRule="exact"/>
        <w:rPr>
          <w:rFonts w:ascii="Times New Roman" w:cs="Times New Roman" w:eastAsia="Times New Roman" w:hAnsi="Times New Roman"/>
          <w:sz w:val="18"/>
          <w:szCs w:val="18"/>
          <w:color w:val="auto"/>
        </w:rPr>
      </w:pPr>
    </w:p>
    <w:p>
      <w:pPr>
        <w:ind w:left="760" w:right="100" w:hanging="378"/>
        <w:spacing w:after="0" w:line="266"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Adviser can resign on 60 days’ notice. We may not be able to find a suitable replacement within that time, resulting in a disruption in our operations and a loss of the benefits from our relationship with Sixth Street. Any new investment advisory agreement would require shareholder approval.</w:t>
      </w:r>
    </w:p>
    <w:p>
      <w:pPr>
        <w:spacing w:after="0" w:line="67" w:lineRule="exact"/>
        <w:rPr>
          <w:rFonts w:ascii="Times New Roman" w:cs="Times New Roman" w:eastAsia="Times New Roman" w:hAnsi="Times New Roman"/>
          <w:sz w:val="18"/>
          <w:szCs w:val="18"/>
          <w:color w:val="auto"/>
        </w:rPr>
      </w:pPr>
    </w:p>
    <w:p>
      <w:pPr>
        <w:ind w:left="760" w:right="56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maintain our status as a BDC would reduce our operating flexibility.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investors are limited in their ability to make significant investments in us.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and cyber incidents may adversely affect our business or those of our portfolio companies.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may change our investment objective, operating policies and strategies without prior notice or shareholder approval.</w:t>
      </w:r>
    </w:p>
    <w:p>
      <w:pPr>
        <w:spacing w:after="0" w:line="117" w:lineRule="exact"/>
        <w:rPr>
          <w:rFonts w:ascii="Times New Roman" w:cs="Times New Roman" w:eastAsia="Times New Roman" w:hAnsi="Times New Roman"/>
          <w:sz w:val="18"/>
          <w:szCs w:val="18"/>
          <w:color w:val="auto"/>
        </w:rPr>
      </w:pPr>
    </w:p>
    <w:p>
      <w:pPr>
        <w:ind w:left="760" w:right="20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rates of our debt investments to our portfolio companies and our indebtedness that extend beyond 2023 might be subject to change based on recent regulatory changes.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Economic Conditions</w:t>
      </w:r>
    </w:p>
    <w:p>
      <w:pPr>
        <w:spacing w:after="0" w:line="119" w:lineRule="exact"/>
        <w:rPr>
          <w:sz w:val="20"/>
          <w:szCs w:val="20"/>
          <w:color w:val="auto"/>
        </w:rPr>
      </w:pPr>
    </w:p>
    <w:p>
      <w:pPr>
        <w:ind w:left="760" w:right="64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state of the economy and financial markets increases the likelihood of adverse effects on our financial position and results of operations.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about financial stability could have a significant adverse effect on our business, results of operations and financial condition.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recessions or downturns could impair our portfolio companies and harm our operating results.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Risks Related to Our Portfolio Company Investments</w:t>
      </w:r>
    </w:p>
    <w:p>
      <w:pPr>
        <w:spacing w:after="0" w:line="119" w:lineRule="exact"/>
        <w:rPr>
          <w:sz w:val="20"/>
          <w:szCs w:val="20"/>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are very risky and highly speculative.</w:t>
      </w:r>
    </w:p>
    <w:p>
      <w:pPr>
        <w:spacing w:after="0" w:line="117" w:lineRule="exact"/>
        <w:rPr>
          <w:rFonts w:ascii="Times New Roman" w:cs="Times New Roman" w:eastAsia="Times New Roman" w:hAnsi="Times New Roman"/>
          <w:sz w:val="18"/>
          <w:szCs w:val="18"/>
          <w:color w:val="auto"/>
        </w:rPr>
      </w:pPr>
    </w:p>
    <w:p>
      <w:pPr>
        <w:ind w:left="760" w:right="140" w:hanging="378"/>
        <w:spacing w:after="0" w:line="266"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liquidity in our investments may adversely affect our business.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securitize certain of our investments, which may subject us to certain structured financing risks.</w:t>
      </w:r>
    </w:p>
    <w:p>
      <w:pPr>
        <w:spacing w:after="0" w:line="117" w:lineRule="exact"/>
        <w:rPr>
          <w:rFonts w:ascii="Times New Roman" w:cs="Times New Roman" w:eastAsia="Times New Roman" w:hAnsi="Times New Roman"/>
          <w:sz w:val="18"/>
          <w:szCs w:val="18"/>
          <w:color w:val="auto"/>
        </w:rPr>
      </w:pPr>
    </w:p>
    <w:p>
      <w:pPr>
        <w:ind w:left="760" w:right="36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associated with changes in interest rates.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realize expected returns on our invested capital.</w:t>
      </w:r>
    </w:p>
    <w:p>
      <w:pPr>
        <w:spacing w:after="0" w:line="117" w:lineRule="exact"/>
        <w:rPr>
          <w:rFonts w:ascii="Times New Roman" w:cs="Times New Roman" w:eastAsia="Times New Roman" w:hAnsi="Times New Roman"/>
          <w:sz w:val="18"/>
          <w:szCs w:val="18"/>
          <w:color w:val="auto"/>
        </w:rPr>
      </w:pPr>
    </w:p>
    <w:p>
      <w:pPr>
        <w:ind w:left="760" w:right="28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originating loans to companies that are experiencing significant financial or business difficulties, we may be exposed to distressed lending risks.</w:t>
      </w:r>
    </w:p>
    <w:p>
      <w:pPr>
        <w:spacing w:after="0" w:line="53" w:lineRule="exact"/>
        <w:rPr>
          <w:rFonts w:ascii="Times New Roman" w:cs="Times New Roman" w:eastAsia="Times New Roman" w:hAnsi="Times New Roman"/>
          <w:sz w:val="18"/>
          <w:szCs w:val="18"/>
          <w:color w:val="auto"/>
        </w:rPr>
      </w:pPr>
    </w:p>
    <w:p>
      <w:pPr>
        <w:ind w:left="760" w:right="36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portfolio companies in some cases may incur debt or issue equity securities that rank equally with, or senior to, our investments in those companies and we may be exposed to special risks associated with bankruptcy cases.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make follow-on investments in our portfolio companies could impair the value of our investments.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transactions with our affiliates is restricted.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acquisitions or strategic investments that we pursue are subject to risks and uncertainties.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guarantee that we will be able to obtain various required licenses in U.S. states or in any other jurisdiction where they may be required in the future.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in foreign companies may involve significant risks in addition to the risks inherent in U.S. investments.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expose ourselves to risks when we engage in hedging transactions.</w:t>
      </w:r>
    </w:p>
    <w:p>
      <w:pPr>
        <w:spacing w:after="0" w:line="117" w:lineRule="exact"/>
        <w:rPr>
          <w:rFonts w:ascii="Times New Roman" w:cs="Times New Roman" w:eastAsia="Times New Roman" w:hAnsi="Times New Roman"/>
          <w:sz w:val="18"/>
          <w:szCs w:val="18"/>
          <w:color w:val="auto"/>
        </w:rPr>
      </w:pPr>
    </w:p>
    <w:p>
      <w:pPr>
        <w:ind w:left="760" w:right="48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market structure applicable to derivatives imposed by the Dodd-Frank Act may affect our ability to use over-the-counter (“OTC”) derivatives for hedging purposes.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cease to be eligible for an exemption from regulation as a commodity pool operator, our compliance expenses could increase substantially.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portfolio investments may present special tax issues.</w:t>
      </w:r>
    </w:p>
    <w:p>
      <w:pPr>
        <w:spacing w:after="0" w:line="117" w:lineRule="exact"/>
        <w:rPr>
          <w:rFonts w:ascii="Times New Roman" w:cs="Times New Roman" w:eastAsia="Times New Roman" w:hAnsi="Times New Roman"/>
          <w:sz w:val="18"/>
          <w:szCs w:val="18"/>
          <w:color w:val="auto"/>
        </w:rPr>
      </w:pPr>
    </w:p>
    <w:p>
      <w:pPr>
        <w:ind w:left="760" w:right="120" w:hanging="378"/>
        <w:spacing w:after="0" w:line="289" w:lineRule="auto"/>
        <w:tabs>
          <w:tab w:leader="none" w:pos="7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not treated as a publicly offered regulated investment company, certain U.S. shareholders will be treated as having received a dividend from us in the amount of such U.S. shareholders’ allocable share of the Management and Incentive Fees paid to our investment adviser and certain of our other expenses, and these fees and expenses will be treated as miscellaneous itemized deductions of such U.S. shareholders.</w:t>
      </w:r>
    </w:p>
    <w:p>
      <w:pPr>
        <w:spacing w:after="0" w:line="49"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certain risks associated with holding debt obligations that have original issue discount or payment-in-kind interest.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Securities</w:t>
      </w:r>
    </w:p>
    <w:p>
      <w:pPr>
        <w:spacing w:after="0" w:line="119" w:lineRule="exact"/>
        <w:rPr>
          <w:sz w:val="20"/>
          <w:szCs w:val="20"/>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in our Common Shares will have limited liquidity.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risk that investors in our Common Shares may not receive dividends or that our dividends may not grow over time.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our securities may involve a high degree of risk.</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shareholders will experience dilution in their ownership percentage if they opt out of our dividend reinvestment plan.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Risk Factors</w:t>
      </w:r>
    </w:p>
    <w:p>
      <w:pPr>
        <w:spacing w:after="0" w:line="119" w:lineRule="exact"/>
        <w:rPr>
          <w:sz w:val="20"/>
          <w:szCs w:val="20"/>
          <w:color w:val="auto"/>
        </w:rPr>
      </w:pPr>
    </w:p>
    <w:p>
      <w:pPr>
        <w:ind w:left="5540" w:right="3880" w:hanging="5158"/>
        <w:spacing w:after="0" w:line="407" w:lineRule="auto"/>
        <w:tabs>
          <w:tab w:leader="none" w:pos="76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governing our operations may adversely affect our business.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367665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6" w:name="page27"/>
    <w:bookmarkEnd w:id="26"/>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geopolitical conflicts and global climate change may impact us and our portfolio companies.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Structure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relatively new company and have a limited operating history.</w:t>
      </w:r>
    </w:p>
    <w:p>
      <w:pPr>
        <w:spacing w:after="0" w:line="229" w:lineRule="exact"/>
        <w:rPr>
          <w:sz w:val="20"/>
          <w:szCs w:val="20"/>
          <w:color w:val="auto"/>
        </w:rPr>
      </w:pPr>
    </w:p>
    <w:p>
      <w:pPr>
        <w:ind w:right="120" w:firstLine="255"/>
        <w:spacing w:after="0" w:line="255" w:lineRule="auto"/>
        <w:rPr>
          <w:sz w:val="20"/>
          <w:szCs w:val="20"/>
          <w:color w:val="auto"/>
        </w:rPr>
      </w:pPr>
      <w:r>
        <w:rPr>
          <w:rFonts w:ascii="Times New Roman" w:cs="Times New Roman" w:eastAsia="Times New Roman" w:hAnsi="Times New Roman"/>
          <w:sz w:val="18"/>
          <w:szCs w:val="18"/>
          <w:color w:val="auto"/>
        </w:rPr>
        <w:t>The Company is a non-diversified, closed-end management investment company that has elected to be regulated as a BDC with a limited operating history. As a result, prospective investors have a limited track record or history on which to base their investment decision. We are subject to the business risks and uncertainties associated with recently formed businesses, including the risk that we will not achieve our investment objective and the value of a shareholder’s investment could decline substantially or become worthless. Further, the Adviser has not previously offered a non-traded BDC. While we believe that the past professional experiences of the Adviser’s investment team, including investment and financial experience of the Adviser’s senior management, will increase the likelihood that the Adviser will be able to manage the Company successfully, there can be no assurance that this will be the case.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Board of Trustees may amend our Declaration of Trust without prior shareholder approval.</w:t>
      </w:r>
    </w:p>
    <w:p>
      <w:pPr>
        <w:spacing w:after="0" w:line="229" w:lineRule="exact"/>
        <w:rPr>
          <w:sz w:val="20"/>
          <w:szCs w:val="20"/>
          <w:color w:val="auto"/>
        </w:rPr>
      </w:pPr>
    </w:p>
    <w:p>
      <w:pPr>
        <w:ind w:right="20" w:firstLine="300"/>
        <w:spacing w:after="0" w:line="261" w:lineRule="auto"/>
        <w:rPr>
          <w:sz w:val="20"/>
          <w:szCs w:val="20"/>
          <w:color w:val="auto"/>
        </w:rPr>
      </w:pPr>
      <w:r>
        <w:rPr>
          <w:rFonts w:ascii="Times New Roman" w:cs="Times New Roman" w:eastAsia="Times New Roman" w:hAnsi="Times New Roman"/>
          <w:sz w:val="18"/>
          <w:szCs w:val="18"/>
          <w:color w:val="auto"/>
        </w:rPr>
        <w:t>Our Board of Trustees may, without shareholder vote, subject to certain exceptions, amend or otherwise supplement the Declaration of Trust by making an amendment, a Declaration of Trust supplemental thereto or an amended and restated Declaration of Trust, including without limitation to classify the Board of Trustees, to impose advance notice provisions for Trustee nominations or for shareholder proposals and to require super-majority approval of transactions with significant shareholders or other provisions that may be characterized as anti-takeover in nature.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management personnel of the Adviser, Sixth Street and their affiliates for our future success.</w:t>
      </w:r>
    </w:p>
    <w:p>
      <w:pPr>
        <w:spacing w:after="0" w:line="229"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We depend on the experience, diligence, skill and network of business contacts of senior members of our Investment Team. Our Investment Team, together with other professionals at Sixth Street and its affiliates, identifies, evaluates, negotiates, structures, closes, monitors and manages our investments. Our success will depend to a significant extent on the continued service and coordination of the senior members of our Investment Team. The senior members of our Investment Team are not contractually restricted from leaving the Adviser. The departure of any of these key personnel, including members of our Adviser’s Investment Review Committee, could have a material adverse effect on us.</w:t>
      </w:r>
    </w:p>
    <w:p>
      <w:pPr>
        <w:spacing w:after="0" w:line="183" w:lineRule="exact"/>
        <w:rPr>
          <w:sz w:val="20"/>
          <w:szCs w:val="20"/>
          <w:color w:val="auto"/>
        </w:rPr>
      </w:pPr>
    </w:p>
    <w:p>
      <w:pPr>
        <w:ind w:right="220" w:firstLine="255"/>
        <w:spacing w:after="0" w:line="261" w:lineRule="auto"/>
        <w:rPr>
          <w:sz w:val="20"/>
          <w:szCs w:val="20"/>
          <w:color w:val="auto"/>
        </w:rPr>
      </w:pPr>
      <w:r>
        <w:rPr>
          <w:rFonts w:ascii="Times New Roman" w:cs="Times New Roman" w:eastAsia="Times New Roman" w:hAnsi="Times New Roman"/>
          <w:sz w:val="18"/>
          <w:szCs w:val="18"/>
          <w:color w:val="auto"/>
        </w:rPr>
        <w:t>In addition, we cannot assure you that the Adviser will remain our investment adviser or that we will continue to have access to Sixth Street or its investment professionals. The Investment Advisory Agreement may be terminated by either party without penalty on 60 days’ written notice to the other party. The holders of a majority of our outstanding voting securities may also terminate the Investment Advisory Agreement without penalty on 60 days’ written notice.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governing our operation as a BDC affect our ability to, and the way in which we, raise additional capital.</w:t>
      </w:r>
    </w:p>
    <w:p>
      <w:pPr>
        <w:spacing w:after="0" w:line="227"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8"/>
          <w:szCs w:val="18"/>
          <w:color w:val="auto"/>
        </w:rPr>
        <w:t>The 1940 Act imposes numerous constraints on the operations of BDCs. See “</w:t>
      </w:r>
      <w:r>
        <w:rPr>
          <w:rFonts w:ascii="Times New Roman" w:cs="Times New Roman" w:eastAsia="Times New Roman" w:hAnsi="Times New Roman"/>
          <w:sz w:val="18"/>
          <w:szCs w:val="18"/>
          <w:i w:val="1"/>
          <w:iCs w:val="1"/>
          <w:color w:val="auto"/>
        </w:rPr>
        <w:t>ITEM 1. BUSINESS—Regulation as a Business Development Company</w:t>
      </w:r>
      <w:r>
        <w:rPr>
          <w:rFonts w:ascii="Times New Roman" w:cs="Times New Roman" w:eastAsia="Times New Roman" w:hAnsi="Times New Roman"/>
          <w:sz w:val="18"/>
          <w:szCs w:val="18"/>
          <w:color w:val="auto"/>
        </w:rPr>
        <w:t>” for a discussion of BDC limitations.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82"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We may need to periodically access the debt and equity capital markets to raise cash to fund new investments in excess of our repayments, and we may also need to access the capital markets to refinance existing debt obligations to the extent such maturing obligations are not repaid with availability under our revolving credit facilities or cash flows from operations.</w:t>
      </w:r>
    </w:p>
    <w:p>
      <w:pPr>
        <w:spacing w:after="0" w:line="176" w:lineRule="exact"/>
        <w:rPr>
          <w:sz w:val="20"/>
          <w:szCs w:val="20"/>
          <w:color w:val="auto"/>
        </w:rPr>
      </w:pPr>
    </w:p>
    <w:p>
      <w:pPr>
        <w:ind w:right="320" w:firstLine="255"/>
        <w:spacing w:after="0" w:line="261" w:lineRule="auto"/>
        <w:rPr>
          <w:sz w:val="20"/>
          <w:szCs w:val="20"/>
          <w:color w:val="auto"/>
        </w:rPr>
      </w:pPr>
      <w:r>
        <w:rPr>
          <w:rFonts w:ascii="Times New Roman" w:cs="Times New Roman" w:eastAsia="Times New Roman" w:hAnsi="Times New Roman"/>
          <w:sz w:val="18"/>
          <w:szCs w:val="18"/>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shareholders. The 1940 Act limits our ability to incur borrowings and issue debt securities and preferred shares, which we refer to as senior securities, requiring that after any borrowing or issuance the ratio of total assets (less total liabilities other than indebtedness) to total indebtedness plus preferred shares, is at least 150%.</w:t>
      </w:r>
    </w:p>
    <w:p>
      <w:pPr>
        <w:spacing w:after="0" w:line="180"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We may need to continue to borrow from financial institutions and issue additional securities to fund our growth. Unfavorable economic or capital market conditions may increase our funding costs, limit our access to the capital markets or could result in a decision by lenders not to extend credit to us. An inability to successfully access the capital markets may limit our ability to refinance our existing debt obligations as they come due and/or to fully execute our business strategy and could limit our ability to grow or cause us to have to shrink the size of our business, which could decrease our earnings, if any. Consequently, if the value of our assets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ind w:right="340"/>
        <w:spacing w:after="0" w:line="261" w:lineRule="auto"/>
        <w:rPr>
          <w:sz w:val="20"/>
          <w:szCs w:val="20"/>
          <w:color w:val="auto"/>
        </w:rPr>
      </w:pPr>
      <w:r>
        <w:rPr>
          <w:rFonts w:ascii="Times New Roman" w:cs="Times New Roman" w:eastAsia="Times New Roman" w:hAnsi="Times New Roman"/>
          <w:sz w:val="18"/>
          <w:szCs w:val="18"/>
          <w:color w:val="auto"/>
        </w:rPr>
        <w:t>declines or we are unable to access the capital markets we may be 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shareholders. If we borrow money or issue senior securities, we will be exposed to typical risks associated with leverage, including an increased risk of loss.</w:t>
      </w:r>
    </w:p>
    <w:p>
      <w:pPr>
        <w:spacing w:after="0" w:line="180" w:lineRule="exact"/>
        <w:rPr>
          <w:sz w:val="20"/>
          <w:szCs w:val="20"/>
          <w:color w:val="auto"/>
        </w:rPr>
      </w:pPr>
    </w:p>
    <w:p>
      <w:pPr>
        <w:ind w:right="20" w:firstLine="255"/>
        <w:spacing w:after="0" w:line="255" w:lineRule="auto"/>
        <w:rPr>
          <w:sz w:val="20"/>
          <w:szCs w:val="20"/>
          <w:color w:val="auto"/>
        </w:rPr>
      </w:pPr>
      <w:r>
        <w:rPr>
          <w:rFonts w:ascii="Times New Roman" w:cs="Times New Roman" w:eastAsia="Times New Roman" w:hAnsi="Times New Roman"/>
          <w:sz w:val="18"/>
          <w:szCs w:val="18"/>
          <w:color w:val="auto"/>
        </w:rPr>
        <w:t>If we issue preferred shares, the preferred shares would rank senior to Common Shares in our capital structure. Preferred shareholders would have separate voting rights on certain matters and may have other rights, preferences or privileges more favorable than those of our common shareholders. The issuance of preferred shares could have the effect of delaying, deferring or preventing a transaction or a change of control that might involve a premium price for holders of our Common Shares or otherwise be in the best interest of holders of our Common Shares. Holders of our Common Shares will directly or indirectly bear all of the costs associated with offering and servicing any preferred shares that we issue. In addition, any interests of preferred shareholders may not necessarily align with the interests of holders of our Common Shares and the rights of holders of shares of preferred shares to receive dividends would be senior to those of holders of our Common Shares.</w:t>
      </w:r>
    </w:p>
    <w:p>
      <w:pPr>
        <w:spacing w:after="0" w:line="189"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Our Board may decide to issue additional Common Shares to finance our operations rather than issuing debt or other senior securities. However, we generally are not able to issue and sell our Common Shares at a price below net asset value per share. We may, however, elect to issue and sell our Common Shares, or warrants, options or rights to acquire our Common Shares, at a price below the then-current net asset value of our Common Shares if our Board determines that the sale is in the Company’s best interest and the best interests of the Company’s shareholders, and the Company’s shareholders have approved our policy and practice of making these sales within the preceding 12 months. We may in the future seek such approval; however, there is no assurance such approval will be obtained. In any such case, the price at which our securities are to be issued and sold may not be less than a price that, in the determination of our Board, closely approximates the market value of those securities (less any distribution commission or discount). In the event we sell our Common Shares at a price below net asset value per share, existing shareholders will experience net asset value dilution. This dilution would occur as a result of the sale of shares at a price below the then current net asset value per share and would cause a proportionately greater decrease in the shareholders’ interest in our earnings and assets and their voting interest in us than the increase in our assets resulting from such issuance. As a result of any such dilution, our market price per share may decline. Because the number of Common Shares that could be so issued and the timing of any issuance is not currently known, the actual dilutive effect cannot be predicted.</w:t>
      </w:r>
    </w:p>
    <w:p>
      <w:pPr>
        <w:spacing w:after="0" w:line="190"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7"/>
          <w:szCs w:val="17"/>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 See “—</w:t>
      </w:r>
      <w:r>
        <w:rPr>
          <w:rFonts w:ascii="Times New Roman" w:cs="Times New Roman" w:eastAsia="Times New Roman" w:hAnsi="Times New Roman"/>
          <w:sz w:val="17"/>
          <w:szCs w:val="17"/>
          <w:i w:val="1"/>
          <w:iCs w:val="1"/>
          <w:color w:val="auto"/>
        </w:rPr>
        <w:t>Risks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Related to Our Portfolio Company Investments—We may securitize certain of our investments, which may subject us to certain structured financing risks</w:t>
      </w:r>
      <w:r>
        <w:rPr>
          <w:rFonts w:ascii="Times New Roman" w:cs="Times New Roman" w:eastAsia="Times New Roman" w:hAnsi="Times New Roman"/>
          <w:sz w:val="17"/>
          <w:szCs w:val="17"/>
          <w:color w:val="auto"/>
        </w:rPr>
        <w: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borrow money, which magnifies the potential for gain or loss and increases the risk of investing in us.</w:t>
      </w:r>
    </w:p>
    <w:p>
      <w:pPr>
        <w:spacing w:after="0" w:line="229"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As part of our business strategy, we borrow from and may in the future issue additional senior debt securities to banks, insurance companies and other lenders. Holders of these loans or senior securities would have fixed-dollar claims on our assets that have priority over the claims of our shareholders. If the value of our assets 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Shares. Our ability to service our borrowings depends largely on our financial performance and is 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See “</w:t>
      </w:r>
      <w:r>
        <w:rPr>
          <w:rFonts w:ascii="Times New Roman" w:cs="Times New Roman" w:eastAsia="Times New Roman" w:hAnsi="Times New Roman"/>
          <w:sz w:val="18"/>
          <w:szCs w:val="18"/>
          <w:i w:val="1"/>
          <w:iCs w:val="1"/>
          <w:color w:val="auto"/>
        </w:rPr>
        <w:t>—Risks Related to Our Business and Structure—Even in the event the value of your investment declines, the Management Fee and, in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circumstances, the Incentive Fee will still be payable to the Adviser</w:t>
      </w:r>
      <w:r>
        <w:rPr>
          <w:rFonts w:ascii="Times New Roman" w:cs="Times New Roman" w:eastAsia="Times New Roman" w:hAnsi="Times New Roman"/>
          <w:sz w:val="18"/>
          <w:szCs w:val="18"/>
          <w:color w:val="auto"/>
        </w:rPr>
        <w:t>.” The amount of leverage that we employ will depend on our Adviser’s and our Board’s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assessment of market and other factors at the time of any proposed borrowing. We cannot assure you that we will be able to obtain credit at all or on terms acceptable to us.</w:t>
      </w:r>
    </w:p>
    <w:p>
      <w:pPr>
        <w:spacing w:after="0" w:line="192" w:lineRule="exact"/>
        <w:rPr>
          <w:sz w:val="20"/>
          <w:szCs w:val="20"/>
          <w:color w:val="auto"/>
        </w:rPr>
      </w:pPr>
    </w:p>
    <w:p>
      <w:pPr>
        <w:ind w:right="540" w:firstLine="255"/>
        <w:spacing w:after="0" w:line="266" w:lineRule="auto"/>
        <w:rPr>
          <w:sz w:val="20"/>
          <w:szCs w:val="20"/>
          <w:color w:val="auto"/>
        </w:rPr>
      </w:pPr>
      <w:r>
        <w:rPr>
          <w:rFonts w:ascii="Times New Roman" w:cs="Times New Roman" w:eastAsia="Times New Roman" w:hAnsi="Times New Roman"/>
          <w:sz w:val="18"/>
          <w:szCs w:val="18"/>
          <w:color w:val="auto"/>
        </w:rPr>
        <w:t>Our credit facilities and indentures governing our indebtedness also impose financial and operating covenants that restrict our business activities, remedies on default and similar matters. As of the date of this Annual Report, we are in compliance with the covenants of our credit facilities and indentures. However, our continued compliance with these covenants depends on many factors,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8" w:name="page29"/>
    <w:bookmarkEnd w:id="28"/>
    <w:p>
      <w:pPr>
        <w:ind w:right="20"/>
        <w:spacing w:after="0" w:line="258" w:lineRule="auto"/>
        <w:rPr>
          <w:sz w:val="20"/>
          <w:szCs w:val="20"/>
          <w:color w:val="auto"/>
        </w:rPr>
      </w:pPr>
      <w:r>
        <w:rPr>
          <w:rFonts w:ascii="Times New Roman" w:cs="Times New Roman" w:eastAsia="Times New Roman" w:hAnsi="Times New Roman"/>
          <w:sz w:val="18"/>
          <w:szCs w:val="18"/>
          <w:color w:val="auto"/>
        </w:rPr>
        <w:t>some of which are beyond our control. Accordingly, although we believe we will continue to be in compliance, we cannot assure you that we will continue to comply with the covenants in our credit facilities and indentures.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183"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As of December 31, 2023, we had $1,248.0 million principal amount of outstanding indebtedness, which had an annualized interest cost of 7.5% under the terms of our debt, excluding fees (such as fees on undrawn amounts and amortization of upfront fees).</w:t>
      </w:r>
    </w:p>
    <w:p>
      <w:pPr>
        <w:spacing w:after="0" w:line="162" w:lineRule="exact"/>
        <w:rPr>
          <w:sz w:val="20"/>
          <w:szCs w:val="20"/>
          <w:color w:val="auto"/>
        </w:rPr>
      </w:pPr>
    </w:p>
    <w:p>
      <w:pPr>
        <w:ind w:right="140" w:firstLine="255"/>
        <w:spacing w:after="0" w:line="266" w:lineRule="auto"/>
        <w:rPr>
          <w:sz w:val="20"/>
          <w:szCs w:val="20"/>
          <w:color w:val="auto"/>
        </w:rPr>
      </w:pPr>
      <w:r>
        <w:rPr>
          <w:rFonts w:ascii="Times New Roman" w:cs="Times New Roman" w:eastAsia="Times New Roman" w:hAnsi="Times New Roman"/>
          <w:sz w:val="18"/>
          <w:szCs w:val="18"/>
          <w:color w:val="auto"/>
        </w:rPr>
        <w:t>For us to cover these annualized interest payments on indebtedness, we must achieve annual returns on our investments of at least 3.0%. Since we generally pay interest at a floating rate on our debt, an increase in interest rates will generally increase our borrowing costs. We expect that our annualized interest cost and returns required to cover interest will increase if we issue additional debt securities.</w:t>
      </w:r>
    </w:p>
    <w:p>
      <w:pPr>
        <w:spacing w:after="0" w:line="176"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In order to assist investors in understanding the effects of leverage, the following table illustrates the effect of leverage on returns from an investment in our Common Shares assuming various annual returns, net of expenses. Leverage generally magnifies the return of shareholders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Effects of Leverage Based on Actual Amount of Borrowings Incurred by us as of December 31, 2023</w:t>
      </w:r>
    </w:p>
    <w:p>
      <w:pPr>
        <w:spacing w:after="0" w:line="221"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4"/>
          <w:szCs w:val="14"/>
          <w:b w:val="1"/>
          <w:bCs w:val="1"/>
          <w:color w:val="auto"/>
        </w:rPr>
        <w:t>Assumed Return on Our Portfolio</w:t>
      </w:r>
    </w:p>
    <w:p>
      <w:pPr>
        <w:jc w:val="center"/>
        <w:ind w:left="5100"/>
        <w:spacing w:after="0" w:line="215" w:lineRule="auto"/>
        <w:rPr>
          <w:sz w:val="20"/>
          <w:szCs w:val="20"/>
          <w:color w:val="auto"/>
        </w:rPr>
      </w:pPr>
      <w:r>
        <w:rPr>
          <w:rFonts w:ascii="Times New Roman" w:cs="Times New Roman" w:eastAsia="Times New Roman" w:hAnsi="Times New Roman"/>
          <w:sz w:val="14"/>
          <w:szCs w:val="14"/>
          <w:b w:val="1"/>
          <w:bCs w:val="1"/>
          <w:color w:val="auto"/>
        </w:rPr>
        <w:t xml:space="preserve">(net of expenses) </w:t>
      </w:r>
      <w:r>
        <w:rPr>
          <w:rFonts w:ascii="Times New Roman" w:cs="Times New Roman" w:eastAsia="Times New Roman" w:hAnsi="Times New Roman"/>
          <w:sz w:val="19"/>
          <w:szCs w:val="19"/>
          <w:b w:val="1"/>
          <w:bCs w:val="1"/>
          <w:color w:val="auto"/>
          <w:vertAlign w:val="superscript"/>
        </w:rPr>
        <w:t>(1)</w:t>
      </w:r>
    </w:p>
    <w:tbl>
      <w:tblPr>
        <w:tblLayout w:type="fixed"/>
        <w:tblInd w:w="0" w:type="dxa"/>
        <w:tblCellMar>
          <w:top w:w="0" w:type="dxa"/>
          <w:left w:w="0" w:type="dxa"/>
          <w:bottom w:w="0" w:type="dxa"/>
          <w:right w:w="0" w:type="dxa"/>
        </w:tblCellMar>
      </w:tblPr>
      <w:tr>
        <w:trPr>
          <w:trHeight w:val="169"/>
        </w:trPr>
        <w:tc>
          <w:tcPr>
            <w:tcW w:w="5120" w:type="dxa"/>
            <w:vAlign w:val="bottom"/>
          </w:tcPr>
          <w:p>
            <w:pPr>
              <w:spacing w:after="0"/>
              <w:rPr>
                <w:sz w:val="14"/>
                <w:szCs w:val="14"/>
                <w:color w:val="auto"/>
              </w:rPr>
            </w:pPr>
          </w:p>
        </w:tc>
        <w:tc>
          <w:tcPr>
            <w:tcW w:w="11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-10%</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-5%</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0%</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5%</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10%</w:t>
            </w:r>
          </w:p>
        </w:tc>
      </w:tr>
      <w:tr>
        <w:trPr>
          <w:trHeight w:val="237"/>
        </w:trPr>
        <w:tc>
          <w:tcPr>
            <w:tcW w:w="5120" w:type="dxa"/>
            <w:vAlign w:val="bottom"/>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Corresponding return to shareholder </w:t>
            </w:r>
            <w:r>
              <w:rPr>
                <w:rFonts w:ascii="Times New Roman" w:cs="Times New Roman" w:eastAsia="Times New Roman" w:hAnsi="Times New Roman"/>
                <w:sz w:val="24"/>
                <w:szCs w:val="24"/>
                <w:color w:val="auto"/>
                <w:vertAlign w:val="superscript"/>
              </w:rPr>
              <w:t>(2)</w:t>
            </w:r>
          </w:p>
        </w:tc>
        <w:tc>
          <w:tcPr>
            <w:tcW w:w="11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(22.4%)</w:t>
            </w:r>
          </w:p>
        </w:tc>
        <w:tc>
          <w:tcPr>
            <w:tcW w:w="124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(13.8%)</w:t>
            </w:r>
          </w:p>
        </w:tc>
        <w:tc>
          <w:tcPr>
            <w:tcW w:w="124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(5.2%)</w:t>
            </w:r>
          </w:p>
        </w:tc>
        <w:tc>
          <w:tcPr>
            <w:tcW w:w="124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3.5%</w:t>
            </w:r>
          </w:p>
        </w:tc>
        <w:tc>
          <w:tcPr>
            <w:tcW w:w="124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12.1%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-165100</wp:posOffset>
            </wp:positionV>
            <wp:extent cx="68580" cy="11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-165100</wp:posOffset>
            </wp:positionV>
            <wp:extent cx="68580" cy="114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-165100</wp:posOffset>
            </wp:positionV>
            <wp:extent cx="68580" cy="11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-165100</wp:posOffset>
            </wp:positionV>
            <wp:extent cx="68580" cy="11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1430"/>
                    </a:xfrm>
                    <a:prstGeom prst="rect">
                      <a:avLst/>
                    </a:prstGeom>
                    <a:noFill/>
                  </pic:spPr>
                </pic:pic>
              </a:graphicData>
            </a:graphic>
          </wp:anchor>
        </w:drawing>
      </w:r>
    </w:p>
    <w:p>
      <w:pPr>
        <w:spacing w:after="0" w:line="178" w:lineRule="exact"/>
        <w:rPr>
          <w:sz w:val="20"/>
          <w:szCs w:val="20"/>
          <w:color w:val="auto"/>
        </w:rPr>
      </w:pPr>
    </w:p>
    <w:p>
      <w:pPr>
        <w:ind w:left="520" w:right="120" w:hanging="512"/>
        <w:spacing w:after="0" w:line="257"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assumed portfolio return is required by SEC regulations and is not a prediction of, and does not represent, our projected or actual performance. Actual returns may be greater or less than those appearing in the table. Pursuant to SEC regulations, this table is calculated as of December 31, 2023. As a result, it has not been updated to take into account any changes in assets or leverage since December 31, 2023.</w:t>
      </w:r>
    </w:p>
    <w:p>
      <w:pPr>
        <w:spacing w:after="0" w:line="1" w:lineRule="exact"/>
        <w:rPr>
          <w:rFonts w:ascii="Times New Roman" w:cs="Times New Roman" w:eastAsia="Times New Roman" w:hAnsi="Times New Roman"/>
          <w:sz w:val="18"/>
          <w:szCs w:val="18"/>
          <w:color w:val="auto"/>
        </w:rPr>
      </w:pPr>
    </w:p>
    <w:p>
      <w:pPr>
        <w:ind w:left="520" w:right="80" w:hanging="512"/>
        <w:spacing w:after="0" w:line="253"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compute the “Corresponding return to shareholder,” the “Assumed Return on Our Portfolio” is multiplied by the total value of our assets at December 31, 2023 to obtain an assumed return to us. From this amount, the interest expense (calculated by multiplying the weighted average annualized stated interest rate of 7.5% by the approximately $1,248.0 million of principal debt outstanding) is subtracted to determine the return available to shareholders. The return available to shareholders is then divided by the total value of our net assets as of December 31, 2023 to determine the “Corresponding return to shareholder.”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business, financial conditions or results of operations.</w:t>
      </w:r>
    </w:p>
    <w:p>
      <w:pPr>
        <w:spacing w:after="0" w:line="229"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8"/>
          <w:szCs w:val="18"/>
          <w:color w:val="auto"/>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shareholders or on terms that would not require us to breach the terms and conditions of our existing or future debt agreements.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Legislation allows us to incur additional leverage.</w:t>
      </w:r>
    </w:p>
    <w:p>
      <w:pPr>
        <w:spacing w:after="0" w:line="229"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Under the 1940 Act, a BDC generally is not permitted to incur borrowings, issue debt securities or issue preferred shares unless immediately after the borrowing or issuance the ratio of total assets (less total liabilities other than indebtedness) to total indebtedness plus preferred shares is at least 200%. However, under the SBCAA, which became law in March 2018, BDCs have the ability to elect to become subject to a lower asset coverage requirement of 150%, subject to the receipt of the requisite board or shareholder approvals under the SBCAA and satisfaction of certain other conditions.</w:t>
      </w:r>
    </w:p>
    <w:p>
      <w:pPr>
        <w:spacing w:after="0" w:line="176" w:lineRule="exact"/>
        <w:rPr>
          <w:sz w:val="20"/>
          <w:szCs w:val="20"/>
          <w:color w:val="auto"/>
        </w:rPr>
      </w:pPr>
    </w:p>
    <w:p>
      <w:pPr>
        <w:ind w:right="200" w:firstLine="255"/>
        <w:spacing w:after="0" w:line="286" w:lineRule="auto"/>
        <w:rPr>
          <w:sz w:val="20"/>
          <w:szCs w:val="20"/>
          <w:color w:val="auto"/>
        </w:rPr>
      </w:pPr>
      <w:r>
        <w:rPr>
          <w:rFonts w:ascii="Times New Roman" w:cs="Times New Roman" w:eastAsia="Times New Roman" w:hAnsi="Times New Roman"/>
          <w:sz w:val="18"/>
          <w:szCs w:val="18"/>
          <w:color w:val="auto"/>
        </w:rPr>
        <w:t>As a result, you may face increased investment risk. We may not be able to implement our strategy to utilize additional leverage successfully. See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 operate in a highly competitive environment for investment opportunities</w:t>
      </w:r>
      <w:r>
        <w:rPr>
          <w:rFonts w:ascii="Times New Roman" w:cs="Times New Roman" w:eastAsia="Times New Roman" w:hAnsi="Times New Roman"/>
          <w:sz w:val="18"/>
          <w:szCs w:val="18"/>
          <w:color w:val="auto"/>
        </w:rPr>
        <w:t>.” Any impact on returns or equity</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ind w:right="100"/>
        <w:spacing w:after="0" w:line="286" w:lineRule="auto"/>
        <w:rPr>
          <w:sz w:val="20"/>
          <w:szCs w:val="20"/>
          <w:color w:val="auto"/>
        </w:rPr>
      </w:pPr>
      <w:r>
        <w:rPr>
          <w:rFonts w:ascii="Times New Roman" w:cs="Times New Roman" w:eastAsia="Times New Roman" w:hAnsi="Times New Roman"/>
          <w:sz w:val="18"/>
          <w:szCs w:val="18"/>
          <w:color w:val="auto"/>
        </w:rPr>
        <w:t>or our business associated with additional leverage may not outweigh the additional risk. See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We borrow money, which magnifies the potential for gain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 loss and increases the risk of investing in us.</w:t>
      </w:r>
      <w:r>
        <w:rPr>
          <w:rFonts w:ascii="Times New Roman" w:cs="Times New Roman" w:eastAsia="Times New Roman" w:hAnsi="Times New Roman"/>
          <w:sz w:val="18"/>
          <w:szCs w:val="18"/>
          <w:color w:val="auto"/>
        </w:rPr>
        <w:t>”</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default under our future credit facilities.</w:t>
      </w:r>
    </w:p>
    <w:p>
      <w:pPr>
        <w:spacing w:after="0" w:line="229" w:lineRule="exact"/>
        <w:rPr>
          <w:sz w:val="20"/>
          <w:szCs w:val="20"/>
          <w:color w:val="auto"/>
        </w:rPr>
      </w:pPr>
    </w:p>
    <w:p>
      <w:pPr>
        <w:ind w:right="80" w:firstLine="255"/>
        <w:spacing w:after="0" w:line="256" w:lineRule="auto"/>
        <w:rPr>
          <w:sz w:val="20"/>
          <w:szCs w:val="20"/>
          <w:color w:val="auto"/>
        </w:rPr>
      </w:pPr>
      <w:r>
        <w:rPr>
          <w:rFonts w:ascii="Times New Roman" w:cs="Times New Roman" w:eastAsia="Times New Roman" w:hAnsi="Times New Roman"/>
          <w:sz w:val="18"/>
          <w:szCs w:val="18"/>
          <w:color w:val="auto"/>
        </w:rPr>
        <w:t>In the event we default under a credit facility or other borrowings, our business could be adversely affected as we may be forced to sell a portion of our investments quickly and prematurely at what may be disadvantageous prices to us in order to meet our outstanding payment obligations and/or support working capital requirements under such credit facility, any of which would have a material adverse effect on our business, financial condition, results of operations and cash flows. In addition, following any such default, the agent for the lenders under such borrowing facility could assume control of the disposition of any or all of our assets, including the selection of such assets to be disposed and the timing of such disposition, which would have a material adverse effect on our business, financial condition, results of operations and cash flows.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in a credit facility may limit our investment discretion.</w:t>
      </w:r>
    </w:p>
    <w:p>
      <w:pPr>
        <w:spacing w:after="0" w:line="229" w:lineRule="exact"/>
        <w:rPr>
          <w:sz w:val="20"/>
          <w:szCs w:val="20"/>
          <w:color w:val="auto"/>
        </w:rPr>
      </w:pPr>
    </w:p>
    <w:p>
      <w:pPr>
        <w:ind w:right="40" w:firstLine="255"/>
        <w:spacing w:after="0" w:line="254" w:lineRule="auto"/>
        <w:rPr>
          <w:sz w:val="20"/>
          <w:szCs w:val="20"/>
          <w:color w:val="auto"/>
        </w:rPr>
      </w:pPr>
      <w:r>
        <w:rPr>
          <w:rFonts w:ascii="Times New Roman" w:cs="Times New Roman" w:eastAsia="Times New Roman" w:hAnsi="Times New Roman"/>
          <w:sz w:val="18"/>
          <w:szCs w:val="18"/>
          <w:color w:val="auto"/>
        </w:rPr>
        <w:t>A credit facility may be backed by all or a portion of our loans and securities on which the lenders will have a security interest. We may pledge up to 100% of our assets and may grant a security interest in all of our assets under the terms of any debt instrument we enter into with lenders. We expect that any security interests we grant will be set forth in a pledge and security agreement and evidenced by the filing of financing statements by the agent for the lenders. In addition, we expect that the custodian for our securities serving as collateral for such loan would include in its electronic systems notices indicating the existence of such security interests and, following notice of occurrence of an event of default, if any, and during its continuance, will only accept transfer instructions with respect to any such securities from the lender or its designee. If we were to default under the terms of any debt instrument, the agent for the applicable lenders would be able to assume control of the timing of disposition of any or all of our assets securing such debt, which would have a material adverse effect on our business, financial condition, results of operations and cash flows.</w:t>
      </w:r>
    </w:p>
    <w:p>
      <w:pPr>
        <w:spacing w:after="0" w:line="192"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8"/>
          <w:szCs w:val="18"/>
          <w:color w:val="auto"/>
        </w:rPr>
        <w:t>In addition, any security interests and/or negative covenants required by a credit facility may limit our ability to create liens on assets to secure additional debt and may make it difficult for us to restructure or refinance indebtedness at or prior to maturity or obtain additional debt or equity financing. In addition, if our borrowing base under a credit facility were to decrease, we may be required to secure additional assets in an amount sufficient to cure any borrowing base deficiency. In the event that all of our assets are secured at the time of such a borrowing base deficiency, we could be required to repay advances under a credit facility or make deposits to a collection account, either of which could have a material adverse impact on our ability to fund future investments and to make distributions.</w:t>
      </w:r>
    </w:p>
    <w:p>
      <w:pPr>
        <w:spacing w:after="0" w:line="187"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In addition, we may be subject to limitations as to how borrowed funds may be used, which may include restrictions on geographic and industry concentrations, loan size, payment frequency and status, average life, collateral interests and investment ratings, as well as regulatory restrictions on leverage which may affect the amount of funding that may be obtained. There may also be certain requirements relating to portfolio performance, including required minimum portfolio yield and limitations on delinquencies and charge-offs, a violation of which could limit further advances and, in some cases, result in an event of default. An event of default under a credit facility could result in an accelerated maturity date for all amounts outstanding thereunder, which could have a material adverse effect on our business and financial condition. This could reduce our liquidity and cash flow and impair our ability to grow our business.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market for investment opportunities.</w:t>
      </w:r>
    </w:p>
    <w:p>
      <w:pPr>
        <w:spacing w:after="0" w:line="121"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Other public and private entities, including commercial banks, commercial financing companies, other BDCs and insurance companies compete with us to make the types of investments that we make in middle-market companies. Certain of these competitors may be substantially larger, have considerably greater financial, technical and marketing resources than we have and offer a wider array of financial services.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We may lose investment opportunities if we do not match our competitors’ pricing, terms and structure. If we match our competitors’ pricing, terms and structure, however, we may experience decreased net interest income and increased risk of credit loss.</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30" w:name="page31"/>
    <w:bookmarkEnd w:id="30"/>
    <w:p>
      <w:pPr>
        <w:ind w:firstLine="255"/>
        <w:spacing w:after="0" w:line="258" w:lineRule="auto"/>
        <w:rPr>
          <w:sz w:val="20"/>
          <w:szCs w:val="20"/>
          <w:color w:val="auto"/>
        </w:rPr>
      </w:pPr>
      <w:r>
        <w:rPr>
          <w:rFonts w:ascii="Times New Roman" w:cs="Times New Roman" w:eastAsia="Times New Roman" w:hAnsi="Times New Roman"/>
          <w:sz w:val="18"/>
          <w:szCs w:val="18"/>
          <w:color w:val="auto"/>
        </w:rPr>
        <w:t>In addition, many competitors are not subject to the regulatory restrictions that the 1940 Act imposes on us as a BDC or the restrictions that the Code imposes on us as a RIC. As a result, we face additional constraints on our operations, which may put us at a competitive disadvantage. As a result of this existing and potentially increasing competition, we may not be able to take advantage of attractive investment opportunities and we cannot assure you that we will be able to identify and make investments that are consistent with our investment objective. The competitive pressures we face could have a material adverse effect on our ability to achieve our investment objective.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source investments, access financing or manage future growth effectively, we may be unable to achieve our investment objective.</w:t>
      </w:r>
    </w:p>
    <w:p>
      <w:pPr>
        <w:spacing w:after="0" w:line="121" w:lineRule="exact"/>
        <w:rPr>
          <w:sz w:val="20"/>
          <w:szCs w:val="20"/>
          <w:color w:val="auto"/>
        </w:rPr>
      </w:pPr>
    </w:p>
    <w:p>
      <w:pPr>
        <w:jc w:val="both"/>
        <w:ind w:right="60" w:firstLine="255"/>
        <w:spacing w:after="0" w:line="272" w:lineRule="auto"/>
        <w:rPr>
          <w:sz w:val="20"/>
          <w:szCs w:val="20"/>
          <w:color w:val="auto"/>
        </w:rPr>
      </w:pPr>
      <w:r>
        <w:rPr>
          <w:rFonts w:ascii="Times New Roman" w:cs="Times New Roman" w:eastAsia="Times New Roman" w:hAnsi="Times New Roman"/>
          <w:sz w:val="17"/>
          <w:szCs w:val="17"/>
          <w:color w:val="auto"/>
        </w:rPr>
        <w:t>Our ability to achieve our investment objective depends on our Investment Team’s ability to identify, evaluate, finance and invest in suitable companies that meet our investment criteria. Accomplishing this result on a cost-effective basis is largely a function of our marketing capabilities, our management of the investment process, our ability to provide efficient services and our access to financing sources on acceptable terms, including equity financing.</w:t>
      </w:r>
    </w:p>
    <w:p>
      <w:pPr>
        <w:spacing w:after="0" w:line="2"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Moreover, our ability to structure investments may also depend upon the participation of other prospective investors. For example, our ability to offer loans above a certain size and to structure loans in a certain way may depend on our ability to partner with other investors. As a result, we could fail to capture some investment opportunities if we cannot provide “one-stop” financing to a potential portfolio company either alone or with other investment partners.</w:t>
      </w:r>
    </w:p>
    <w:p>
      <w:pPr>
        <w:spacing w:after="0" w:line="169"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In addition to monitoring the performance of our existing investments, members of our Investment Team may also be called upon to provide managerial assistance to our portfolio companies. These demands on their time may distract them or slow the rate of investment. To grow, our Adviser may need to hire, train, supervise and manage new employees. Failure to manage our future growth effectively could have a material adverse effect on our growth prospects and ability to achieve our investment objective.</w:t>
      </w:r>
    </w:p>
    <w:p>
      <w:pPr>
        <w:spacing w:after="0" w:line="28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in the event the value of your investment declines, the Management Fee and, in certain circumstances, the Incentive Fee will still be payable to the Adviser.</w:t>
      </w:r>
    </w:p>
    <w:p>
      <w:pPr>
        <w:spacing w:after="0" w:line="51"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However, prior to any Exchange Listing that may occur, the Adviser has waived its right to receive management fees in excess of the sum or 1.00% of the Company's average aggregate drawn capital (including capital drawn to pay Company expenses) as of the end of the two most recently completed calendar quarters, appropriately adjusted for any Common Share issuances or repurchases during the current calendar quarter. The fee waiver will terminate if and when the Company consummates an Exchange Listing. In addition, the Management Fee is payable regardless of whether the value of our gross assets or your investment have decreased. The use of increased leverage may increase the likelihood of default, which would disfavor holders of our Common Shares. Given the subjective nature of the investment decisions that our Adviser will make on our behalf, we may not be able to monitor this potential conflict of interest.</w:t>
      </w:r>
    </w:p>
    <w:p>
      <w:pPr>
        <w:spacing w:after="0" w:line="188" w:lineRule="exact"/>
        <w:rPr>
          <w:sz w:val="20"/>
          <w:szCs w:val="20"/>
          <w:color w:val="auto"/>
        </w:rPr>
      </w:pPr>
    </w:p>
    <w:p>
      <w:pPr>
        <w:ind w:right="60" w:firstLine="255"/>
        <w:spacing w:after="0" w:line="255" w:lineRule="auto"/>
        <w:rPr>
          <w:sz w:val="20"/>
          <w:szCs w:val="20"/>
          <w:color w:val="auto"/>
        </w:rPr>
      </w:pPr>
      <w:r>
        <w:rPr>
          <w:rFonts w:ascii="Times New Roman" w:cs="Times New Roman" w:eastAsia="Times New Roman" w:hAnsi="Times New Roman"/>
          <w:sz w:val="18"/>
          <w:szCs w:val="18"/>
          <w:color w:val="auto"/>
        </w:rPr>
        <w:t>The Incentive Fee is calculated as a percentage of pre-Incentive Fee net investment income. Since pre-Incentive Fee net investment income does not include any realized capital gains, realized capital losses or unrealized capital gains or losses,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89" w:lineRule="exact"/>
        <w:rPr>
          <w:sz w:val="20"/>
          <w:szCs w:val="20"/>
          <w:color w:val="auto"/>
        </w:rPr>
      </w:pPr>
    </w:p>
    <w:p>
      <w:pPr>
        <w:ind w:right="140" w:firstLine="255"/>
        <w:spacing w:after="0" w:line="261" w:lineRule="auto"/>
        <w:rPr>
          <w:sz w:val="20"/>
          <w:szCs w:val="20"/>
          <w:color w:val="auto"/>
        </w:rPr>
      </w:pPr>
      <w:r>
        <w:rPr>
          <w:rFonts w:ascii="Times New Roman" w:cs="Times New Roman" w:eastAsia="Times New Roman" w:hAnsi="Times New Roman"/>
          <w:sz w:val="18"/>
          <w:szCs w:val="18"/>
          <w:color w:val="auto"/>
        </w:rPr>
        <w:t>Also, one component of the Incentive Fee is calculated annually based upon our realized capital gains, computed net of realized capital losses and unrealized capital losses on a cumulative basis. As a result, we may owe the Adviser an Incentive Fee during one year as a result of realized capital gains on certain investments, and then incur significant realized capital losses and unrealized capital losses on the remaining investments in our portfolio during subsequent years. Incentive Fees earned in prior years cannot be clawed back even if we later incur losses.</w:t>
      </w:r>
    </w:p>
    <w:p>
      <w:pPr>
        <w:spacing w:after="0" w:line="180"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that we do not realize income or choose not to retain after-tax realized net capital gains, we will have a greater need for additional capital to fund our investments and operating expenses.</w:t>
      </w:r>
    </w:p>
    <w:p>
      <w:pPr>
        <w:spacing w:after="0" w:line="51" w:lineRule="exact"/>
        <w:rPr>
          <w:sz w:val="20"/>
          <w:szCs w:val="20"/>
          <w:color w:val="auto"/>
        </w:rPr>
      </w:pPr>
    </w:p>
    <w:p>
      <w:pPr>
        <w:ind w:right="80" w:firstLine="255"/>
        <w:spacing w:after="0" w:line="255" w:lineRule="auto"/>
        <w:rPr>
          <w:sz w:val="20"/>
          <w:szCs w:val="20"/>
          <w:color w:val="auto"/>
        </w:rPr>
      </w:pPr>
      <w:r>
        <w:rPr>
          <w:rFonts w:ascii="Times New Roman" w:cs="Times New Roman" w:eastAsia="Times New Roman" w:hAnsi="Times New Roman"/>
          <w:sz w:val="18"/>
          <w:szCs w:val="18"/>
          <w:color w:val="auto"/>
        </w:rPr>
        <w:t>To maintain RIC status for U.S. federal income tax purposes, we must distribute (or be treated as distributing) in each taxable year dividends for tax purposes equal to at least 90% of our investment company taxable income and net tax-exempt income for that taxable year, and may either distribute or retain our realized net capital gains from investments. Unless investors elect to reinvest dividends, earnings that we are required to distribute to shareholders will not be available to fund future investments. Accordingly, we may have insufficient funds to make new and follow-on investments, which could have a material adverse effect on our financial condition and results of operations. Because of the structure and objectives of our business, we may experience operating losses and expect to rely on proceeds from sales of investments, rather than on interest and dividend income, to pay our operating expenses. We cannot assure you that we will be able to sell our investments and thereby fund our operating expenses.</w:t>
      </w:r>
    </w:p>
    <w:p>
      <w:pPr>
        <w:spacing w:after="0" w:line="29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51" w:lineRule="exact"/>
        <w:rPr>
          <w:sz w:val="20"/>
          <w:szCs w:val="20"/>
          <w:color w:val="auto"/>
        </w:rPr>
      </w:pPr>
    </w:p>
    <w:p>
      <w:pPr>
        <w:jc w:val="both"/>
        <w:ind w:firstLine="255"/>
        <w:spacing w:after="0" w:line="281" w:lineRule="auto"/>
        <w:rPr>
          <w:sz w:val="20"/>
          <w:szCs w:val="20"/>
          <w:color w:val="auto"/>
        </w:rPr>
      </w:pPr>
      <w:r>
        <w:rPr>
          <w:rFonts w:ascii="Times New Roman" w:cs="Times New Roman" w:eastAsia="Times New Roman" w:hAnsi="Times New Roman"/>
          <w:sz w:val="17"/>
          <w:szCs w:val="17"/>
          <w:color w:val="auto"/>
        </w:rPr>
        <w:t>We will incur corporate-level U.S. federal income tax costs if we are unable to maintain our qualification as a RIC for U.S. federal income tax purposes, including as a result of our failure to satisfy the RIC distribution requirements. Although we have elected to be treated as a RIC for U.S. federal income tax purposes, we cannot assure you that we will be able to continue to qualify for and maintain RIC status. To maintain RIC status under the Code and to avoid corporate-level U.S. federal income tax, we must meet the following annual distribution, income source and asset diversification requirements:</w:t>
      </w:r>
    </w:p>
    <w:p>
      <w:pPr>
        <w:spacing w:after="0" w:line="56" w:lineRule="exact"/>
        <w:rPr>
          <w:sz w:val="20"/>
          <w:szCs w:val="20"/>
          <w:color w:val="auto"/>
        </w:rPr>
      </w:pPr>
    </w:p>
    <w:p>
      <w:pPr>
        <w:ind w:left="520" w:hanging="257"/>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distribute (or be treated as distributing) dividends for tax purposes in each taxable year equal to at least 90% of each of:</w:t>
      </w:r>
    </w:p>
    <w:p>
      <w:pPr>
        <w:spacing w:after="0" w:line="117" w:lineRule="exact"/>
        <w:rPr>
          <w:rFonts w:ascii="Times New Roman" w:cs="Times New Roman" w:eastAsia="Times New Roman" w:hAnsi="Times New Roman"/>
          <w:sz w:val="18"/>
          <w:szCs w:val="18"/>
          <w:color w:val="auto"/>
        </w:rPr>
      </w:pPr>
    </w:p>
    <w:p>
      <w:pPr>
        <w:ind w:left="520" w:right="640" w:hanging="257"/>
        <w:spacing w:after="0" w:line="282"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our net ordinary income and realized net short-term capital gains in excess of realized net long-term capital losses or, investment company taxable income, if any, for that taxable year; and</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tax-exempt income for that taxable year.</w:t>
      </w:r>
    </w:p>
    <w:p>
      <w:pPr>
        <w:spacing w:after="0" w:line="225" w:lineRule="exact"/>
        <w:rPr>
          <w:sz w:val="20"/>
          <w:szCs w:val="20"/>
          <w:color w:val="auto"/>
        </w:rPr>
      </w:pPr>
    </w:p>
    <w:p>
      <w:pPr>
        <w:ind w:right="280" w:firstLine="255"/>
        <w:spacing w:after="0" w:line="261" w:lineRule="auto"/>
        <w:rPr>
          <w:sz w:val="20"/>
          <w:szCs w:val="20"/>
          <w:color w:val="auto"/>
        </w:rPr>
      </w:pPr>
      <w:r>
        <w:rPr>
          <w:rFonts w:ascii="Times New Roman" w:cs="Times New Roman" w:eastAsia="Times New Roman" w:hAnsi="Times New Roman"/>
          <w:sz w:val="18"/>
          <w:szCs w:val="18"/>
          <w:color w:val="auto"/>
        </w:rPr>
        <w:t>The asset coverage ratio requirements under the 1940 Act and financial covenants under our loan and credit agreements could, under certain circumstances, restrict us from making distributions necessary to satisfy the distribution requirement. In addition, as discussed in more detail below, our income for tax purposes may exceed our available cash flow. If we are unable to obtain cash from other sources, we could fail to satisfy the distribution requirements that apply to a RIC. As a result, we could lose our RIC status and become subject to corporate-level U.S. federal income tax.</w:t>
      </w:r>
    </w:p>
    <w:p>
      <w:pPr>
        <w:spacing w:after="0" w:line="72" w:lineRule="exact"/>
        <w:rPr>
          <w:sz w:val="20"/>
          <w:szCs w:val="20"/>
          <w:color w:val="auto"/>
        </w:rPr>
      </w:pPr>
    </w:p>
    <w:p>
      <w:pPr>
        <w:ind w:left="520" w:right="160" w:hanging="257"/>
        <w:spacing w:after="0" w:line="282"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derive at least 90% of our gross income for each taxable year from dividends, interest, gains from the sale of or other disposition of stock or securities or similar sources.</w:t>
      </w:r>
    </w:p>
    <w:p>
      <w:pPr>
        <w:spacing w:after="0" w:line="53" w:lineRule="exact"/>
        <w:rPr>
          <w:rFonts w:ascii="Times New Roman" w:cs="Times New Roman" w:eastAsia="Times New Roman" w:hAnsi="Times New Roman"/>
          <w:sz w:val="18"/>
          <w:szCs w:val="18"/>
          <w:color w:val="auto"/>
        </w:rPr>
      </w:pPr>
    </w:p>
    <w:p>
      <w:pPr>
        <w:ind w:left="520" w:right="220" w:hanging="257"/>
        <w:spacing w:after="0" w:line="266"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meet specified asset diversification requirements at the end of each quarter of our taxable year. The need to satisfy these requirements to prevent the loss of RIC status may result in our having to dispose of certain investments quickly on unfavorable terms. Because most of our investments will be relatively illiquid, any such dispositions could be made at disadvantageous prices and could result in substantial losses.</w:t>
      </w:r>
    </w:p>
    <w:p>
      <w:pPr>
        <w:spacing w:after="0" w:line="176" w:lineRule="exact"/>
        <w:rPr>
          <w:sz w:val="20"/>
          <w:szCs w:val="20"/>
          <w:color w:val="auto"/>
        </w:rPr>
      </w:pPr>
    </w:p>
    <w:p>
      <w:pPr>
        <w:ind w:right="480" w:firstLine="255"/>
        <w:spacing w:after="0" w:line="282" w:lineRule="auto"/>
        <w:rPr>
          <w:sz w:val="20"/>
          <w:szCs w:val="20"/>
          <w:color w:val="auto"/>
        </w:rPr>
      </w:pPr>
      <w:r>
        <w:rPr>
          <w:rFonts w:ascii="Times New Roman" w:cs="Times New Roman" w:eastAsia="Times New Roman" w:hAnsi="Times New Roman"/>
          <w:sz w:val="18"/>
          <w:szCs w:val="18"/>
          <w:color w:val="auto"/>
        </w:rPr>
        <w:t>If we fail to maintain our qualification for tax treatment as a RIC for any reason, the resulting U.S. federal income tax liability could substantially reduce our net assets, the amount of income available for distribution, and the amount of our distributions.</w:t>
      </w:r>
    </w:p>
    <w:p>
      <w:pPr>
        <w:spacing w:after="0" w:line="26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 be expected to retain some income and capital gains in excess of what is permissible for excise tax purposes and such amounts will be subject to 4% U.S. federal excise tax.</w:t>
      </w:r>
    </w:p>
    <w:p>
      <w:pPr>
        <w:spacing w:after="0" w:line="159" w:lineRule="exact"/>
        <w:rPr>
          <w:sz w:val="20"/>
          <w:szCs w:val="20"/>
          <w:color w:val="auto"/>
        </w:rPr>
      </w:pPr>
    </w:p>
    <w:p>
      <w:pPr>
        <w:ind w:right="200" w:firstLine="255"/>
        <w:spacing w:after="0" w:line="256" w:lineRule="auto"/>
        <w:rPr>
          <w:sz w:val="20"/>
          <w:szCs w:val="20"/>
          <w:color w:val="auto"/>
        </w:rPr>
      </w:pPr>
      <w:r>
        <w:rPr>
          <w:rFonts w:ascii="Times New Roman" w:cs="Times New Roman" w:eastAsia="Times New Roman" w:hAnsi="Times New Roman"/>
          <w:sz w:val="18"/>
          <w:szCs w:val="18"/>
          <w:color w:val="auto"/>
        </w:rPr>
        <w:t>As of December 31, 2023 and 2022, we elected to retain approximately $89.5 and $9.1 million, of taxable income and capital gains, respectively, in order to provide us with additional liquidity and we recorded an expense of $1.5 and $0.2 million, respectively, for U.S. federal excise tax as a result. We can be expected to retain some income and capital gains in the future, including for purposes of providing us with additional liquidity, which amounts would similarly be subject to the 4% U.S. federal excise tax. In that event, we will be liable for the tax on the amount by which we do not meet the foregoing distribution requirement. See “</w:t>
      </w:r>
      <w:r>
        <w:rPr>
          <w:rFonts w:ascii="Times New Roman" w:cs="Times New Roman" w:eastAsia="Times New Roman" w:hAnsi="Times New Roman"/>
          <w:sz w:val="18"/>
          <w:szCs w:val="18"/>
          <w:i w:val="1"/>
          <w:iCs w:val="1"/>
          <w:color w:val="auto"/>
        </w:rPr>
        <w:t>ITEM 1. BUSINESS—Regulation as a Business Development Company—Regulated Investment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for more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changes in interest rates.</w:t>
      </w:r>
    </w:p>
    <w:p>
      <w:pPr>
        <w:spacing w:after="0" w:line="229"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The majority of our debt investments are based on floating rates, such as Euro Interbank Offer Rate (“EURIBOR”), Term Secured Overnight Financing Rate (“SOFR”), Sterling Overnight Interbank Average Rate (“SONIA”), the Federal Funds Rate or the Prime Rate. General interest rate fluctuations may have a substantial negative impact on our investments, the value of our Common Shares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2" w:name="page33"/>
    <w:bookmarkEnd w:id="32"/>
    <w:p>
      <w:pPr>
        <w:ind w:right="100"/>
        <w:spacing w:after="0" w:line="261" w:lineRule="auto"/>
        <w:rPr>
          <w:sz w:val="20"/>
          <w:szCs w:val="20"/>
          <w:color w:val="auto"/>
        </w:rPr>
      </w:pPr>
      <w:r>
        <w:rPr>
          <w:rFonts w:ascii="Times New Roman" w:cs="Times New Roman" w:eastAsia="Times New Roman" w:hAnsi="Times New Roman"/>
          <w:sz w:val="18"/>
          <w:szCs w:val="18"/>
          <w:color w:val="auto"/>
        </w:rPr>
        <w:t>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 obligations of our borrowers and result in challenges to their financial performance and ability to repay their obligations, adversely affecting the credit quality of our investments.</w:t>
      </w:r>
    </w:p>
    <w:p>
      <w:pPr>
        <w:spacing w:after="0" w:line="180"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8"/>
          <w:szCs w:val="18"/>
          <w:color w:val="auto"/>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Shares less attractive if we are not able to increase our dividend rate, which could reduce the value of our Common Shares. Federal Reserve policy, including with respect to certain interest rates and the decision to end its quantitative easing policy, may also adversely affect the value, volatility and liquidity of dividend- and interest-paying securities. Market volatility, rising interest rates and/or a return to unfavorable economic conditions could adversely affect our business.</w:t>
      </w:r>
    </w:p>
    <w:p>
      <w:pPr>
        <w:spacing w:after="0" w:line="187"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A rise in the general level of interest rates typically leads to higher interest rates applicable to our debt investments. Accordingly, an increase in interest rates may result in an increase in the amount of the Incentive Fee payable to the Adviser.</w:t>
      </w:r>
    </w:p>
    <w:p>
      <w:pPr>
        <w:ind w:right="180"/>
        <w:spacing w:after="0" w:line="260" w:lineRule="auto"/>
        <w:rPr>
          <w:sz w:val="20"/>
          <w:szCs w:val="20"/>
          <w:color w:val="auto"/>
        </w:rPr>
      </w:pPr>
      <w:r>
        <w:rPr>
          <w:rFonts w:ascii="Times New Roman" w:cs="Times New Roman" w:eastAsia="Times New Roman" w:hAnsi="Times New Roman"/>
          <w:sz w:val="18"/>
          <w:szCs w:val="18"/>
          <w:color w:val="auto"/>
        </w:rPr>
        <w:t>We may use interest rate risk management techniques in an effort to limit our exposure to interest rate fluctuations. These techniques may include various interest rate hedging activities to the extent permitted by the 1940 Act.</w:t>
      </w:r>
    </w:p>
    <w:p>
      <w:pPr>
        <w:spacing w:after="0" w:line="181" w:lineRule="exact"/>
        <w:rPr>
          <w:sz w:val="20"/>
          <w:szCs w:val="20"/>
          <w:color w:val="auto"/>
        </w:rPr>
      </w:pPr>
    </w:p>
    <w:p>
      <w:pPr>
        <w:jc w:val="both"/>
        <w:ind w:right="220" w:firstLine="255"/>
        <w:spacing w:after="0" w:line="266" w:lineRule="auto"/>
        <w:rPr>
          <w:sz w:val="20"/>
          <w:szCs w:val="20"/>
          <w:color w:val="auto"/>
        </w:rPr>
      </w:pPr>
      <w:r>
        <w:rPr>
          <w:rFonts w:ascii="Times New Roman" w:cs="Times New Roman" w:eastAsia="Times New Roman" w:hAnsi="Times New Roman"/>
          <w:sz w:val="18"/>
          <w:szCs w:val="18"/>
          <w:color w:val="auto"/>
        </w:rPr>
        <w:t>Our Subscription Facility is subject to variable rates that expose us to interest rate risk. We may also incur additional indebtedness subject to variable rates in the future. When interest rates increase, our debt service obligations on the variable rate indebtedness increase even though the amount borrowed remains the same.</w:t>
      </w:r>
    </w:p>
    <w:p>
      <w:pPr>
        <w:spacing w:after="0" w:line="176"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U.S. dollar borrowings under our Subscription Facility bear interest at a rate derived from SOFR. SOFR is a relatively new reference rate and has a very limited history. The future performance of SOFR cannot be predicted based on its limited historical performance. Since the initial publication of SOFR in April 2018, changes in SOFR have, on occasion, been more volatile than changes in other benchmark or market rates. The use of SOFR is relatively new, and there could be unanticipated difficulties or disruptions with the calculation and publication of SOFR. Additionally, any successor rate to SOFR under our revolving credit facility may not have the same characteristics as SOFR. As a result, the amount of interest we may pay on our revolving credit facility is difficult to predict.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Adviser and its affiliates, officers and employees may face certain conflicts of interest.</w:t>
      </w:r>
    </w:p>
    <w:p>
      <w:pPr>
        <w:spacing w:after="0" w:line="121" w:lineRule="exact"/>
        <w:rPr>
          <w:sz w:val="20"/>
          <w:szCs w:val="20"/>
          <w:color w:val="auto"/>
        </w:rPr>
      </w:pPr>
    </w:p>
    <w:p>
      <w:pPr>
        <w:ind w:right="160" w:firstLine="255"/>
        <w:spacing w:after="0" w:line="256" w:lineRule="auto"/>
        <w:rPr>
          <w:sz w:val="20"/>
          <w:szCs w:val="20"/>
          <w:color w:val="auto"/>
        </w:rPr>
      </w:pPr>
      <w:r>
        <w:rPr>
          <w:rFonts w:ascii="Times New Roman" w:cs="Times New Roman" w:eastAsia="Times New Roman" w:hAnsi="Times New Roman"/>
          <w:sz w:val="18"/>
          <w:szCs w:val="18"/>
          <w:color w:val="auto"/>
        </w:rPr>
        <w:t>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However, the Adviser, its officers and employees and members of its Investment Review Committee serve or may serve as investment advisers, officers, trustees or principals of entities or investment funds that operate in the same or a related line of business as us or of investment funds managed by our affiliates. Accordingly, these individuals may have obligations to investors in those entities or funds, the fulfillment of which might not be in our best interests or the best interests of our shareholders.</w:t>
      </w:r>
    </w:p>
    <w:p>
      <w:pPr>
        <w:spacing w:after="0" w:line="187"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In addition, any affiliated investment vehicle currently formed or formed in the future and managed by the Adviser or its affiliates, particularly in connection with any future growth of their respective businesses, may have overlapping investment objectives with our own and, accordingly, may invest in asset classes similar to those targeted by us. For example, Sixth Street has organized a separate investment vehicle, Sixth Street Specialty Lending Europe, aimed specifically at European middle-market loan originations and may in the future organize vehicles aimed at other loan origination opportunities outside our primary focus. Our ability to pursue investment opportunities other than middle-market loan originations for companies domiciled in the United States is subject to the contractual and other requirements of these other funds and allocation decisions by their respective senior professionals. As a result, the Adviser and its affiliates may face conflicts in allocating investment opportunities between us and those other entities. It is possible that we may not be given the opportunity to participate in certain investments made by those other entities that would otherwise be suitable for us.</w:t>
      </w:r>
    </w:p>
    <w:p>
      <w:pPr>
        <w:spacing w:after="0" w:line="192"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8"/>
          <w:szCs w:val="18"/>
          <w:color w:val="auto"/>
        </w:rPr>
        <w:t>On August 3, 2022, we, the Adviser and certain of our affiliates were granted an exemptive order from the SEC that allows us to co-invest, subject to certain conditions and to the extent the size of an investment opportunity exceeds the amount our Adviser has independently determined is appropriate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ind w:left="260"/>
        <w:spacing w:after="0"/>
        <w:rPr>
          <w:sz w:val="20"/>
          <w:szCs w:val="20"/>
          <w:color w:val="auto"/>
        </w:rPr>
      </w:pPr>
      <w:r>
        <w:rPr>
          <w:rFonts w:ascii="Times New Roman" w:cs="Times New Roman" w:eastAsia="Times New Roman" w:hAnsi="Times New Roman"/>
          <w:sz w:val="18"/>
          <w:szCs w:val="18"/>
          <w:color w:val="auto"/>
        </w:rPr>
        <w:t>We cannot assure you when or whether we will apply for any other exemptive relief in the future and whether such orders will be obtained.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enter into transactions with our affiliates is restricted.</w:t>
      </w:r>
    </w:p>
    <w:p>
      <w:pPr>
        <w:spacing w:after="0" w:line="229" w:lineRule="exact"/>
        <w:rPr>
          <w:sz w:val="20"/>
          <w:szCs w:val="20"/>
          <w:color w:val="auto"/>
        </w:rPr>
      </w:pPr>
    </w:p>
    <w:p>
      <w:pPr>
        <w:ind w:right="40" w:firstLine="255"/>
        <w:spacing w:after="0" w:line="254" w:lineRule="auto"/>
        <w:rPr>
          <w:sz w:val="20"/>
          <w:szCs w:val="20"/>
          <w:color w:val="auto"/>
        </w:rPr>
      </w:pPr>
      <w:r>
        <w:rPr>
          <w:rFonts w:ascii="Times New Roman" w:cs="Times New Roman" w:eastAsia="Times New Roman" w:hAnsi="Times New Roman"/>
          <w:sz w:val="18"/>
          <w:szCs w:val="18"/>
          <w:color w:val="auto"/>
        </w:rPr>
        <w:t>We are prohibited under the 1940 Act from participating in certain transactions with certain of our affiliates without the prior approval of our Independent Trustees and, in some cases, exemptive relief from the SEC. Any person that owns, directly or indirectly, 5% or more of our outstanding voting securities is our affiliate for purposes of the 1940 Act, and we generally are prohibited from buying or selling any security from or to such affiliate, absent the prior approval of our Independent Trustees. The 1940 Act also prohibits certain “joint” transactions with certain of our affiliates, which could include investments in the same portfolio company (whether at the same or different times), without prior approval of our Independent Trustees and, in some cases, exemptive relief from the SEC. If a person acquires more than 25% of our voting securities, we are prohibited from buying or selling any security from or to such person or certain of that person’s affiliates, or entering into prohibited joint transactions with such persons, absent the prior approval of the SEC. Similar restrictions limit our ability to transact business with our officers or trustees or their affiliates.</w:t>
      </w:r>
    </w:p>
    <w:p>
      <w:pPr>
        <w:spacing w:after="0" w:line="192"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The decision by Sixth Street, our Adviser or their affiliates to allocate an opportunity to another entity could cause us to forgo an investment opportunity that we otherwise would have made. We also generally will be unable to invest in any issuer in which Sixth Street and its other affiliates or a fund managed by Sixth Street or its other affiliates has previously invested or in which they are making an investment. Similar restrictions limit our ability to transact business with our officers or trustees or their affiliates. These restrictions may limit the scope of investment opportunities that would otherwise be available to us.</w:t>
      </w:r>
    </w:p>
    <w:p>
      <w:pPr>
        <w:spacing w:after="0" w:line="183"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On August 3, 2022, we, the Adviser and certain of our affiliates were granted an exemptive order from the SEC that allows us to co-invest, subject to certain conditions and to the extent the size of an investment opportunity exceeds the amount our Adviser has independently determined is appropriate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w:t>
      </w:r>
    </w:p>
    <w:p>
      <w:pPr>
        <w:spacing w:after="0" w:line="284" w:lineRule="exact"/>
        <w:rPr>
          <w:sz w:val="20"/>
          <w:szCs w:val="20"/>
          <w:color w:val="auto"/>
        </w:rPr>
      </w:pPr>
    </w:p>
    <w:p>
      <w:pPr>
        <w:ind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Adviser can resign on 60 days’ notice. We may not be able to find a suitable replacement within that time, resulting in a disruption in our operations and a loss of the benefits from our relationship with Sixth Street. Any new investment advisory agreement would require shareholder approval.</w:t>
      </w:r>
    </w:p>
    <w:p>
      <w:pPr>
        <w:spacing w:after="0" w:line="67"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The Adviser has the right, under the Investment Advisory Agreement and the Administration Agreement, to resign at any time on 60 days’ written notice, regardless of whether we have found a replacement. In addition, our Board has the authority to remove the Adviser for any reason or for no reason, or may choose not to renew the Investment Advisory Agreement and the Administration Agreement. Furthermore, the Investment Advisory Agreement automatically terminates in the event of its assignment, as defined in the 1940 Act, by the Adviser. If the Adviser resigns or is terminated, or if we do not obtain the requisite approvals of shareholders and our Board to approve an agreement with the Adviser after an assignment,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and costs under any new agreements that we enter into could increase. Our financial condition, business and results of operations, as well as our ability to pay dividends, are likely to be adversely affected, and the value of our Common Shares may decline.</w:t>
      </w:r>
    </w:p>
    <w:p>
      <w:pPr>
        <w:spacing w:after="0" w:line="188"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Any new Investment Advisory Agreement would be subject to approval by our shareholders. Even if we are able to enter into comparable management or administrative arrangements, the integration of a new adviser or administrator and their lack of familiarity with our investment objective may result in additional costs and time delays that may adversely affect our business, financial condition and results of operations.</w:t>
      </w:r>
    </w:p>
    <w:p>
      <w:pPr>
        <w:spacing w:after="0" w:line="176" w:lineRule="exact"/>
        <w:rPr>
          <w:sz w:val="20"/>
          <w:szCs w:val="20"/>
          <w:color w:val="auto"/>
        </w:rPr>
      </w:pPr>
    </w:p>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In addition, if the Adviser resigns or is terminated, we would lose the benefits of our relationship with Sixth Street, including insights into our existing portfolio, market expertise, sector and macroeconomic views and due diligence capabilities, as well as any investment opportunities referred to us.</w:t>
      </w:r>
    </w:p>
    <w:p>
      <w:pPr>
        <w:spacing w:after="0" w:line="26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51"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The Adviser has not assumed any responsibility to us other than to render the services described in the Investment Advisory Agreement, and it will not be responsible for any action of our Board in declining to follow the Adviser’s advice or recommendations. Pursuant to the Investment Advisory Agreement, the Adviser and its members, managers, officers, employees, agents, controlling persons and any other person or entity affiliated with it will not be liable to us for any action taken or omitted to be taken by the</w:t>
      </w:r>
    </w:p>
    <w:p>
      <w:pPr>
        <w:spacing w:after="0" w:line="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01" w:right="439" w:bottom="1440" w:gutter="0" w:footer="0" w:header="0"/>
        </w:sectPr>
      </w:pPr>
    </w:p>
    <w:bookmarkStart w:id="34" w:name="page35"/>
    <w:bookmarkEnd w:id="34"/>
    <w:p>
      <w:pPr>
        <w:ind w:right="260"/>
        <w:spacing w:after="0" w:line="266" w:lineRule="auto"/>
        <w:rPr>
          <w:sz w:val="20"/>
          <w:szCs w:val="20"/>
          <w:color w:val="auto"/>
        </w:rPr>
      </w:pPr>
      <w:r>
        <w:rPr>
          <w:rFonts w:ascii="Times New Roman" w:cs="Times New Roman" w:eastAsia="Times New Roman" w:hAnsi="Times New Roman"/>
          <w:sz w:val="18"/>
          <w:szCs w:val="18"/>
          <w:color w:val="auto"/>
        </w:rPr>
        <w:t>Adviser in connection with the performance of any of its duties or obligations under the Investment Advisory Agreement or otherwise as our investment adviser (except to the extent specified in Section 36(b) of the 1940 Act concerning loss resulting from a breach of fiduciary duty (as the same is finally determined by judicial proceedings) with respect to the receipt of compensation for services).</w:t>
      </w:r>
    </w:p>
    <w:p>
      <w:pPr>
        <w:spacing w:after="0" w:line="176" w:lineRule="exact"/>
        <w:rPr>
          <w:sz w:val="20"/>
          <w:szCs w:val="20"/>
          <w:color w:val="auto"/>
        </w:rPr>
      </w:pPr>
    </w:p>
    <w:p>
      <w:pPr>
        <w:ind w:right="40" w:firstLine="255"/>
        <w:spacing w:after="0" w:line="253" w:lineRule="auto"/>
        <w:rPr>
          <w:sz w:val="20"/>
          <w:szCs w:val="20"/>
          <w:color w:val="auto"/>
        </w:rPr>
      </w:pPr>
      <w:r>
        <w:rPr>
          <w:rFonts w:ascii="Times New Roman" w:cs="Times New Roman" w:eastAsia="Times New Roman" w:hAnsi="Times New Roman"/>
          <w:sz w:val="18"/>
          <w:szCs w:val="18"/>
          <w:color w:val="auto"/>
        </w:rPr>
        <w:t>We have agreed to the fullest extent permitted by law, to provide indemnification and the right to the advancement of expenses, to each person who was or is made a party or is threatened to be made a party to or is involved (including as a witness) in any actual or threatened action, suit or proceeding, whether civil, criminal, administrative or investigative, because he or she is or was a member, manager, officer, employee, agent, controlling person or any other person or entity affiliated with the Adviser with respect to all damages, liabilities, costs and expenses resulting from acts of the Adviser in the performance of the person’s duties under the Investment Advisory Agreement.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 Despite these limitations, the rights to indemnification and advancement of expenses may lead the Adviser and its members, managers, officers, employees, agents, controlling persons and other persons and entities affiliated with the Adviser to act in a riskier manner than they would when acting for their own account.</w:t>
      </w:r>
    </w:p>
    <w:p>
      <w:pPr>
        <w:spacing w:after="0" w:line="2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time and resources that individuals employed by the Adviser devote to us may be diverted and we may face additional competition due to the fact that individuals employed by the Adviser are not prohibited from raising money for or managing other entities that make the same types of investments that we target.</w:t>
      </w:r>
    </w:p>
    <w:p>
      <w:pPr>
        <w:spacing w:after="0" w:line="175" w:lineRule="exact"/>
        <w:rPr>
          <w:sz w:val="20"/>
          <w:szCs w:val="20"/>
          <w:color w:val="auto"/>
        </w:rPr>
      </w:pPr>
    </w:p>
    <w:p>
      <w:pPr>
        <w:ind w:right="140" w:firstLine="255"/>
        <w:spacing w:after="0" w:line="266" w:lineRule="auto"/>
        <w:rPr>
          <w:sz w:val="20"/>
          <w:szCs w:val="20"/>
          <w:color w:val="auto"/>
        </w:rPr>
      </w:pPr>
      <w:r>
        <w:rPr>
          <w:rFonts w:ascii="Times New Roman" w:cs="Times New Roman" w:eastAsia="Times New Roman" w:hAnsi="Times New Roman"/>
          <w:sz w:val="18"/>
          <w:szCs w:val="18"/>
          <w:color w:val="auto"/>
        </w:rPr>
        <w:t>The Adviser and individuals employed by the Adviser are generally not prohibited from raising capital for and managing other investment entities that make the same types of investments as those we target. As a result, the time and resources that these individuals may devote to us may be diverted. In addition, we may compete with any such investment entity for the same investors and investment opportunities.</w:t>
      </w:r>
    </w:p>
    <w:p>
      <w:pPr>
        <w:spacing w:after="0" w:line="280" w:lineRule="exact"/>
        <w:rPr>
          <w:sz w:val="20"/>
          <w:szCs w:val="20"/>
          <w:color w:val="auto"/>
        </w:rPr>
      </w:pPr>
    </w:p>
    <w:p>
      <w:pPr>
        <w:ind w:firstLine="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under the JOBS Act, and we cannot be certain if the reduced disclosure requirements applicable to emerging growth companies will make our securities less attractive to investors.</w:t>
      </w:r>
    </w:p>
    <w:p>
      <w:pPr>
        <w:spacing w:after="0" w:line="159" w:lineRule="exact"/>
        <w:rPr>
          <w:sz w:val="20"/>
          <w:szCs w:val="20"/>
          <w:color w:val="auto"/>
        </w:rPr>
      </w:pPr>
    </w:p>
    <w:p>
      <w:pPr>
        <w:ind w:right="40" w:firstLine="255"/>
        <w:spacing w:after="0" w:line="254" w:lineRule="auto"/>
        <w:rPr>
          <w:sz w:val="20"/>
          <w:szCs w:val="20"/>
          <w:color w:val="auto"/>
        </w:rPr>
      </w:pPr>
      <w:r>
        <w:rPr>
          <w:rFonts w:ascii="Times New Roman" w:cs="Times New Roman" w:eastAsia="Times New Roman" w:hAnsi="Times New Roman"/>
          <w:sz w:val="18"/>
          <w:szCs w:val="18"/>
          <w:color w:val="auto"/>
        </w:rPr>
        <w:t>We are and we will remain an “emerging growth company” as defined in the JOBS Act until the earlier of (a) the last day of the fiscal year (i) following the fifth anniversary of the completion of the initial offering, (ii) in which we have total annual gross revenue of at least $1 billion, or (iii) in which we are deemed to be a large accelerated filer, which means the market value of our Common Shares that is held by non-affiliates exceeds $700 million as of the prior June 30th, and (b) the date on which we have issued more than $1.07 billion in non-convertible debt during the prior three-year period. For so long as we remain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We cannot predict if investors will find our Common Shares less attractive because we will rely on some or all of these exemptions.</w:t>
      </w:r>
    </w:p>
    <w:p>
      <w:pPr>
        <w:spacing w:after="0" w:line="192"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of 1933, as amended (the “Securities Act”) for complying with new or revised accounting standards. In other words, an “emerging growth company” can delay the adoption of certain accounting standards until those standards would otherwise apply to private companies. We intend to take advantage of such extended transition periods.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status as an “emerging growth company” under the JOBS Act may make it more difficult to raise capital as and when we need it.</w:t>
      </w:r>
    </w:p>
    <w:p>
      <w:pPr>
        <w:spacing w:after="0" w:line="229" w:lineRule="exact"/>
        <w:rPr>
          <w:sz w:val="20"/>
          <w:szCs w:val="20"/>
          <w:color w:val="auto"/>
        </w:rPr>
      </w:pPr>
    </w:p>
    <w:p>
      <w:pPr>
        <w:ind w:right="160" w:firstLine="255"/>
        <w:spacing w:after="0" w:line="258" w:lineRule="auto"/>
        <w:rPr>
          <w:sz w:val="20"/>
          <w:szCs w:val="20"/>
          <w:color w:val="auto"/>
        </w:rPr>
      </w:pPr>
      <w:r>
        <w:rPr>
          <w:rFonts w:ascii="Times New Roman" w:cs="Times New Roman" w:eastAsia="Times New Roman" w:hAnsi="Times New Roman"/>
          <w:sz w:val="18"/>
          <w:szCs w:val="18"/>
          <w:color w:val="auto"/>
        </w:rPr>
        <w:t>Because of the exemptions from various reporting requirements provided to us as an “emerging growth company” and because we will have an extended transition period for complying with new or revised financial accounting standards, we may be less attractive to investors and it may be difficult for us to raise additional capital as and when we need it. Investors may be unable to compare our business with other companies in our industry if they believe that our financial accounting is not as transparent as other companies in our industry. If we are unable to raise additional capital as and when we need it, our financial condition and results of operations may be materially and adversely affected.</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to maintain our status as a BDC would reduce our operating flexibility.</w:t>
      </w:r>
    </w:p>
    <w:p>
      <w:pPr>
        <w:spacing w:after="0" w:line="229"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In addition, failure to comply with the requirements imposed on BDCs by the 1940 Act could cause the SEC to bring an enforcement action against 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fluctuations in our quarterly results.</w:t>
      </w:r>
    </w:p>
    <w:p>
      <w:pPr>
        <w:spacing w:after="0" w:line="229" w:lineRule="exact"/>
        <w:rPr>
          <w:sz w:val="20"/>
          <w:szCs w:val="20"/>
          <w:color w:val="auto"/>
        </w:rPr>
      </w:pPr>
    </w:p>
    <w:p>
      <w:pPr>
        <w:ind w:right="140" w:firstLine="255"/>
        <w:spacing w:after="0" w:line="261" w:lineRule="auto"/>
        <w:rPr>
          <w:sz w:val="20"/>
          <w:szCs w:val="20"/>
          <w:color w:val="auto"/>
        </w:rPr>
      </w:pPr>
      <w:r>
        <w:rPr>
          <w:rFonts w:ascii="Times New Roman" w:cs="Times New Roman" w:eastAsia="Times New Roman" w:hAnsi="Times New Roman"/>
          <w:sz w:val="18"/>
          <w:szCs w:val="18"/>
          <w:color w:val="auto"/>
        </w:rPr>
        <w:t>We may experience fluctuations in our quarterly operating results as a result of a number of factors, including the pace at which investments are made, rates of repayment, interest rates payable on investments, changes in realized and unrealized gains and losses, syndication and other fees, the level of our expenses and default rates on our investments. As a result of these and other possible factors, results for any period should not be relied upon as being indicative of performance in future periods.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investors are limited in their ability to make significant investments in us.</w:t>
      </w:r>
    </w:p>
    <w:p>
      <w:pPr>
        <w:spacing w:after="0" w:line="229" w:lineRule="exact"/>
        <w:rPr>
          <w:sz w:val="20"/>
          <w:szCs w:val="20"/>
          <w:color w:val="auto"/>
        </w:rPr>
      </w:pPr>
    </w:p>
    <w:p>
      <w:pPr>
        <w:ind w:right="440" w:firstLine="255"/>
        <w:spacing w:after="0" w:line="258" w:lineRule="auto"/>
        <w:rPr>
          <w:sz w:val="20"/>
          <w:szCs w:val="20"/>
          <w:color w:val="auto"/>
        </w:rPr>
      </w:pPr>
      <w:r>
        <w:rPr>
          <w:rFonts w:ascii="Times New Roman" w:cs="Times New Roman" w:eastAsia="Times New Roman" w:hAnsi="Times New Roman"/>
          <w:sz w:val="18"/>
          <w:szCs w:val="18"/>
          <w:color w:val="auto"/>
        </w:rPr>
        <w:t>Investment companies registered under the 1940 Act are restricted from acquiring directly or through a controlled entity more than 3% of our total outstanding voting stock (measured at the time of the acquisition), unless these funds comply with an exemption under the 1940 Act as well as other limitations under the 1940 Act that would restrict the amount that they are able to invest in our securities. Private funds that are excluded from the definition of “investment company” either pursuant to Section 3(c)(1) or 3(c)(7) of the 1940 Act are also subject to this restriction. As a result, certain investors may be precluded from acquiring additional shares at a time that they might desire to do so.</w:t>
      </w:r>
    </w:p>
    <w:p>
      <w:pPr>
        <w:spacing w:after="0" w:line="1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non-diversified investment company within the meaning of the 1940 Act, and therefore we are not limited with respect to the proportion of our assets that may be invested in securities of a single issuer.</w:t>
      </w:r>
    </w:p>
    <w:p>
      <w:pPr>
        <w:spacing w:after="0" w:line="159"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We are classified as a non-diversified investment company within the meaning of the 1940 Act, which means that we are not limited by the 1940 Act with respect to the proportion of our assets that we may invest in securities of a single issuer. Under the 1940 Act, a “diversified” investment company is required to invest at least 75% of the value of its total assets in cash and cash items, government securities, securities of other investment companies and other securities limited in respect of any one issuer to an amount not greater than 5% of the value of the total assets of such company and no more than 10% of the outstanding voting securities of such issuer. As a non-diversified investment company, we are not subject to this requirement. To the extent that we assume large positions in the securities of a small number of issuers, or within a particular industry,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or to a general downturn in the economy.</w:t>
      </w:r>
    </w:p>
    <w:p>
      <w:pPr>
        <w:spacing w:after="0" w:line="192" w:lineRule="exact"/>
        <w:rPr>
          <w:sz w:val="20"/>
          <w:szCs w:val="20"/>
          <w:color w:val="auto"/>
        </w:rPr>
      </w:pPr>
    </w:p>
    <w:p>
      <w:pPr>
        <w:ind w:right="160" w:firstLine="255"/>
        <w:spacing w:after="0" w:line="261" w:lineRule="auto"/>
        <w:rPr>
          <w:sz w:val="20"/>
          <w:szCs w:val="20"/>
          <w:color w:val="auto"/>
        </w:rPr>
      </w:pPr>
      <w:r>
        <w:rPr>
          <w:rFonts w:ascii="Times New Roman" w:cs="Times New Roman" w:eastAsia="Times New Roman" w:hAnsi="Times New Roman"/>
          <w:sz w:val="18"/>
          <w:szCs w:val="18"/>
          <w:color w:val="auto"/>
        </w:rPr>
        <w:t>The Adviser will endeavor to build and manage a diversified portfolio of investments with representation in various industries and economic sectors, geographic regions and deal types which may include growth financings and recapitalizations. Despite the foregoing objectives, the Company may be concentrated in certain industries and/or economic sectors, geographic regions and/or deal types. The Company also may be more concentrated than other funds with similar diversification objectives.</w:t>
      </w:r>
    </w:p>
    <w:p>
      <w:pPr>
        <w:spacing w:after="0" w:line="180" w:lineRule="exact"/>
        <w:rPr>
          <w:sz w:val="20"/>
          <w:szCs w:val="20"/>
          <w:color w:val="auto"/>
        </w:rPr>
      </w:pPr>
    </w:p>
    <w:p>
      <w:pPr>
        <w:ind w:right="580" w:firstLine="255"/>
        <w:spacing w:after="0" w:line="282" w:lineRule="auto"/>
        <w:rPr>
          <w:sz w:val="20"/>
          <w:szCs w:val="20"/>
          <w:color w:val="auto"/>
        </w:rPr>
      </w:pPr>
      <w:r>
        <w:rPr>
          <w:rFonts w:ascii="Times New Roman" w:cs="Times New Roman" w:eastAsia="Times New Roman" w:hAnsi="Times New Roman"/>
          <w:sz w:val="18"/>
          <w:szCs w:val="18"/>
          <w:color w:val="auto"/>
        </w:rPr>
        <w:t>However, we will be subject to the diversification requirements applicable to RICs under Subchapter M of the Code, which include single issuer concentration limits.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be restricted from initiating transactions as a result of the receipt of material non-public information.</w:t>
      </w:r>
    </w:p>
    <w:p>
      <w:pPr>
        <w:spacing w:after="0" w:line="229"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Sixth Street funds and investment platforms regularly obtain non-public information regarding various target companies and other investment opportunities. In general, Sixth Street imputes non-public information received by one investment team within Sixth Street to all other investment professionals. As Sixth Street and affiliated professionals may acquire confidential or material nonpublic information (“MNPI”), the Company and/or other affiliated funds may be restricted from initiating transactions in certain securities, including, as a result of the receipt of MNPI by another investment team or professional within Sixth Street.</w:t>
      </w:r>
    </w:p>
    <w:p>
      <w:pPr>
        <w:spacing w:after="0" w:line="183" w:lineRule="exact"/>
        <w:rPr>
          <w:sz w:val="20"/>
          <w:szCs w:val="20"/>
          <w:color w:val="auto"/>
        </w:rPr>
      </w:pPr>
    </w:p>
    <w:p>
      <w:pPr>
        <w:ind w:right="120" w:firstLine="255"/>
        <w:spacing w:after="0" w:line="282" w:lineRule="auto"/>
        <w:rPr>
          <w:sz w:val="20"/>
          <w:szCs w:val="20"/>
          <w:color w:val="auto"/>
        </w:rPr>
      </w:pPr>
      <w:r>
        <w:rPr>
          <w:rFonts w:ascii="Times New Roman" w:cs="Times New Roman" w:eastAsia="Times New Roman" w:hAnsi="Times New Roman"/>
          <w:sz w:val="18"/>
          <w:szCs w:val="18"/>
          <w:color w:val="auto"/>
        </w:rPr>
        <w:t>Non-public information received by one investment team within Sixth Street is likely to restrict trading on a firm-wide basis. As a result, the Company may, in certain circumstances, decline to receive non-public information regarding a company.</w:t>
      </w:r>
    </w:p>
    <w:p>
      <w:pPr>
        <w:spacing w:after="0" w:line="162"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Further, non-disclosure agreements associated with transactions (including transactions entered into by other affiliated funds) often contain contractual trading restrictions, including standstill and non-circumvent provisions, which could prevent the Company from</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6" w:name="page37"/>
    <w:bookmarkEnd w:id="36"/>
    <w:p>
      <w:pPr>
        <w:ind w:right="120"/>
        <w:spacing w:after="0" w:line="266" w:lineRule="auto"/>
        <w:rPr>
          <w:sz w:val="20"/>
          <w:szCs w:val="20"/>
          <w:color w:val="auto"/>
        </w:rPr>
      </w:pPr>
      <w:r>
        <w:rPr>
          <w:rFonts w:ascii="Times New Roman" w:cs="Times New Roman" w:eastAsia="Times New Roman" w:hAnsi="Times New Roman"/>
          <w:sz w:val="18"/>
          <w:szCs w:val="18"/>
          <w:color w:val="auto"/>
        </w:rPr>
        <w:t>acquiring or disposing of investments in an issuer, potentially for extended periods. Such agreements could also restrict the Company’s ability to share certain information with shareholders relevant to the Company or its portfolio investments. Separately, certain counterparties may disqualify the Company from transacting with such counterparties or their affiliates as a result of the activities of other businesses of Sixth Street and its affiliates.</w:t>
      </w:r>
    </w:p>
    <w:p>
      <w:pPr>
        <w:spacing w:after="0" w:line="176" w:lineRule="exact"/>
        <w:rPr>
          <w:sz w:val="20"/>
          <w:szCs w:val="20"/>
          <w:color w:val="auto"/>
        </w:rPr>
      </w:pPr>
    </w:p>
    <w:p>
      <w:pPr>
        <w:ind w:right="80" w:firstLine="255"/>
        <w:spacing w:after="0" w:line="256" w:lineRule="auto"/>
        <w:rPr>
          <w:sz w:val="20"/>
          <w:szCs w:val="20"/>
          <w:color w:val="auto"/>
        </w:rPr>
      </w:pPr>
      <w:r>
        <w:rPr>
          <w:rFonts w:ascii="Times New Roman" w:cs="Times New Roman" w:eastAsia="Times New Roman" w:hAnsi="Times New Roman"/>
          <w:sz w:val="18"/>
          <w:szCs w:val="18"/>
          <w:color w:val="auto"/>
        </w:rPr>
        <w:t>In addition, during a transitional period, despite taking certain steps designed to facilitate physical and electronic separation, Sixth Street and TPG will continue to occupy certain shared physical premises. As a result of these arrangements, and despite the implementation of a permanent information barrier between Sixth Street and TPG, there is a heightened risk that Sixth Street or TPG (or certain of their respective affiliates) may be imputed with non-public information received by the other. Although TPG is not affiliated with Sixth Street, many of the considerations described above apply with respect to the information barrier in place between Sixth Street and TPG, in particular that in certain circumstances the Company may face restrictions on its activities as a result of non-public or otherwise confidential information received from TPG.</w:t>
      </w:r>
    </w:p>
    <w:p>
      <w:pPr>
        <w:spacing w:after="0" w:line="29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Cybersecurity risks and cyber incidents may adversely affect our business or those of our portfolio companies by causing a disruption to our operations, a compromise or corruption of confidential information and/or damage to business relationships, or those of our portfolio companies, all of which could negatively impact our business, results of operations or financial condition.</w:t>
      </w:r>
    </w:p>
    <w:p>
      <w:pPr>
        <w:spacing w:after="0" w:line="175" w:lineRule="exact"/>
        <w:rPr>
          <w:sz w:val="20"/>
          <w:szCs w:val="20"/>
          <w:color w:val="auto"/>
        </w:rPr>
      </w:pPr>
    </w:p>
    <w:p>
      <w:pPr>
        <w:ind w:right="40" w:firstLine="255"/>
        <w:spacing w:after="0" w:line="252" w:lineRule="auto"/>
        <w:rPr>
          <w:sz w:val="20"/>
          <w:szCs w:val="20"/>
          <w:color w:val="auto"/>
        </w:rPr>
      </w:pPr>
      <w:r>
        <w:rPr>
          <w:rFonts w:ascii="Times New Roman" w:cs="Times New Roman" w:eastAsia="Times New Roman" w:hAnsi="Times New Roman"/>
          <w:sz w:val="18"/>
          <w:szCs w:val="18"/>
          <w:color w:val="auto"/>
        </w:rPr>
        <w:t>A cyber incident is considered to be any adverse event that threatens the confidentiality, integrity or availability of our information resources. These incidents may be an intentional attack or an unintentional event and could involve gaining unauthorized access to, use, alteration or destruction of our information systems for purposes of misappropriating assets, obtaining ransom payments, stealing confidential information, corrupting data or causing operational disruption, or may involve phishing. The result of these incidents may include disrupted operations, misstated or unreliable financial data, liability for stolen information, misappropriation of assets, increased cybersecurity protection and insurance costs, litigation and damage to our business relationships. This could result in significant losses, reputational damage, litigation, regulatory fines or penalties, or otherwise adversely affect our business, financial condition or results of operations. In addition, we may be required to expend significant additional resources to modify our protective measures and to investigate and remediate vulnerabilities or other exposures arising from operational and security risks. The costs related to cybersecurity incidents may not be fully insured or indemnified. As our and our portfolio companies’ reliance on technology has increased, so have the risks posed to our information systems, both internal and those provided by our Adviser and third-party service providers, and the information systems of our portfolio companies. We, our Adviser and its affiliates have implemented processes, procedures and internal controls to help mitigate cybersecurity risks and cyber intrusions, but these measures, as well as our increased awareness of the nature and extent of a risk of a cyber incident, may be ineffective and do not guarantee that a cyber incident will not occur or that our financial results, operations or confidential information will not be negatively impacted by such an incident.</w:t>
      </w:r>
    </w:p>
    <w:p>
      <w:pPr>
        <w:spacing w:after="0" w:line="197"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Third parties with which we do business (including, but not limited to, service providers, such as accountants, custodians, transfer agents and administrators, and the issuers of securities in which we invest) may also be sources or targets of cybersecurity or other technological risks. We outsource certain functions and these relationships allow for the storage and processing of our information and assets, as well as certain investor, counterparty, employee and borrower information. While we engage in actions to reduce our exposure resulting from outsourcing, we cannot control the cybersecurity plans and systems put in place by these third parties and ongoing threats may result in unauthorized access, loss, exposure or destruction of data, or other cybersecurity incidents, with increased costs and other consequences, including those described above. Privacy and information security laws and regulation changes, and compliance with those changes, may also result in cost increases due to system changes and the development of new administrative processes.</w:t>
      </w:r>
    </w:p>
    <w:p>
      <w:pPr>
        <w:spacing w:after="0" w:line="192"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Additionally, investments of Sixth Street’s funds, including the Company, and other Sixth Street entities have involved and may in the future involve companies that have experienced cyber-events and that, given the rise of cybersecurity incidents, may become involved in future cyber events. Cybersecurity events also could affect other Sixth Street and/or affiliated entities. Such cyber security attacks are evolving and include, but are not limited to, malicious software, attempts to gain unauthorized access to data, and other electronic security breaches that could lead to disruptions in critical systems, unauthorized release of confidential or otherwise protected information and corruption of data.</w:t>
      </w:r>
    </w:p>
    <w:p>
      <w:pPr>
        <w:spacing w:after="0" w:line="183" w:lineRule="exact"/>
        <w:rPr>
          <w:sz w:val="20"/>
          <w:szCs w:val="20"/>
          <w:color w:val="auto"/>
        </w:rPr>
      </w:pPr>
    </w:p>
    <w:p>
      <w:pPr>
        <w:ind w:right="180" w:firstLine="255"/>
        <w:spacing w:after="0" w:line="255" w:lineRule="auto"/>
        <w:rPr>
          <w:sz w:val="20"/>
          <w:szCs w:val="20"/>
          <w:color w:val="auto"/>
        </w:rPr>
      </w:pPr>
      <w:r>
        <w:rPr>
          <w:rFonts w:ascii="Times New Roman" w:cs="Times New Roman" w:eastAsia="Times New Roman" w:hAnsi="Times New Roman"/>
          <w:sz w:val="18"/>
          <w:szCs w:val="18"/>
          <w:color w:val="auto"/>
        </w:rPr>
        <w:t>A cybersecurity breach may cause the Company to lose proprietary information, suffer data corruption or expose information to misuse. Sensitive information which may be breached in the event of a cybersecurity threat includes, without limitation, information regarding the Company’s investment activities and shareholders. Cybersecurity breaches of Sixth Street’s and the Company’s third-party service providers or portfolio investments may also subject the Company to many of the same risks associated with direct cybersecurity breaches. If such events were to materialize, they could, among other things, (i) lead to losses of sensitive information or capabilities essential to Sixth Street’s, the Company’s, and/or the Company’s portfolio company’s operations, (ii) have a material adverse effect on Sixth Street’s, the Company’s and/or the portfolio company’s reputations, financial positions, results of operations or</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ind w:right="60"/>
        <w:spacing w:after="0" w:line="282" w:lineRule="auto"/>
        <w:rPr>
          <w:sz w:val="20"/>
          <w:szCs w:val="20"/>
          <w:color w:val="auto"/>
        </w:rPr>
      </w:pPr>
      <w:r>
        <w:rPr>
          <w:rFonts w:ascii="Times New Roman" w:cs="Times New Roman" w:eastAsia="Times New Roman" w:hAnsi="Times New Roman"/>
          <w:sz w:val="18"/>
          <w:szCs w:val="18"/>
          <w:color w:val="auto"/>
        </w:rPr>
        <w:t>cash flows, (iii) lead to financial losses from remedial actions, loss of business or potential liability, or (iv) lead to the disclosure of Company shareholders’ personal information or other sensitive information.</w:t>
      </w:r>
    </w:p>
    <w:p>
      <w:pPr>
        <w:spacing w:after="0" w:line="162" w:lineRule="exact"/>
        <w:rPr>
          <w:sz w:val="20"/>
          <w:szCs w:val="20"/>
          <w:color w:val="auto"/>
        </w:rPr>
      </w:pPr>
    </w:p>
    <w:p>
      <w:pPr>
        <w:ind w:right="120" w:firstLine="255"/>
        <w:spacing w:after="0" w:line="256" w:lineRule="auto"/>
        <w:rPr>
          <w:sz w:val="20"/>
          <w:szCs w:val="20"/>
          <w:color w:val="auto"/>
        </w:rPr>
      </w:pPr>
      <w:r>
        <w:rPr>
          <w:rFonts w:ascii="Times New Roman" w:cs="Times New Roman" w:eastAsia="Times New Roman" w:hAnsi="Times New Roman"/>
          <w:sz w:val="18"/>
          <w:szCs w:val="18"/>
          <w:color w:val="auto"/>
        </w:rPr>
        <w:t>The failure of these systems and/or of disaster recovery plans for any reason could cause significant interruptions in Sixth Street’s, the Company’s and/or a portfolio company’s operations and result in a failure to maintain the security, confidentiality or privacy of sensitive data, including personal information of any shareholder (and, if applicable, its underlying investors or beneficial owners and/or control persons) or information relating to any portfolio company. Such a failure could result in reputational harm to Sixth Street, the Company and/or the affected portfolio investment, subject any such entity and its affiliates to legal claims and otherwise adversely affect its business and financial performance. Cybersecurity risks also require us to undertake ongoing preventative measures and to incur compliance costs.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Board of Trustees may change our investment objective, operating policies and strategies without prior notice or shareholder approval.</w:t>
      </w:r>
    </w:p>
    <w:p>
      <w:pPr>
        <w:spacing w:after="0" w:line="229"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Our Board of Trustees has the authority to change our investment objective and modify or waive certain of our operating policies and strategies without prior notice (except as required by the 1940 Act) and without shareholder approval. However, absent shareholder approval, we may not change the nature of our business so as to cease to be a BDC and we may not withdraw our election as a BDC. We cannot predict the effect any changes to our current operating policies or strategies would have on our business, operating results and value of our Common Shares. Nevertheless, the effects may adversely affect our business and impact our ability to pay dividends.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including the Tax Cuts and Jobs Act and the Inflation Reduction Act may adversely affect our business.</w:t>
      </w:r>
    </w:p>
    <w:p>
      <w:pPr>
        <w:spacing w:after="0" w:line="229" w:lineRule="exact"/>
        <w:rPr>
          <w:sz w:val="20"/>
          <w:szCs w:val="20"/>
          <w:color w:val="auto"/>
        </w:rPr>
      </w:pPr>
    </w:p>
    <w:p>
      <w:pPr>
        <w:ind w:right="40" w:firstLine="255"/>
        <w:spacing w:after="0" w:line="253" w:lineRule="auto"/>
        <w:rPr>
          <w:sz w:val="20"/>
          <w:szCs w:val="20"/>
          <w:color w:val="auto"/>
        </w:rPr>
      </w:pPr>
      <w:r>
        <w:rPr>
          <w:rFonts w:ascii="Times New Roman" w:cs="Times New Roman" w:eastAsia="Times New Roman" w:hAnsi="Times New Roman"/>
          <w:sz w:val="18"/>
          <w:szCs w:val="18"/>
          <w:color w:val="auto"/>
        </w:rPr>
        <w:t>Changes to U.S. tax laws, including the Tax Cuts and Jobs Act enacted on December 22, 2017 (“Tax Reform”), the Coronavirus Aid, Relief, and Economic Security Act enacted on March 27, 2020 (the “CARES Act”) and the Inflation Reduction Act, enacted on August 16, 2022 (the "IRA") have made significant changes to the U.S. federal income tax system. Among other things, Tax Reform may limit the ability of borrowers to fully deduct interest expense. This could potentially affect the loan market, for example by impacting the demand for loans available from us or the terms of such loans. In addition, the IRA introduced a corporate alternative minimum tax of 15% of the "adjusted financial statement income" of certain domestic corporations as well as a 1% excise tax on the fair market value of stock repurchases by certain domestic corporations, effective for tax years beginning in 2023. Further changes could be made under the new Presidential administration in the United States. Such changes to the tax laws, including (i) changes to interest deductibility, utility of net operating losses and other provisions of Tax Reform, (ii) the corporate alternative minimum tax, excise tax on stock repurchases and other provisions of the IRA or (iii) changes pursuant to future legislation or regulatory guidance could also in certain circumstances increase the U.S. tax burden on our portfolio assets which, in turn, could negatively impact their ability to service their interest expense obligations to us. Prospective investors are urged to consult with their own advisors about the potential effects of Tax Reform, IRA and other changes in tax laws on the loan market and about the tax consequences of an investment in us.</w:t>
      </w:r>
    </w:p>
    <w:p>
      <w:pPr>
        <w:spacing w:after="0" w:line="29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the SEC’s Regulation Best Interest may negatively impact our ability to raise capital, which would harm our ability to achieve our investment objectives.</w:t>
      </w:r>
    </w:p>
    <w:p>
      <w:pPr>
        <w:spacing w:after="0" w:line="159"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Broker-dealers must comply with Regulation Best Interest, which, among other requirements, enhances the prior standard of conduct for broker-dealers and natural persons who are associated persons of a broker-dealer when recommending to a retail customer any securities transaction or investment strategy involving securities to a retail customer. The impact of Regulation Best Interest on broker-dealers participating in our private offering of Common Shares cannot be determined at this time, but it may negatively impact whether broker-dealers and their associated persons recommend the offering to retail customers. If Regulation Best Interest reduces our ability to raise capital in the offering, it would harm our ability to create a diversified portfolio of investments and achieve our investment objectives and would result in our fixed operating costs representing a larger percentage of our gross income.</w:t>
      </w:r>
    </w:p>
    <w:p>
      <w:pPr>
        <w:spacing w:after="0" w:line="29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Declaration of Trust includes exclusive forum and jury trial waiver provisions that could limit a shareholder’s ability to bring a claim, make it more expensive or inconvenient for a shareholder to bring a claim, or, if such provisions are deemed inapplicable or unenforceable by a court, cause the Company to incur additional costs associated with such action.</w:t>
      </w:r>
    </w:p>
    <w:p>
      <w:pPr>
        <w:spacing w:after="0" w:line="175"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8"/>
          <w:szCs w:val="18"/>
          <w:color w:val="auto"/>
        </w:rPr>
        <w:t>Our Declaration of Trust provides that, to the fullest extent permitted by law, unless we consent in writing to the selection of an alternative forum, the sole and exclusive forum for (i) any derivative action or proceeding brought on behalf of the Company, (ii) any action asserting a claim of breach of a duty owed by any trustee, officer or other agent of the Company to the Company or our shareholders, (iii) any action asserting a claim arising pursuant to any provision of Title 12 of the Delaware Code, Delaware statutory</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8" w:name="page39"/>
    <w:bookmarkEnd w:id="38"/>
    <w:p>
      <w:pPr>
        <w:ind w:right="60"/>
        <w:spacing w:after="0" w:line="261" w:lineRule="auto"/>
        <w:rPr>
          <w:sz w:val="20"/>
          <w:szCs w:val="20"/>
          <w:color w:val="auto"/>
        </w:rPr>
      </w:pPr>
      <w:r>
        <w:rPr>
          <w:rFonts w:ascii="Times New Roman" w:cs="Times New Roman" w:eastAsia="Times New Roman" w:hAnsi="Times New Roman"/>
          <w:sz w:val="18"/>
          <w:szCs w:val="18"/>
          <w:color w:val="auto"/>
        </w:rPr>
        <w:t>or common law, our Declaration of Trust, or (iv) any action asserting a claim governed by the internal affairs doctrine shall be the Court of Chancery of the State of Delaware or, if such court does not have subject matter jurisdiction thereof, any other court in the State of Delaware with subject matter jurisdiction. As a result, there is a risk that investors in the Company may find it inconvenient or expensive to bring a claim against us or our trustees, officers or other agents. However, these exclusive forum provisions do not apply to claims arising under the federal securities laws.</w:t>
      </w:r>
    </w:p>
    <w:p>
      <w:pPr>
        <w:spacing w:after="0" w:line="180"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In addition, our Declaration of Trust provides that no shareholder may maintain a derivative action on behalf of the Company unless holders of a certain percentage of the outstanding shares, as disclosed in our Declaration of Trust, join in the bringing of such action. These provisions of our Declaration of Trust may make it more difficult for shareholders to bring a derivative action than a company without such provisions.</w:t>
      </w:r>
    </w:p>
    <w:p>
      <w:pPr>
        <w:spacing w:after="0" w:line="176" w:lineRule="exact"/>
        <w:rPr>
          <w:sz w:val="20"/>
          <w:szCs w:val="20"/>
          <w:color w:val="auto"/>
        </w:rPr>
      </w:pPr>
    </w:p>
    <w:p>
      <w:pPr>
        <w:ind w:right="100" w:firstLine="255"/>
        <w:spacing w:after="0" w:line="255" w:lineRule="auto"/>
        <w:rPr>
          <w:sz w:val="20"/>
          <w:szCs w:val="20"/>
          <w:color w:val="auto"/>
        </w:rPr>
      </w:pPr>
      <w:r>
        <w:rPr>
          <w:rFonts w:ascii="Times New Roman" w:cs="Times New Roman" w:eastAsia="Times New Roman" w:hAnsi="Times New Roman"/>
          <w:sz w:val="18"/>
          <w:szCs w:val="18"/>
          <w:color w:val="auto"/>
        </w:rPr>
        <w:t>Our Declaration of Trust also includes an irrevocable waiver of the right to trial by jury in all such claims, suits, actions and proceedings. Any person purchasing or otherwise acquiring any of our Common Shares shall be deemed to have notice of and to have consented to these provisions of our Declaration of Trust. These provisions may limit a shareholder’s ability to bring a claim in a judicial forum or in a manner that it finds favorable for disputes with the Company or the Company’s trustees or officers, which may discourage such lawsuits. Alternatively, if a court were to find the exclusive forum provision or the jury trial waiver provision to be inapplicable or unenforceable in an action, we may incur additional costs associated with resolving such action in other jurisdictions or in other manners, which could have a material adverse effect on our business, financial condition and results of operations.</w:t>
      </w:r>
    </w:p>
    <w:p>
      <w:pPr>
        <w:spacing w:after="0" w:line="189" w:lineRule="exact"/>
        <w:rPr>
          <w:sz w:val="20"/>
          <w:szCs w:val="20"/>
          <w:color w:val="auto"/>
        </w:rPr>
      </w:pPr>
    </w:p>
    <w:p>
      <w:pPr>
        <w:ind w:right="360" w:firstLine="255"/>
        <w:spacing w:after="0" w:line="282" w:lineRule="auto"/>
        <w:rPr>
          <w:sz w:val="20"/>
          <w:szCs w:val="20"/>
          <w:color w:val="auto"/>
        </w:rPr>
      </w:pPr>
      <w:r>
        <w:rPr>
          <w:rFonts w:ascii="Times New Roman" w:cs="Times New Roman" w:eastAsia="Times New Roman" w:hAnsi="Times New Roman"/>
          <w:sz w:val="18"/>
          <w:szCs w:val="18"/>
          <w:color w:val="auto"/>
        </w:rPr>
        <w:t>Notwithstanding any of the foregoing, neither we nor any of our investors are permitted to waive compliance with any provision of the U.S. federal securities laws and the rules and regulations promulgated thereunder.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shareholder approval is required for certain mergers.</w:t>
      </w:r>
    </w:p>
    <w:p>
      <w:pPr>
        <w:spacing w:after="0" w:line="229" w:lineRule="exact"/>
        <w:rPr>
          <w:sz w:val="20"/>
          <w:szCs w:val="20"/>
          <w:color w:val="auto"/>
        </w:rPr>
      </w:pPr>
    </w:p>
    <w:p>
      <w:pPr>
        <w:ind w:right="100" w:firstLine="255"/>
        <w:spacing w:after="0" w:line="258" w:lineRule="auto"/>
        <w:rPr>
          <w:sz w:val="20"/>
          <w:szCs w:val="20"/>
          <w:color w:val="auto"/>
        </w:rPr>
      </w:pPr>
      <w:r>
        <w:rPr>
          <w:rFonts w:ascii="Times New Roman" w:cs="Times New Roman" w:eastAsia="Times New Roman" w:hAnsi="Times New Roman"/>
          <w:sz w:val="18"/>
          <w:szCs w:val="18"/>
          <w:color w:val="auto"/>
        </w:rPr>
        <w:t>Our Board of Trustees may undertake to approve mergers between us and certain other funds or vehicles. Subject to the requirements of the 1940 Act, such mergers will not require shareholder approval so investors will not be given an opportunity to vote on these matters unless such mergers are reasonably anticipated to result in a material dilution of the NAV per share of the Company. These mergers may involve funds managed by affiliates of the Adviser. The Board of Trustees may also convert the form and/or jurisdiction of organization, including to take advantage of laws that are more favorable to maintaining board control in the face of dissident shareholders.</w:t>
      </w:r>
    </w:p>
    <w:p>
      <w:pPr>
        <w:spacing w:after="0" w:line="28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artificial intelligence, including the application of various forms of artificial intelligence such as machine learning technology.</w:t>
      </w:r>
    </w:p>
    <w:p>
      <w:pPr>
        <w:spacing w:after="0" w:line="159" w:lineRule="exact"/>
        <w:rPr>
          <w:sz w:val="20"/>
          <w:szCs w:val="20"/>
          <w:color w:val="auto"/>
        </w:rPr>
      </w:pPr>
    </w:p>
    <w:p>
      <w:pPr>
        <w:ind w:right="80" w:firstLine="255"/>
        <w:spacing w:after="0" w:line="255" w:lineRule="auto"/>
        <w:rPr>
          <w:sz w:val="20"/>
          <w:szCs w:val="20"/>
          <w:color w:val="auto"/>
        </w:rPr>
      </w:pPr>
      <w:r>
        <w:rPr>
          <w:rFonts w:ascii="Times New Roman" w:cs="Times New Roman" w:eastAsia="Times New Roman" w:hAnsi="Times New Roman"/>
          <w:sz w:val="18"/>
          <w:szCs w:val="18"/>
          <w:color w:val="auto"/>
        </w:rPr>
        <w:t>Recent technological advances in artificial intelligence, including machine learning technology (“Machine Learning Technology”), pose risks to us and our portfolio companies. We and our portfolio companies could be exposed to the risks of Machine Learning Technology if third-party service providers or any counterparties use Machine Learning Technology in their business activities. We and the Adviser are not in a position to control the use of Machine Learning Technology in third-party products or services. Use of Machine Learning Technology could include the input of confidential information in contravention of applicable policies, contractual or other obligations or restrictions, resulting in such confidential information becoming partly accessible by other third-party Machine Learning Technology applications and users. Machine Learning Technology and its applications continue to develop rapidly, and we cannot predict the risks that may arise from such developments.</w:t>
      </w:r>
    </w:p>
    <w:p>
      <w:pPr>
        <w:spacing w:after="0" w:line="189" w:lineRule="exact"/>
        <w:rPr>
          <w:sz w:val="20"/>
          <w:szCs w:val="20"/>
          <w:color w:val="auto"/>
        </w:rPr>
      </w:pPr>
    </w:p>
    <w:p>
      <w:pPr>
        <w:ind w:right="120" w:firstLine="255"/>
        <w:spacing w:after="0" w:line="258" w:lineRule="auto"/>
        <w:rPr>
          <w:sz w:val="20"/>
          <w:szCs w:val="20"/>
          <w:color w:val="auto"/>
        </w:rPr>
      </w:pPr>
      <w:r>
        <w:rPr>
          <w:rFonts w:ascii="Times New Roman" w:cs="Times New Roman" w:eastAsia="Times New Roman" w:hAnsi="Times New Roman"/>
          <w:sz w:val="18"/>
          <w:szCs w:val="18"/>
          <w:color w:val="auto"/>
        </w:rPr>
        <w:t>Machine Learning Technology is generally highly reliant on the collection and analysis of large amounts of data, and it is not possible or practicable to incorporate all relevant data into the model that Machine Learning Technology utilizes to operate. Certain data in such models will inevitably contain a degree of inaccuracy and error and could otherwise be inadequate or flawed, which would be likely to degrade the effectiveness of Machine Learning Technology. To the extent we or our portfolio companies are exposed to the risks of Machine Learning Technology use, any such inaccuracies or errors could adversely impact us or our portfolio companies.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Economic Conditions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and global supply chain issues may adversely affect our business.</w:t>
      </w:r>
    </w:p>
    <w:p>
      <w:pPr>
        <w:spacing w:after="0" w:line="229" w:lineRule="exact"/>
        <w:rPr>
          <w:sz w:val="20"/>
          <w:szCs w:val="20"/>
          <w:color w:val="auto"/>
        </w:rPr>
      </w:pPr>
    </w:p>
    <w:p>
      <w:pPr>
        <w:ind w:right="200" w:firstLine="255"/>
        <w:spacing w:after="0" w:line="258" w:lineRule="auto"/>
        <w:rPr>
          <w:sz w:val="20"/>
          <w:szCs w:val="20"/>
          <w:color w:val="auto"/>
        </w:rPr>
      </w:pPr>
      <w:r>
        <w:rPr>
          <w:rFonts w:ascii="Times New Roman" w:cs="Times New Roman" w:eastAsia="Times New Roman" w:hAnsi="Times New Roman"/>
          <w:sz w:val="18"/>
          <w:szCs w:val="18"/>
          <w:color w:val="auto"/>
        </w:rPr>
        <w:t>Inflation and fluctuations in inflation rates have had in the past, and may in the future have, negative effects on economies and financial markets, particularly in emerging economies. For example, wages and prices of inputs increase during periods of inflation, which can negatively impact returns on investments. In an attempt to stabilize inflation, countries may impose wage and price controls or otherwise intervene in the economy. Governmental efforts to curb inflation often have negative effects on the level of economic activity. There can be no assurance that inflation will not become a serious problem in the future and have an adverse impact on the Company's returns.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Economic activity has continued to accelerate across sectors and regions. Nevertheless, global supply chain issues have, and may in the future, lead to a rise in energy prices. Inflation may continue in the near to medium-term, particularly in the U.S., with the possibility that monetary policy may tighten in response. Persistent inflationary pressures could affect our obligors’ profit margins.</w:t>
      </w:r>
    </w:p>
    <w:p>
      <w:pPr>
        <w:spacing w:after="0" w:line="68" w:lineRule="exact"/>
        <w:rPr>
          <w:sz w:val="20"/>
          <w:szCs w:val="20"/>
          <w:color w:val="auto"/>
        </w:rPr>
      </w:pPr>
    </w:p>
    <w:p>
      <w:pPr>
        <w:ind w:right="100" w:firstLine="255"/>
        <w:spacing w:after="0" w:line="253" w:lineRule="auto"/>
        <w:rPr>
          <w:sz w:val="20"/>
          <w:szCs w:val="20"/>
          <w:color w:val="auto"/>
        </w:rPr>
      </w:pPr>
      <w:r>
        <w:rPr>
          <w:rFonts w:ascii="Times New Roman" w:cs="Times New Roman" w:eastAsia="Times New Roman" w:hAnsi="Times New Roman"/>
          <w:sz w:val="18"/>
          <w:szCs w:val="18"/>
          <w:color w:val="auto"/>
        </w:rPr>
        <w:t>Additionally, the continuing trade dispute between the United States and China, pursuant to which both countries have, among other things, imposed tariffs on one another, has had an adverse economic effect on U.S. markets and international trade more broadly. This adverse economic effect is likely to become more pronounced if the dispute remains unresolved, which could have a material adverse impact on the Company's portfolio investments. For example, existing and any additional supply chain and other laws, regulations, or executive orders by either country that restrict or prohibit transactions or impose requirements or limitations on business could impair the ability of U.S.-based companies (in which the Company is likely to invest) to expand into markets in China and the ability of such companies’ to produce or obtain component parts necessary for production. Also, for the foreseeable future, the trade dispute will likely continue to be an ongoing source of instability, resulting in significant currency fluctuations, increased capital markets volatility, and other adverse effects on international markets, international trade agreements, and other existing cross-border cooperation arrangements (whether economic, tax, fiscal, legal, regulatory or otherwise), which could present similar and additional potential risks and consequences for the Company and is portfolio investments.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disruption, volatility and uncertainty in the capital markets and in the economy generally.</w:t>
      </w:r>
    </w:p>
    <w:p>
      <w:pPr>
        <w:spacing w:after="0" w:line="229" w:lineRule="exact"/>
        <w:rPr>
          <w:sz w:val="20"/>
          <w:szCs w:val="20"/>
          <w:color w:val="auto"/>
        </w:rPr>
      </w:pPr>
    </w:p>
    <w:p>
      <w:pPr>
        <w:ind w:right="40" w:firstLine="255"/>
        <w:spacing w:after="0" w:line="254" w:lineRule="auto"/>
        <w:rPr>
          <w:sz w:val="20"/>
          <w:szCs w:val="20"/>
          <w:color w:val="auto"/>
        </w:rPr>
      </w:pPr>
      <w:r>
        <w:rPr>
          <w:rFonts w:ascii="Times New Roman" w:cs="Times New Roman" w:eastAsia="Times New Roman" w:hAnsi="Times New Roman"/>
          <w:sz w:val="18"/>
          <w:szCs w:val="18"/>
          <w:color w:val="auto"/>
        </w:rPr>
        <w:t>The U.S. capital markets have experienced extreme volatility and disruption in recent years following the spread of COVID-19 in the United States and globally. Disruptions in the capital markets have increased the spread between the yields realized on risk-free and higher risk securities, resulting in illiquidity in parts of the capital markets. The federal government and the Federal Reserve, as well as foreign governments and central banks, have implemented, and may in the future implement, significant fiscal and monetary policies in response to these disruptions, and additional government and regulatory responses may be possible. These actions, future market disruptions and illiquidity could have an adverse effect on our business, financial condition, results of operations and cash flows. Unfavorable economic conditions also could increase our funding costs, limit our access to the capital markets or result in a decision by lenders not to extend credit to us. These events could limit our investment originations and our ability to grow, and could have a material negative impact on our operating results and the fair values of our debt and equity investments.</w:t>
      </w:r>
    </w:p>
    <w:p>
      <w:pPr>
        <w:spacing w:after="0" w:line="192"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We believe that attractive investment opportunities may present themselves during this volatile period as in other periods of market volatility, and we may have opportunities to make investments at compelling values. However, periods of market disruption and instability, like the one we are experiencing currently, may adversely affect our access to sufficient debt and equity capital in order to take advantage of attractive investment opportunities that are created during these periods. In addition, the debt capital that will be available in the future, if any, may be at a higher cost and on less favorable terms and conditions.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current state of the economy and financial markets increases the likelihood of adverse effects on our financial position and results of operations.</w:t>
      </w:r>
    </w:p>
    <w:p>
      <w:pPr>
        <w:spacing w:after="0" w:line="229"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The U.S. and global capital markets experienced extreme volatility and disruption in recent years, leading to periods of recessionary conditions and depressed levels of consumer and commercial spending. For instance, monetary policies of the Federal Reserve and political uncertainty resulting from recent events, including changes to U.S. trade policies, the impact of the end of the transition period following United Kingdom’s exit from the European Union in January 2020 (“Brexit”), the provisional application of the EU-UK Trade and Cooperation Agreement and ongoing conflicts between Russia and Ukraine and Israel and Hamas and related responses, has led to, from time to time, disruption and instability in the global markets. Disruptions in the capital markets increased the spread between the yields realized on risk-free and higher risk securities, resulting in illiquidity in parts of the capital markets. We cannot assure you that these conditions will not worsen. If conditions worsen, a prolonged period of market illiquidity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235"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In addition, to the extent that recessionary conditions return, the financial results of small to mid-sized companies, like those in which we invest, will likely experience deterioration, which could ultimately lead to difficulty in meeting debt service requirements and an increase in defaults. Additionally, the end markets for certain of our portfolio companies’ products and services have experienced, and continue to experience, negative economic trends. The performances of certain of our portfolio companies have been, and may continue to be, negatively impacted by these economic or other conditions, which may ultimately result in:</w:t>
      </w:r>
    </w:p>
    <w:p>
      <w:pPr>
        <w:spacing w:after="0" w:line="75" w:lineRule="exact"/>
        <w:rPr>
          <w:sz w:val="20"/>
          <w:szCs w:val="20"/>
          <w:color w:val="auto"/>
        </w:rPr>
      </w:pPr>
    </w:p>
    <w:p>
      <w:pPr>
        <w:ind w:left="520" w:hanging="257"/>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receipt of a reduced level of interest income from our portfolio companies;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the value of collateral securing some of our loans and the value of our equity investments;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losses or charge-offs related to our investments.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Uncertainty about financial stability could have a significant adverse effect on our business, results of operations and financial condition.</w:t>
      </w:r>
    </w:p>
    <w:p>
      <w:pPr>
        <w:spacing w:after="0" w:line="121" w:lineRule="exact"/>
        <w:rPr>
          <w:sz w:val="20"/>
          <w:szCs w:val="20"/>
          <w:color w:val="auto"/>
        </w:rPr>
      </w:pPr>
    </w:p>
    <w:p>
      <w:pPr>
        <w:ind w:right="60" w:firstLine="255"/>
        <w:spacing w:after="0" w:line="255" w:lineRule="auto"/>
        <w:rPr>
          <w:sz w:val="20"/>
          <w:szCs w:val="20"/>
          <w:color w:val="auto"/>
        </w:rPr>
      </w:pPr>
      <w:r>
        <w:rPr>
          <w:rFonts w:ascii="Times New Roman" w:cs="Times New Roman" w:eastAsia="Times New Roman" w:hAnsi="Times New Roman"/>
          <w:sz w:val="18"/>
          <w:szCs w:val="18"/>
          <w:color w:val="auto"/>
        </w:rPr>
        <w:t>Due to federal budget deficit concerns, S&amp;P downgraded the federal government’s credit rating from AAA to AA+ for the first time in history on August 5, 2011. Further, in 2023 Fitch downgraded the federal government’s credit rating from AAA to AA+. Further downgrades or warnings by S&amp;P, Moody's, or other rating agencies, and the government’s credit and deficit concerns in general, could cause interest rates and borrowing costs to rise, which may negatively impact both the perception of credit risk associated with our debt portfolio and our ability to access the debt markets on favorable terms. In addition, a decreased credit rating could create broader financial turmoil and uncertainty, which may weigh heavily on our financial performance and the value of our Common Shares. Also, to the extent uncertainty regarding any economic recovery in Europe and Brexit continue to negatively impact consumer confidence and consumer credit factors, our business and results of operations could be significantly and adversely affected.</w:t>
      </w:r>
    </w:p>
    <w:p>
      <w:pPr>
        <w:spacing w:after="0" w:line="189"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After raising the target range for the federal funds rate in 2017 and 2018, the Federal Reserve lowered the target rate three times in 2019 and two times in 2020. Following recent heightened inflation, the Federal Reserve raised the target rate four times in 2023, raising the fed funds rate by about three percentage points in a six month period. In 2024, it is possible that the Federal Reserve will raise the interest rates further. Further changes in key economic indicators, such as the unemployment rate or inflation, could lead to additional changes to the target range for the federal funds rate that may cause instability or may negatively impact our ability to access the debt markets on favorable terms.</w:t>
      </w:r>
    </w:p>
    <w:p>
      <w:pPr>
        <w:spacing w:after="0" w:line="183" w:lineRule="exact"/>
        <w:rPr>
          <w:sz w:val="20"/>
          <w:szCs w:val="20"/>
          <w:color w:val="auto"/>
        </w:rPr>
      </w:pPr>
    </w:p>
    <w:p>
      <w:pPr>
        <w:ind w:right="40" w:firstLine="255"/>
        <w:spacing w:after="0" w:line="254" w:lineRule="auto"/>
        <w:rPr>
          <w:sz w:val="20"/>
          <w:szCs w:val="20"/>
          <w:color w:val="auto"/>
        </w:rPr>
      </w:pPr>
      <w:r>
        <w:rPr>
          <w:rFonts w:ascii="Times New Roman" w:cs="Times New Roman" w:eastAsia="Times New Roman" w:hAnsi="Times New Roman"/>
          <w:sz w:val="18"/>
          <w:szCs w:val="18"/>
          <w:color w:val="auto"/>
        </w:rPr>
        <w:t>As a result of the 2022 U.S. election, the Democratic Party currently controls the executive branch of government and, the Senate, while the Republican Party controls the House of Representatives. The divided U.S. Congress makes passage of legislation that could significantly affect the regulation of U.S. financial markets less likely. Despite the reduced likelihood of congressional action with respect to financial services, areas subject to potential change or amendment include the Wall Street Reform and Consumer Protection Act, or the Dodd-Frank Act, and the authority of the Federal Reserve and the Financial Stability Oversight Council. Additionally, under the divided control of the Congress, the likelihood of a failure to increase the debt ceiling and a default by the federal government is increased. The United States may also potentially withdraw from, renegotiate or enter into various trade agreements and take other actions that would change current trade policies of the United States. We cannot predict which, if any, of these actions will be taken or, if taken, their effect on the financial stability of the United States. Such actions could have a significant adverse effect on our business, financial condition and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recessions or downturns could impair our portfolio companies and harm our operating results.</w:t>
      </w:r>
    </w:p>
    <w:p>
      <w:pPr>
        <w:spacing w:after="0" w:line="229"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Many of the portfolio companies in which we make investments may be susceptible to economic slowdowns or recessions and during these periods may be unable to repay the loans we made to them. Therefore, our non-performing assets may increase and the value of our portfolio may decrease during these periods as we are required to record our investments at their current fair value. Adverse economic conditions also may decrease the value of collateral securing some of our loans and the value of our equity investments. Economic slowdowns or recessions could lead to financial losses in our portfolio and a decrease in revenues, net income and assets. Unfavorable economic conditions also could increase our and our portfolio companies’ funding costs, limit our and our portfolio companies’ access to the capital markets or result in a decision by lenders not to extend credit to us or our portfolio companies. These events could prevent us from increasing investments and harm our operating results.</w:t>
      </w:r>
    </w:p>
    <w:p>
      <w:pPr>
        <w:spacing w:after="0" w:line="189" w:lineRule="exact"/>
        <w:rPr>
          <w:sz w:val="20"/>
          <w:szCs w:val="20"/>
          <w:color w:val="auto"/>
        </w:rPr>
      </w:pPr>
    </w:p>
    <w:p>
      <w:pPr>
        <w:ind w:right="140" w:firstLine="255"/>
        <w:spacing w:after="0" w:line="256" w:lineRule="auto"/>
        <w:rPr>
          <w:sz w:val="20"/>
          <w:szCs w:val="20"/>
          <w:color w:val="auto"/>
        </w:rPr>
      </w:pPr>
      <w:r>
        <w:rPr>
          <w:rFonts w:ascii="Times New Roman" w:cs="Times New Roman" w:eastAsia="Times New Roman" w:hAnsi="Times New Roman"/>
          <w:sz w:val="18"/>
          <w:szCs w:val="18"/>
          <w:color w:val="auto"/>
        </w:rPr>
        <w:t>A portfolio company’s failure to satisfy financial or operating covenants imposed by us or other lenders could lead to defaults and, potentially, acceleration of the time when the loans are due and foreclosure on its secured assets, which could trigger cross-defaults under other agreements and jeopardize the portfolio company’s ability to meet its obligations under the debt that we hold. We may incur additional expenses to the extent necessary to seek recovery upon default or to negotiate new terms with a defaulting portfolio company. In addition, if one of our portfolio companies were to go bankrupt, depending on the facts and circumstances, including the extent to which we will actually provide significant managerial assistance to that portfolio company, a bankruptcy court might subordinate all or a portion of our claim to that of other creditors.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Portfolio Company Investments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are very risky and highly speculative.</w:t>
      </w:r>
    </w:p>
    <w:p>
      <w:pPr>
        <w:spacing w:after="0" w:line="229"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8"/>
          <w:szCs w:val="18"/>
          <w:color w:val="auto"/>
        </w:rPr>
        <w:t>We primarily invest in first-lien debt, second-lien debt, mezzanine and unsecured debt or equity or other securities issued by upper middle-market companies. The companies in which we intend to invest are typically highly leveraged, and, in most cases, our investments in these companies are not rated by any rating agency. If these instruments were rated, we believe that they would likely receive a rating of below investment grade (that is, below BBB- or Baa3, which is often referred to as “junk”). Exposure to below investment grade instruments involves certain risks, including speculation with respect to the borrower’s capacity to pay interest and repay principal.</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1" w:name="page42"/>
    <w:bookmarkEnd w:id="41"/>
    <w:p>
      <w:pPr>
        <w:ind w:right="160" w:firstLine="255"/>
        <w:spacing w:after="0" w:line="254" w:lineRule="auto"/>
        <w:rPr>
          <w:sz w:val="20"/>
          <w:szCs w:val="20"/>
          <w:color w:val="auto"/>
        </w:rPr>
      </w:pPr>
      <w:r>
        <w:rPr>
          <w:rFonts w:ascii="Times New Roman" w:cs="Times New Roman" w:eastAsia="Times New Roman" w:hAnsi="Times New Roman"/>
          <w:sz w:val="18"/>
          <w:szCs w:val="18"/>
          <w:i w:val="1"/>
          <w:iCs w:val="1"/>
          <w:color w:val="auto"/>
        </w:rPr>
        <w:t>First-Lien Debt</w:t>
      </w:r>
      <w:r>
        <w:rPr>
          <w:rFonts w:ascii="Times New Roman" w:cs="Times New Roman" w:eastAsia="Times New Roman" w:hAnsi="Times New Roman"/>
          <w:sz w:val="18"/>
          <w:szCs w:val="18"/>
          <w:color w:val="auto"/>
        </w:rPr>
        <w:t>. When we make a first-lien loan, we generally take a security interest in the available assets of the portfolio company,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interests of its subsidiaries, which we expect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In some circumstances, our lien is, or could become, subordinated to claims of other creditors. Consequently, the fact that a loan is secured does not guarantee that we will receive principal and interest payments according to the loan’s terms, or at all, or that we will be able to collect on the loan should we need to enforce our remedies. In addition, in connection with our “last out” first-lien loans, we enter into agreements among lenders. Under these agreements, our interest in the collateral of the first-lien loans may rank junior to those of other lenders in the loan under certain circumstances. This may result in greater risk and loss of principal on these loans.</w:t>
      </w:r>
    </w:p>
    <w:p>
      <w:pPr>
        <w:spacing w:after="0" w:line="188" w:lineRule="exact"/>
        <w:rPr>
          <w:sz w:val="20"/>
          <w:szCs w:val="20"/>
          <w:color w:val="auto"/>
        </w:rPr>
      </w:pPr>
    </w:p>
    <w:p>
      <w:pPr>
        <w:jc w:val="both"/>
        <w:ind w:right="200" w:firstLine="255"/>
        <w:spacing w:after="0" w:line="267" w:lineRule="auto"/>
        <w:rPr>
          <w:sz w:val="20"/>
          <w:szCs w:val="20"/>
          <w:color w:val="auto"/>
        </w:rPr>
      </w:pPr>
      <w:r>
        <w:rPr>
          <w:rFonts w:ascii="Times New Roman" w:cs="Times New Roman" w:eastAsia="Times New Roman" w:hAnsi="Times New Roman"/>
          <w:sz w:val="18"/>
          <w:szCs w:val="18"/>
          <w:i w:val="1"/>
          <w:iCs w:val="1"/>
          <w:color w:val="auto"/>
        </w:rPr>
        <w:t>Second-Lien and Mezzanine Debt</w:t>
      </w:r>
      <w:r>
        <w:rPr>
          <w:rFonts w:ascii="Times New Roman" w:cs="Times New Roman" w:eastAsia="Times New Roman" w:hAnsi="Times New Roman"/>
          <w:sz w:val="18"/>
          <w:szCs w:val="18"/>
          <w:color w:val="auto"/>
        </w:rPr>
        <w:t>. Our investments in second-lien and mezzanine debt generally are subordinated to senior loans and will either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junior security interests or be unsecured. As such, other creditors may rank senior to us in the event of insolvency. This may result in greater risk and loss of principal.</w:t>
      </w:r>
    </w:p>
    <w:p>
      <w:pPr>
        <w:spacing w:after="0" w:line="173"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Equity and Other Investments. </w:t>
      </w:r>
      <w:r>
        <w:rPr>
          <w:rFonts w:ascii="Times New Roman" w:cs="Times New Roman" w:eastAsia="Times New Roman" w:hAnsi="Times New Roman"/>
          <w:sz w:val="18"/>
          <w:szCs w:val="18"/>
          <w:color w:val="auto"/>
        </w:rPr>
        <w:t>When we invest in first-lien debt, second-lien debt or mezzanine debt, we may acquire equity securities,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options and convertible instruments. In addition, we may invest directly in the equity securities of portfolio companies. We seek to dispose of these equity interests and realize gains upon our disposition of these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 xml:space="preserve">Preferred Shares. </w:t>
      </w:r>
      <w:r>
        <w:rPr>
          <w:rFonts w:ascii="Times New Roman" w:cs="Times New Roman" w:eastAsia="Times New Roman" w:hAnsi="Times New Roman"/>
          <w:sz w:val="18"/>
          <w:szCs w:val="18"/>
          <w:color w:val="auto"/>
        </w:rPr>
        <w:t>To the extent we invest in preferred securities, we may incur particular risks, including:</w:t>
      </w:r>
    </w:p>
    <w:p>
      <w:pPr>
        <w:spacing w:after="0" w:line="119" w:lineRule="exact"/>
        <w:rPr>
          <w:sz w:val="20"/>
          <w:szCs w:val="20"/>
          <w:color w:val="auto"/>
        </w:rPr>
      </w:pPr>
    </w:p>
    <w:p>
      <w:pPr>
        <w:ind w:left="520" w:right="300" w:hanging="257"/>
        <w:spacing w:after="0" w:line="266"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securities may include provisions that permit the issuer, at its discretion, to defer distributions for a stated period without any adverse consequences to the issuer. If we own a preferred security that is deferring its distributions, we may be required to report income for U.S. federal income tax purposes before we receive such distributions;</w:t>
      </w:r>
    </w:p>
    <w:p>
      <w:pPr>
        <w:spacing w:after="0" w:line="67" w:lineRule="exact"/>
        <w:rPr>
          <w:rFonts w:ascii="Times New Roman" w:cs="Times New Roman" w:eastAsia="Times New Roman" w:hAnsi="Times New Roman"/>
          <w:sz w:val="18"/>
          <w:szCs w:val="18"/>
          <w:color w:val="auto"/>
        </w:rPr>
      </w:pPr>
    </w:p>
    <w:p>
      <w:pPr>
        <w:ind w:left="520" w:right="260" w:hanging="257"/>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securities are subordinated to bonds and other debt instruments in a company’s capital structure in terms of priority to corporate income and liquidation payments, and therefore are subject to greater credit risk than more senior debt instruments; and</w:t>
      </w:r>
    </w:p>
    <w:p>
      <w:pPr>
        <w:spacing w:after="0" w:line="53" w:lineRule="exact"/>
        <w:rPr>
          <w:rFonts w:ascii="Times New Roman" w:cs="Times New Roman" w:eastAsia="Times New Roman" w:hAnsi="Times New Roman"/>
          <w:sz w:val="18"/>
          <w:szCs w:val="18"/>
          <w:color w:val="auto"/>
        </w:rPr>
      </w:pPr>
    </w:p>
    <w:p>
      <w:pPr>
        <w:jc w:val="both"/>
        <w:ind w:left="520" w:right="60" w:hanging="257"/>
        <w:spacing w:after="0" w:line="266"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preferred security holders have no voting rights with respect to the issuing company unless preferred dividends have been in arrears for a specified number of periods, at which time the preferred security holders may elect a number of trustees to the issuer’s board; generally, once all the arrearages have been paid, the preferred security holders no longer have voting rights.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addition, our investments generally involve a number of significant risks, including:</w:t>
      </w:r>
    </w:p>
    <w:p>
      <w:pPr>
        <w:spacing w:after="0" w:line="117" w:lineRule="exact"/>
        <w:rPr>
          <w:sz w:val="20"/>
          <w:szCs w:val="20"/>
          <w:color w:val="auto"/>
        </w:rPr>
      </w:pPr>
    </w:p>
    <w:p>
      <w:pPr>
        <w:ind w:left="520" w:right="80" w:hanging="257"/>
        <w:spacing w:after="0" w:line="266"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67" w:lineRule="exact"/>
        <w:rPr>
          <w:rFonts w:ascii="Times New Roman" w:cs="Times New Roman" w:eastAsia="Times New Roman" w:hAnsi="Times New Roman"/>
          <w:sz w:val="18"/>
          <w:szCs w:val="18"/>
          <w:color w:val="auto"/>
        </w:rPr>
      </w:pPr>
    </w:p>
    <w:p>
      <w:pPr>
        <w:ind w:left="520" w:hanging="257"/>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typically have shorter operating histories, narrower product lines and smaller market shares than larger businesses, which tend to render them more vulnerable to competitors’ actions and market conditions, as well as general economic downturns;</w:t>
      </w:r>
    </w:p>
    <w:p>
      <w:pPr>
        <w:spacing w:after="0" w:line="53" w:lineRule="exact"/>
        <w:rPr>
          <w:rFonts w:ascii="Times New Roman" w:cs="Times New Roman" w:eastAsia="Times New Roman" w:hAnsi="Times New Roman"/>
          <w:sz w:val="18"/>
          <w:szCs w:val="18"/>
          <w:color w:val="auto"/>
        </w:rPr>
      </w:pPr>
    </w:p>
    <w:p>
      <w:pPr>
        <w:jc w:val="both"/>
        <w:ind w:left="520" w:right="40" w:hanging="257"/>
        <w:spacing w:after="0" w:line="266"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67" w:lineRule="exact"/>
        <w:rPr>
          <w:rFonts w:ascii="Times New Roman" w:cs="Times New Roman" w:eastAsia="Times New Roman" w:hAnsi="Times New Roman"/>
          <w:sz w:val="18"/>
          <w:szCs w:val="18"/>
          <w:color w:val="auto"/>
        </w:rPr>
      </w:pPr>
    </w:p>
    <w:p>
      <w:pPr>
        <w:ind w:left="520" w:right="20" w:hanging="257"/>
        <w:spacing w:after="0" w:line="266"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generally have less predictable operating results, may be engaged in rapidly changing businesses with products subject to a substantial risk of obsolescence, and may require substantial additional capital to support their operations, finance expansion or maintain their competitive position;</w:t>
      </w:r>
    </w:p>
    <w:p>
      <w:pPr>
        <w:spacing w:after="0" w:line="67" w:lineRule="exact"/>
        <w:rPr>
          <w:rFonts w:ascii="Times New Roman" w:cs="Times New Roman" w:eastAsia="Times New Roman" w:hAnsi="Times New Roman"/>
          <w:sz w:val="18"/>
          <w:szCs w:val="18"/>
          <w:color w:val="auto"/>
        </w:rPr>
      </w:pPr>
    </w:p>
    <w:p>
      <w:pPr>
        <w:ind w:left="520" w:right="160" w:hanging="257"/>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53" w:lineRule="exact"/>
        <w:rPr>
          <w:rFonts w:ascii="Times New Roman" w:cs="Times New Roman" w:eastAsia="Times New Roman" w:hAnsi="Times New Roman"/>
          <w:sz w:val="18"/>
          <w:szCs w:val="18"/>
          <w:color w:val="auto"/>
        </w:rPr>
      </w:pPr>
    </w:p>
    <w:p>
      <w:pPr>
        <w:ind w:left="520" w:right="840" w:hanging="257"/>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officers, trustees and Adviser may, in the ordinary course of business, be named as defendants in litigation arising from our investments in the portfolio companies;</w:t>
      </w:r>
    </w:p>
    <w:p>
      <w:pPr>
        <w:spacing w:after="0" w:line="53" w:lineRule="exact"/>
        <w:rPr>
          <w:rFonts w:ascii="Times New Roman" w:cs="Times New Roman" w:eastAsia="Times New Roman" w:hAnsi="Times New Roman"/>
          <w:sz w:val="18"/>
          <w:szCs w:val="18"/>
          <w:color w:val="auto"/>
        </w:rPr>
      </w:pPr>
    </w:p>
    <w:p>
      <w:pPr>
        <w:ind w:left="520" w:right="140" w:hanging="257"/>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generally have less publicly available information about their businesses, operations and financial condition and, if we are unable to uncover all material information about these companies, we may not make a fully informed investment decision; and</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42" w:name="page43"/>
    <w:bookmarkEnd w:id="42"/>
    <w:p>
      <w:pPr>
        <w:ind w:left="520" w:right="340" w:hanging="257"/>
        <w:spacing w:after="0" w:line="282"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may have difficulty accessing the capital markets to meet future capital needs, which may limit their ability to grow or to repay their outstanding indebtedness upon maturity.</w:t>
      </w:r>
    </w:p>
    <w:p>
      <w:pPr>
        <w:spacing w:after="0" w:line="158" w:lineRule="exact"/>
        <w:rPr>
          <w:sz w:val="20"/>
          <w:szCs w:val="20"/>
          <w:color w:val="auto"/>
        </w:rPr>
      </w:pPr>
    </w:p>
    <w:p>
      <w:pPr>
        <w:ind w:right="40" w:firstLine="25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Subordinated Debt</w:t>
      </w:r>
      <w:r>
        <w:rPr>
          <w:rFonts w:ascii="Times New Roman" w:cs="Times New Roman" w:eastAsia="Times New Roman" w:hAnsi="Times New Roman"/>
          <w:sz w:val="18"/>
          <w:szCs w:val="18"/>
          <w:color w:val="auto"/>
        </w:rPr>
        <w:t>. Our subordinated debt investments will generally rank junior in priority of payment to senior debt and will generally be unsecured.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may result in a heightened level of risk and volatility or a loss of principal, which could lead to the loss of the entire investment. These investments may involve additional risks that could adversely affect our investment returns. To the extent interest payments associated with such debt are deferred, such debt may be subject to greater fluctuations in valuations, and such debt could subject us and our shareholders to non-cash income. Because we will not receive any principal repayments prior to the maturity of some of our subordinated debt investments, such investments will be of greater risk than amortizing loans.</w:t>
      </w:r>
    </w:p>
    <w:p>
      <w:pPr>
        <w:spacing w:after="0" w:line="74"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Non-U.S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Securities</w:t>
      </w:r>
      <w:r>
        <w:rPr>
          <w:rFonts w:ascii="Times New Roman" w:cs="Times New Roman" w:eastAsia="Times New Roman" w:hAnsi="Times New Roman"/>
          <w:sz w:val="18"/>
          <w:szCs w:val="18"/>
          <w:color w:val="auto"/>
        </w:rPr>
        <w:t>. We may invest in non-U.S. securities, which may include securities denominated in U.S. dollars or in non-U.S. currencies,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extent permitted by the 1940 Act. Because evidence of ownership of such securities usually is held outside the United States, we would be subject to additional risks if we invested in non-U.S. securities, which include possible adverse political and economic developments, seizure or nationalization of foreign deposits and adoption of governmental restrictions, which might adversely affect or restrict the payment of principal and interest on the non-U.S. securities to shareholders located outside the country of the issuer, whether from currency blockage or otherwise. Because non-U.S. securities may be purchased with and payable in foreign currencies, the value of these assets as measured in U.S. dollars may be affected unfavorably by changes in currency rates and exchange control regulations.</w:t>
      </w:r>
    </w:p>
    <w:p>
      <w:pPr>
        <w:spacing w:after="0" w:line="75" w:lineRule="exact"/>
        <w:rPr>
          <w:sz w:val="20"/>
          <w:szCs w:val="20"/>
          <w:color w:val="auto"/>
        </w:rPr>
      </w:pPr>
    </w:p>
    <w:p>
      <w:pPr>
        <w:ind w:right="100" w:firstLine="25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Junior, Unsecured Securities. </w:t>
      </w:r>
      <w:r>
        <w:rPr>
          <w:rFonts w:ascii="Times New Roman" w:cs="Times New Roman" w:eastAsia="Times New Roman" w:hAnsi="Times New Roman"/>
          <w:sz w:val="18"/>
          <w:szCs w:val="18"/>
          <w:color w:val="auto"/>
        </w:rPr>
        <w:t>Our strategy may entail acquiring securities that are junior or unsecured instruments. While this approach can facilitate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obtaining control and then adding value through active management, it also means that certain of the Company’s investments may be unsecured. If a portfolio company becomes financially distressed or insolvent and does not successfully reorganize, we will have no assurance (compared to those distressed securities investors that acquire only fully collateralized positions) that we will recover any of the principal that we have invested. Similarly, investments in “last out” pieces of unitranche loans will be similar to second lien loans in that such investments will be junior in priority to the “first out” piece of the same unitranche loan with respect to payment of principal, interest and other amounts. Consequently, the fact that debt is secured does not guarantee that we will receive principal and interest payments according to the debt’s terms, or at all, or that we will be able to collect on the debt should it be forced to enforce its remedies.</w:t>
      </w:r>
    </w:p>
    <w:p>
      <w:pPr>
        <w:spacing w:after="0" w:line="81" w:lineRule="exact"/>
        <w:rPr>
          <w:sz w:val="20"/>
          <w:szCs w:val="20"/>
          <w:color w:val="auto"/>
        </w:rPr>
      </w:pPr>
    </w:p>
    <w:p>
      <w:pPr>
        <w:ind w:right="40" w:firstLine="255"/>
        <w:spacing w:after="0" w:line="254" w:lineRule="auto"/>
        <w:rPr>
          <w:sz w:val="20"/>
          <w:szCs w:val="20"/>
          <w:color w:val="auto"/>
        </w:rPr>
      </w:pPr>
      <w:r>
        <w:rPr>
          <w:rFonts w:ascii="Times New Roman" w:cs="Times New Roman" w:eastAsia="Times New Roman" w:hAnsi="Times New Roman"/>
          <w:sz w:val="18"/>
          <w:szCs w:val="18"/>
          <w:color w:val="auto"/>
        </w:rPr>
        <w:t>While such junior or unsecured investments may benefit from the same or similar financial and other covenants as those enjoyed by the indebtedness ranking more senior to such investments and may benefit from cross-default provisions and security over the issuer’s assets, some or all of such terms may not be part of particular investments. Moreover, our ability to influence an issuer’s affairs, especially during periods of financial distress or following insolvency, is likely to be substantially less than that of senior creditors. For example, under typical subordination terms, senior creditors are able to block the acceleration of the junior debt or the exercise by junior debt holders of other rights they may have as creditors. Accordingly, we may not be able to take steps to protect investments in a timely manner or at all, and there can be no assurance that our rate of return objectives or any particular investment will be achieved. In addition, the debt securities in which we will invest may not be protected by financial covenants or limitations upon additional indebtedness, may have limited liquidity and are not expected to be rated by a credit rating agency.</w:t>
      </w:r>
    </w:p>
    <w:p>
      <w:pPr>
        <w:spacing w:after="0" w:line="84" w:lineRule="exact"/>
        <w:rPr>
          <w:sz w:val="20"/>
          <w:szCs w:val="20"/>
          <w:color w:val="auto"/>
        </w:rPr>
      </w:pPr>
    </w:p>
    <w:p>
      <w:pPr>
        <w:ind w:right="380" w:firstLine="255"/>
        <w:spacing w:after="0" w:line="282" w:lineRule="auto"/>
        <w:rPr>
          <w:sz w:val="20"/>
          <w:szCs w:val="20"/>
          <w:color w:val="auto"/>
        </w:rPr>
      </w:pPr>
      <w:r>
        <w:rPr>
          <w:rFonts w:ascii="Times New Roman" w:cs="Times New Roman" w:eastAsia="Times New Roman" w:hAnsi="Times New Roman"/>
          <w:sz w:val="18"/>
          <w:szCs w:val="18"/>
          <w:color w:val="auto"/>
        </w:rPr>
        <w:t>Early repayments of our investments may have a material adverse effect on our investment objectives. In addition, depending on fluctuations of the equity markets and other factors, warrants and other equity investments may become worthless.</w:t>
      </w:r>
    </w:p>
    <w:p>
      <w:pPr>
        <w:spacing w:after="0" w:line="54"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There can be no assurance that attempts to provide downside protection through contractual or structural terms with respect to our investments will achieve their desired effect and potential investors should regard an investment in us as being speculative and having a high degree of risk. Furthermore, we have limited flexibility to negotiate terms when purchasing newly issued investments in connection with a syndication of mezzanine or certain other junior or subordinated investments or in the secondary market.</w:t>
      </w:r>
    </w:p>
    <w:p>
      <w:pPr>
        <w:spacing w:after="0" w:line="68" w:lineRule="exact"/>
        <w:rPr>
          <w:sz w:val="20"/>
          <w:szCs w:val="20"/>
          <w:color w:val="auto"/>
        </w:rPr>
      </w:pPr>
    </w:p>
    <w:p>
      <w:pPr>
        <w:ind w:right="260" w:firstLine="25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“Covenant-lite” Obligations</w:t>
      </w:r>
      <w:r>
        <w:rPr>
          <w:rFonts w:ascii="Times New Roman" w:cs="Times New Roman" w:eastAsia="Times New Roman" w:hAnsi="Times New Roman"/>
          <w:sz w:val="18"/>
          <w:szCs w:val="18"/>
          <w:color w:val="auto"/>
        </w:rPr>
        <w:t>. We may invest in, or obtain exposure to, obligations that may be “covenant- lite,” which means such obligations lack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financial maintenance covenants. While these loans may still contain other collateral protections, a covenant-lite loan may carry more risk than a covenant-heavy loan made by the same borrower, as it does not require the borrower to provide affirmation that certain specific financial tests have been satisfied on a routine basis as is required under a covenant-heavy loan agreement. Should a loan we hold begin to deteriorate in quality, our ability to negotiate with the borrower may be delayed under a covenant-lite loan compared to a loan with full maintenance covenants. This may in turn delay our ability to seek to recover its investment.</w:t>
      </w:r>
    </w:p>
    <w:p>
      <w:pPr>
        <w:spacing w:after="0" w:line="74" w:lineRule="exact"/>
        <w:rPr>
          <w:sz w:val="20"/>
          <w:szCs w:val="20"/>
          <w:color w:val="auto"/>
        </w:rPr>
      </w:pPr>
    </w:p>
    <w:p>
      <w:pPr>
        <w:ind w:firstLine="25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Restructurings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Investments in companies operating in workout or bankruptcy modes present additional legal risks, including fraudulent conveyance,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voidable preference and equitable subordination risks. The level of analytical sophistication, both financial and legal, necessary for successful investment in companies experiencing significant business and financial difficulties is unusually high. There is no assurance that we will correctly evaluate the value of the assets collateralizing our loans or the prospects for a successful reorganization or similar action.</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Investing in upper middle-market companies involves a number of significant risks, any one of which could have a material adverse effect on our operating results.</w:t>
      </w:r>
    </w:p>
    <w:p>
      <w:pPr>
        <w:spacing w:after="0" w:line="1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Investments in upper middle-market companies involve the same risks that apply generally to investments in larger, more established companies.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such investments have more pronounced risks in that upper middle-market companies:</w:t>
      </w:r>
    </w:p>
    <w:p>
      <w:pPr>
        <w:spacing w:after="0" w:line="99" w:lineRule="exact"/>
        <w:rPr>
          <w:sz w:val="20"/>
          <w:szCs w:val="20"/>
          <w:color w:val="auto"/>
        </w:rPr>
      </w:pPr>
    </w:p>
    <w:p>
      <w:pPr>
        <w:ind w:left="1020" w:right="60" w:hanging="503"/>
        <w:spacing w:after="0" w:line="266"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limited financial resources and may be unable to meet their obligations under their debt securities that we hold, which may be accompanied by a deterioration in the value of any collateral and a reduction in the likelihood of us realizing on any guarantees we may have obtained in connection with our investment;</w:t>
      </w:r>
    </w:p>
    <w:p>
      <w:pPr>
        <w:spacing w:after="0" w:line="6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shorter operating histories, narrower product lines and smaller market shares than larger businesses, which tends to render them more vulnerable to competitors’ actions and changing market conditions, as well as general economic downturns;</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53"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Trustees and members of the Adviser may, in the ordinary course of business, be named as defendants in litigation arising from our investments in the portfolio companies; and</w:t>
      </w:r>
    </w:p>
    <w:p>
      <w:pPr>
        <w:spacing w:after="0" w:line="56" w:lineRule="exact"/>
        <w:rPr>
          <w:rFonts w:ascii="Times New Roman" w:cs="Times New Roman" w:eastAsia="Times New Roman" w:hAnsi="Times New Roman"/>
          <w:sz w:val="17"/>
          <w:szCs w:val="17"/>
          <w:color w:val="auto"/>
        </w:rPr>
      </w:pPr>
    </w:p>
    <w:p>
      <w:pPr>
        <w:ind w:left="1020" w:right="68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difficulty accessing the capital markets to meet future capital needs, which may limit their ability to grow or to repay their outstanding indebtedness upon maturity.</w:t>
      </w:r>
    </w:p>
    <w:p>
      <w:pPr>
        <w:spacing w:after="0" w:line="26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investment strategy focused primarily on privately-held companies presents certain challenges, including, but not limited to, the lack of available information about these companies.</w:t>
      </w:r>
    </w:p>
    <w:p>
      <w:pPr>
        <w:spacing w:after="0" w:line="159" w:lineRule="exact"/>
        <w:rPr>
          <w:sz w:val="20"/>
          <w:szCs w:val="20"/>
          <w:color w:val="auto"/>
        </w:rPr>
      </w:pPr>
    </w:p>
    <w:p>
      <w:pPr>
        <w:ind w:right="20" w:firstLine="255"/>
        <w:spacing w:after="0" w:line="268" w:lineRule="auto"/>
        <w:rPr>
          <w:sz w:val="20"/>
          <w:szCs w:val="20"/>
          <w:color w:val="auto"/>
        </w:rPr>
      </w:pPr>
      <w:r>
        <w:rPr>
          <w:rFonts w:ascii="Times New Roman" w:cs="Times New Roman" w:eastAsia="Times New Roman" w:hAnsi="Times New Roman"/>
          <w:sz w:val="17"/>
          <w:szCs w:val="17"/>
          <w:color w:val="auto"/>
        </w:rPr>
        <w:t>We intend to invest primarily in privately-held companies. Investments in private companies may pose greater risks than investments in public companies. First, private companies have reduced access to the capital markets, resulting in diminished capital resources and the ability to withstand financial distress. Second, the depth and breadth of experience of management in private companies tends to be less than that at public companies, which makes such companies more likely to depend on the management talents and efforts of a smaller group of persons and/or persons with less depth and breadth of experience. Therefore, the decisions made by such management teams and/or the death, disability, resignation or termination of one or more of these persons could have a material adverse impact on our investments and, in turn, on us. Third, the investments themselves tend to be less liquid. As such, we may have difficulty exiting an investment promptly or at a desired price prior to maturity or outside of a normal repayment schedule. As a result, the relative lack of liquidity and the potential diminished capital resources of our target portfolio companies may affect our investment returns. Fourth, little public information generally exists about private companies. Further, these companies may not have third-party debt ratings or audited financial statements. We must therefore rely on the ability of the Adviser to obtain adequate information through due diligence to evaluate the creditworthiness and potential returns from investing in these companies. The Adviser would typically assess an investment in a portfolio company based on the Adviser’s estimate of the portfolio company’s earnings and enterprise value, among other factors, and these estimates may be based on limited information and may otherwise be inaccurate, causing the Adviser to make different investment decisions than it may have made with more complete information. These companies and their financial information will generally not be subject to the Sarbanes-Oxley Act and other rules that govern public companies. If we are unable to determine all material information about these companies, we may not make a fully informed investment decision, and we may lose money on our investments.</w:t>
      </w:r>
    </w:p>
    <w:p>
      <w:pPr>
        <w:spacing w:after="0" w:line="28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175"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8"/>
          <w:szCs w:val="18"/>
          <w:color w:val="auto"/>
        </w:rPr>
        <w:t>Investments are valued at the end of each fiscal quarter. The majority of our investments are expected to be in loans that do not have readily ascertainable market prices. The fair value of investments that are not publicly traded or whose market prices are not readily available are determined in good faith by the Board, which is supported by the valuation committee of our Adviser and by the audit committee of our Board. The Board has retained independent third-party valuation firms to perform certain limited third-party valuation services that the Board identified and requested them to perform. In accordance with our valuation policy, our Investment Team prepares portfolio company valuations using sources or proprietary models depending on the availability of information on our</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4" w:name="page45"/>
    <w:bookmarkEnd w:id="44"/>
    <w:p>
      <w:pPr>
        <w:ind w:right="440"/>
        <w:spacing w:after="0" w:line="282" w:lineRule="auto"/>
        <w:rPr>
          <w:sz w:val="20"/>
          <w:szCs w:val="20"/>
          <w:color w:val="auto"/>
        </w:rPr>
      </w:pPr>
      <w:r>
        <w:rPr>
          <w:rFonts w:ascii="Times New Roman" w:cs="Times New Roman" w:eastAsia="Times New Roman" w:hAnsi="Times New Roman"/>
          <w:sz w:val="18"/>
          <w:szCs w:val="18"/>
          <w:color w:val="auto"/>
        </w:rPr>
        <w:t>investments and the type of asset being valued. The participation of the Adviser in our valuation process could result in a conflict of interest, since the Management Fee is based on the value of our gross assets.</w:t>
      </w:r>
    </w:p>
    <w:p>
      <w:pPr>
        <w:spacing w:after="0" w:line="162"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Factors that we may consider in determining the fair value of our investments include the nature and realizable value of any collateral, the portfolio company’s earnings and its ability to make payments on its indebtedness, the markets in which the portfolio company does business, comparison to similar publicly traded companies, discounted cash flow and other relevant factors. 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Shares. In addition, the valuation of these types of securities may result in substantial write-downs and earnings volatility.</w:t>
      </w:r>
    </w:p>
    <w:p>
      <w:pPr>
        <w:spacing w:after="0" w:line="192" w:lineRule="exact"/>
        <w:rPr>
          <w:sz w:val="20"/>
          <w:szCs w:val="20"/>
          <w:color w:val="auto"/>
        </w:rPr>
      </w:pPr>
    </w:p>
    <w:p>
      <w:pPr>
        <w:jc w:val="both"/>
        <w:ind w:right="100" w:firstLine="255"/>
        <w:spacing w:after="0" w:line="266" w:lineRule="auto"/>
        <w:rPr>
          <w:sz w:val="20"/>
          <w:szCs w:val="20"/>
          <w:color w:val="auto"/>
        </w:rPr>
      </w:pPr>
      <w:r>
        <w:rPr>
          <w:rFonts w:ascii="Times New Roman" w:cs="Times New Roman" w:eastAsia="Times New Roman" w:hAnsi="Times New Roman"/>
          <w:sz w:val="18"/>
          <w:szCs w:val="18"/>
          <w:color w:val="auto"/>
        </w:rPr>
        <w:t>Decreases in the market values or fair values of our investments are recorded as unrealized losses. The effect of all of these factors on our portfolio can reduce our net asset value by increasing net unrealized losses in our portfolio. Depending on market conditions, we could incur substantial realized losses and may suffer unrealized losses, which could have a material adverse impact on our business,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lack of liquidity in our investments may adversely affect our business.</w:t>
      </w:r>
    </w:p>
    <w:p>
      <w:pPr>
        <w:spacing w:after="0" w:line="229" w:lineRule="exact"/>
        <w:rPr>
          <w:sz w:val="20"/>
          <w:szCs w:val="20"/>
          <w:color w:val="auto"/>
        </w:rPr>
      </w:pPr>
    </w:p>
    <w:p>
      <w:pPr>
        <w:jc w:val="both"/>
        <w:ind w:right="20" w:firstLine="255"/>
        <w:spacing w:after="0" w:line="258" w:lineRule="auto"/>
        <w:rPr>
          <w:sz w:val="20"/>
          <w:szCs w:val="20"/>
          <w:color w:val="auto"/>
        </w:rPr>
      </w:pPr>
      <w:r>
        <w:rPr>
          <w:rFonts w:ascii="Times New Roman" w:cs="Times New Roman" w:eastAsia="Times New Roman" w:hAnsi="Times New Roman"/>
          <w:sz w:val="18"/>
          <w:szCs w:val="18"/>
          <w:color w:val="auto"/>
        </w:rPr>
        <w:t>We generally make loans to private companies. There may not be a ready market for our loans and certain loans may contain transfer restrictions, which may also limit liquidity. The illiquidity of these investments may make it difficult for us to sell positions if the need arises. In addition, if we are required to liquidate all or a portion of our portfolio quickly, we may realize significantly less than the value at which we had previously recorded these investments. In addition, we may face other restrictions on our ability to liquidate an investment in a portfolio company to the extent that we hold a significant portion of a company’s equity or if we have material nonpublic information regarding that company.</w:t>
      </w:r>
    </w:p>
    <w:p>
      <w:pPr>
        <w:spacing w:after="0" w:line="28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159"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Our portfolio is currently invested in a limited number of portfolio companies and industries and may continue to be in the near future. Beyond the asset diversification requirements associated with our qualification as a RIC for U.S. federal income tax purposes, we do not have fixed guidelines for diversification. While we are not targeting any specific industries, our investments may be focused on relatively few industries. For example, although we classify the industries of our portfolio companies by end-market (such as healthcare, and business services) and not by the products or services (such as software) directed to those end-markets, many of our portfolio companies principally provide software products or services, which exposes us to downturns in that sector. As a result, the aggregate returns we realize may be significantly adversely affected if a small number of investments perform poorly or if we need to write down the value of any one investment. Additionally, a downturn in any particular industry in which we are invested could significantly affect our aggregate returns.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securitize certain of our investments, which may subject us to certain structured financing risks.</w:t>
      </w:r>
    </w:p>
    <w:p>
      <w:pPr>
        <w:spacing w:after="0" w:line="229" w:lineRule="exact"/>
        <w:rPr>
          <w:sz w:val="20"/>
          <w:szCs w:val="20"/>
          <w:color w:val="auto"/>
        </w:rPr>
      </w:pPr>
    </w:p>
    <w:p>
      <w:pPr>
        <w:ind w:right="260" w:firstLine="255"/>
        <w:spacing w:after="0" w:line="289" w:lineRule="auto"/>
        <w:rPr>
          <w:sz w:val="20"/>
          <w:szCs w:val="20"/>
          <w:color w:val="auto"/>
        </w:rPr>
      </w:pPr>
      <w:r>
        <w:rPr>
          <w:rFonts w:ascii="Times New Roman" w:cs="Times New Roman" w:eastAsia="Times New Roman" w:hAnsi="Times New Roman"/>
          <w:sz w:val="17"/>
          <w:szCs w:val="17"/>
          <w:color w:val="auto"/>
        </w:rPr>
        <w:t>Although we have not done so to date, we may securitize certain of our investments in the future, including through the formation of one or more collateralized loan obligations, or CLOs, while retaining all or most of the exposure to the performance of these investments. This would involve contributing a pool of assets to a special purpose entity, and selling debt interests in that entity on a non-recourse or limited-recourse basis to purchasers.</w:t>
      </w:r>
    </w:p>
    <w:p>
      <w:pPr>
        <w:spacing w:after="0" w:line="158"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If we were to create a CLO or other securitization vehicle, we would depend on distributions from the vehicle to pay dividends to our shareholders. The ability of a CLO or other securitization vehicle to make distributions will be subject to various limitations, including the terms and covenants of the debt it issues. For example, tests (based on interest coverage or other financial ratios or other criteria) may restrict our ability, as holder of a CLO or other securitization vehicle equity interest, to receive cash flow from these investments. We cannot assure you that any such performance tests would be satisfied. Also, a CLO or other securitization vehicle may take actions that delay distributions to preserve ratings and to keep the cost of present and future financings lower or the financing vehicle may be obligated to retain cash or other assets to satisfy over-collateralization requirements commonly provided for holders of its debt. As a result, there may be a lag, which could be significant, between the repayment or other realization on a loan or other assets in, and the distribution of cash out of, a CLO or other securitization vehicle, or cash flow may be completely restricted for the life of the CLO or other securitization vehicle.</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5" w:name="page46"/>
    <w:bookmarkEnd w:id="45"/>
    <w:p>
      <w:pPr>
        <w:ind w:firstLine="255"/>
        <w:spacing w:after="0" w:line="256" w:lineRule="auto"/>
        <w:rPr>
          <w:sz w:val="20"/>
          <w:szCs w:val="20"/>
          <w:color w:val="auto"/>
        </w:rPr>
      </w:pPr>
      <w:r>
        <w:rPr>
          <w:rFonts w:ascii="Times New Roman" w:cs="Times New Roman" w:eastAsia="Times New Roman" w:hAnsi="Times New Roman"/>
          <w:sz w:val="18"/>
          <w:szCs w:val="18"/>
          <w:color w:val="auto"/>
        </w:rPr>
        <w:t>In addition, a decline in the credit quality of loans in a CLO or other securitization vehicle due to poor operating results of the relevant borrower, declines in the value of loan collateral or increases in defaults, among other things, may force the sale of certain assets at a loss, reducing their earnings and, in turn, cash potentially available for distribution to us for distribution to our shareholders. If we were to form a CLO or other securitization vehicle, to the extent that any losses were incurred by the financing vehicle in respect of any collateral, these losses would be borne first by us as owners of its equity interests. Any equity interests that we were to retain in a CLO or other securitization vehicle would not be secured by its assets and we would rank behind all of its creditors.</w:t>
      </w:r>
    </w:p>
    <w:p>
      <w:pPr>
        <w:spacing w:after="0" w:line="187" w:lineRule="exact"/>
        <w:rPr>
          <w:sz w:val="20"/>
          <w:szCs w:val="20"/>
          <w:color w:val="auto"/>
        </w:rPr>
      </w:pPr>
    </w:p>
    <w:p>
      <w:pPr>
        <w:jc w:val="center"/>
        <w:ind w:right="340"/>
        <w:spacing w:after="0" w:line="312" w:lineRule="auto"/>
        <w:rPr>
          <w:sz w:val="20"/>
          <w:szCs w:val="20"/>
          <w:color w:val="auto"/>
        </w:rPr>
      </w:pPr>
      <w:r>
        <w:rPr>
          <w:rFonts w:ascii="Times New Roman" w:cs="Times New Roman" w:eastAsia="Times New Roman" w:hAnsi="Times New Roman"/>
          <w:sz w:val="17"/>
          <w:szCs w:val="17"/>
          <w:color w:val="auto"/>
        </w:rPr>
        <w:t>A CLO or other securitization vehicle, if created, also would likely be consolidated in our financial statements and consequently affect our asset coverage ratio, which may limit our ability to incur additional leverage. See “</w:t>
      </w:r>
      <w:r>
        <w:rPr>
          <w:rFonts w:ascii="Times New Roman" w:cs="Times New Roman" w:eastAsia="Times New Roman" w:hAnsi="Times New Roman"/>
          <w:sz w:val="17"/>
          <w:szCs w:val="17"/>
          <w:i w:val="1"/>
          <w:iCs w:val="1"/>
          <w:color w:val="auto"/>
        </w:rPr>
        <w:t>ITEM 1. BUSINESS – Regulation as a Business Development Company.”</w:t>
      </w:r>
    </w:p>
    <w:p>
      <w:pPr>
        <w:spacing w:after="0" w:line="24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159" w:lineRule="exact"/>
        <w:rPr>
          <w:sz w:val="20"/>
          <w:szCs w:val="20"/>
          <w:color w:val="auto"/>
        </w:rPr>
      </w:pPr>
    </w:p>
    <w:p>
      <w:pPr>
        <w:ind w:right="80" w:firstLine="255"/>
        <w:spacing w:after="0" w:line="256" w:lineRule="auto"/>
        <w:rPr>
          <w:sz w:val="20"/>
          <w:szCs w:val="20"/>
          <w:color w:val="auto"/>
        </w:rPr>
      </w:pPr>
      <w:r>
        <w:rPr>
          <w:rFonts w:ascii="Times New Roman" w:cs="Times New Roman" w:eastAsia="Times New Roman" w:hAnsi="Times New Roman"/>
          <w:sz w:val="18"/>
          <w:szCs w:val="18"/>
          <w:color w:val="auto"/>
        </w:rPr>
        <w:t>We are a lender, and loans (and any equity investments we make) typically will be non-controlling investments, meaning we will not be in a position to control the management, operation and strategic decision-making of the companies we invest in (outside of, potentially, the context of a restructuring, insolvency or similar event). As a result, we will be subject to the risk that a portfolio company we do not control, or in which we do not have a majority ownership position, may make business decisions with which we disagree, and the equity holders and management of such a portfolio company may take risks or otherwise act in ways that are adverse to our interests. We may not be able to dispose of our investments in the event that we disagree with the actions of a portfolio company, and may therefore suffer a decrease in the value of our investments.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changes in interest rates.</w:t>
      </w:r>
    </w:p>
    <w:p>
      <w:pPr>
        <w:spacing w:after="0" w:line="229" w:lineRule="exact"/>
        <w:rPr>
          <w:sz w:val="20"/>
          <w:szCs w:val="20"/>
          <w:color w:val="auto"/>
        </w:rPr>
      </w:pPr>
    </w:p>
    <w:p>
      <w:pPr>
        <w:ind w:right="240" w:firstLine="255"/>
        <w:spacing w:after="0" w:line="256" w:lineRule="auto"/>
        <w:rPr>
          <w:sz w:val="20"/>
          <w:szCs w:val="20"/>
          <w:color w:val="auto"/>
        </w:rPr>
      </w:pPr>
      <w:r>
        <w:rPr>
          <w:rFonts w:ascii="Times New Roman" w:cs="Times New Roman" w:eastAsia="Times New Roman" w:hAnsi="Times New Roman"/>
          <w:sz w:val="18"/>
          <w:szCs w:val="18"/>
          <w:color w:val="auto"/>
        </w:rPr>
        <w:t>The majority of our debt investments are based on floating rates, such as, SOFR, EURIBOR, SONIA, the Federal Funds Rate or the Prime Rate. General interest rate fluctuations may have a substantial negative impact on our investments, the value of our Common Shares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 obligations of our borrowers and result in challenges to their financial performance and ability to repay their obligations.</w:t>
      </w:r>
    </w:p>
    <w:p>
      <w:pPr>
        <w:spacing w:after="0" w:line="187"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Shares less attractive if we are not able to increase our dividend rate, which could reduce the value of our Common Shares. Federal Reserve policy, including with respect to certain interest rates and the decision to end its quantitative easing policy, may also adversely affect the value, volatility and liquidity of dividend- and interest-paying securities. Market volatility, rising interest rates and/or a return to unfavorable economic conditions could adversely affect our business. See “</w:t>
      </w:r>
      <w:r>
        <w:rPr>
          <w:rFonts w:ascii="Times New Roman" w:cs="Times New Roman" w:eastAsia="Times New Roman" w:hAnsi="Times New Roman"/>
          <w:sz w:val="18"/>
          <w:szCs w:val="18"/>
          <w:i w:val="1"/>
          <w:iCs w:val="1"/>
          <w:color w:val="auto"/>
        </w:rPr>
        <w:t>—Risks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Economic Conditions—Uncertainty about financial stability could have a significant adverse effect on our business, results of operations and financial condition.</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162" w:lineRule="exact"/>
        <w:rPr>
          <w:sz w:val="20"/>
          <w:szCs w:val="20"/>
          <w:color w:val="auto"/>
        </w:rPr>
      </w:pPr>
    </w:p>
    <w:p>
      <w:pPr>
        <w:ind w:right="240" w:firstLine="255"/>
        <w:spacing w:after="0" w:line="266" w:lineRule="auto"/>
        <w:rPr>
          <w:sz w:val="20"/>
          <w:szCs w:val="20"/>
          <w:color w:val="auto"/>
        </w:rPr>
      </w:pPr>
      <w:r>
        <w:rPr>
          <w:rFonts w:ascii="Times New Roman" w:cs="Times New Roman" w:eastAsia="Times New Roman" w:hAnsi="Times New Roman"/>
          <w:sz w:val="18"/>
          <w:szCs w:val="18"/>
          <w:color w:val="auto"/>
        </w:rPr>
        <w:t>We may use interest rate risk management techniques in an effort to limit our exposure to interest rate fluctuations. These techniques may include various interest rate hedging activities to the extent permitted by the 1940 Act. See “</w:t>
      </w:r>
      <w:r>
        <w:rPr>
          <w:rFonts w:ascii="Times New Roman" w:cs="Times New Roman" w:eastAsia="Times New Roman" w:hAnsi="Times New Roman"/>
          <w:sz w:val="18"/>
          <w:szCs w:val="18"/>
          <w:i w:val="1"/>
          <w:iCs w:val="1"/>
          <w:color w:val="auto"/>
        </w:rPr>
        <w:t>—Risks Related to Our Portfolio Company Investments—We expose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ourselves to risks when we engage in hedging transactions.</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realize expected returns on our invested capital.</w:t>
      </w:r>
    </w:p>
    <w:p>
      <w:pPr>
        <w:spacing w:after="0" w:line="229"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We may not realize expected returns on our investment in a portfolio company due to changes in the portfolio company’s financial position or due to an acquisition of the portfolio company. If a portfolio company repays our loans prior to their maturity, we may not receive our expected returns on our invested capital. Many of our investments are structured to provide a disincentive for the borrower to pre-pay or call the security, but this call protection may not cover the full expected value of an investment if that investment is repaid prior to maturity.</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6" w:name="page47"/>
    <w:bookmarkEnd w:id="46"/>
    <w:p>
      <w:pPr>
        <w:ind w:firstLine="255"/>
        <w:spacing w:after="0" w:line="261" w:lineRule="auto"/>
        <w:rPr>
          <w:sz w:val="20"/>
          <w:szCs w:val="20"/>
          <w:color w:val="auto"/>
        </w:rPr>
      </w:pPr>
      <w:r>
        <w:rPr>
          <w:rFonts w:ascii="Times New Roman" w:cs="Times New Roman" w:eastAsia="Times New Roman" w:hAnsi="Times New Roman"/>
          <w:sz w:val="18"/>
          <w:szCs w:val="18"/>
          <w:color w:val="auto"/>
        </w:rPr>
        <w:t>Middle-market companies operate in a highly acquisitive market with frequent mergers and buyouts. If a portfolio company is acquired or merged with another company prior to drawing on our commitment, we would not realize our expected return. Similarly, in many cases companies will seek to restructure or repay their debt investments or buy our other equity ownership positions as part of an acquisition or merger transaction, which may result in a repayment of debt or other reduction of our investment.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By originating loans to companies that are experiencing significant financial or business difficulties, we may be exposed to distressed lending risks.</w:t>
      </w:r>
    </w:p>
    <w:p>
      <w:pPr>
        <w:spacing w:after="0" w:line="229" w:lineRule="exact"/>
        <w:rPr>
          <w:sz w:val="20"/>
          <w:szCs w:val="20"/>
          <w:color w:val="auto"/>
        </w:rPr>
      </w:pPr>
    </w:p>
    <w:p>
      <w:pPr>
        <w:ind w:right="140" w:firstLine="255"/>
        <w:spacing w:after="0" w:line="255" w:lineRule="auto"/>
        <w:rPr>
          <w:sz w:val="20"/>
          <w:szCs w:val="20"/>
          <w:color w:val="auto"/>
        </w:rPr>
      </w:pPr>
      <w:r>
        <w:rPr>
          <w:rFonts w:ascii="Times New Roman" w:cs="Times New Roman" w:eastAsia="Times New Roman" w:hAnsi="Times New Roman"/>
          <w:sz w:val="18"/>
          <w:szCs w:val="18"/>
          <w:color w:val="auto"/>
        </w:rPr>
        <w:t>As part of our lending activities, we may originate loans to companies that are experiencing significant financial or business difficulties, including companies involved in bankruptcy or other reorganization and liquidation proceedings. Although the terms of such financing may result in significant financial returns to us, they involve a substantial degree of risk. The level of analytical sophistication, both financial and legal, necessary for successful financing to companies experiencing significant business and financial difficulties is unusually high. We cannot assure you that we will correctly evaluate the value of the assets collateralizing our loans or the prospects for a successful reorganization or similar action. In any reorganization or liquidation proceeding relating to a company that we fund, we may lose all or part of the amounts advanced to the borrower or may be required to accept collateral with a value less than the amount of the loan advanced by us to the borrower.</w:t>
      </w:r>
    </w:p>
    <w:p>
      <w:pPr>
        <w:spacing w:after="0" w:line="293"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portfolio companies in some cases may incur debt or issue equity securities that rank equally with, or senior to, our investments in those companies.</w:t>
      </w:r>
    </w:p>
    <w:p>
      <w:pPr>
        <w:spacing w:after="0" w:line="159" w:lineRule="exact"/>
        <w:rPr>
          <w:sz w:val="20"/>
          <w:szCs w:val="20"/>
          <w:color w:val="auto"/>
        </w:rPr>
      </w:pPr>
    </w:p>
    <w:p>
      <w:pPr>
        <w:ind w:right="140" w:firstLine="255"/>
        <w:spacing w:after="0" w:line="254" w:lineRule="auto"/>
        <w:rPr>
          <w:sz w:val="20"/>
          <w:szCs w:val="20"/>
          <w:color w:val="auto"/>
        </w:rPr>
      </w:pPr>
      <w:r>
        <w:rPr>
          <w:rFonts w:ascii="Times New Roman" w:cs="Times New Roman" w:eastAsia="Times New Roman" w:hAnsi="Times New Roman"/>
          <w:sz w:val="18"/>
          <w:szCs w:val="18"/>
          <w:color w:val="auto"/>
        </w:rPr>
        <w:t>Our portfolio companies may have, or may be permitted to incur, other debt, or issue other equity securities that rank equally with, or senior to, our investments. By their terms, those instruments may provide that the holders are entitled to receive payment of dividends, interest or principal on or before the dates on which we are entitled to receive payments in respect of our investments. These debt instruments would usually prohibit the portfolio companies from paying interest on or repaying our investments in the event and during the continuance of a default under the debt. Also, in the event of insolvency, liquidation, dissolution, reorganization or bankruptcy of a portfolio company, holders of securities ranking senior to our investment in that portfolio company typically would be entitled to receive payment in full before we receive any distribution in respect of our investment. After repaying those holders, the portfolio company may not have any remaining assets to use for repaying its obligation to us. In the case of securities ranking equally with our investments, we would have to share on an equal basis any distributions with other security holders in the event of an insolvency, liquidation, dissolution, reorganization or bankruptcy of the relevant portfolio company.</w:t>
      </w:r>
    </w:p>
    <w:p>
      <w:pPr>
        <w:spacing w:after="0" w:line="188"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The rights we may have with respect to the collateral securing certain loans we make to our portfolio companies may also be limited pursuant to the terms of one or more intercreditor agreements or agreements among lenders. Under these agreements, we may forfeit certain rights with respect to the collateral to holders with prior claims. These rights may include the right to commence enforcement proceedings against the collateral, the right to control the conduct of those enforcement proceedings, the right to approve amendments to collateral documents, the right to release liens on the collateral and the right to waive past defaults under collateral documents. We may not have the ability to control or direct such actions, even if as a result our rights as lenders are adversely affected.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exposed to special risks associated with bankruptcy cases.</w:t>
      </w:r>
    </w:p>
    <w:p>
      <w:pPr>
        <w:spacing w:after="0" w:line="229"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8"/>
          <w:szCs w:val="18"/>
          <w:color w:val="auto"/>
        </w:rPr>
        <w:t>One or more of our portfolio companies may be involved in bankruptcy or other reorganization or liquidation proceedings. Many of the events within a bankruptcy case are adversarial and often beyond the control of the creditors. While creditors generally are afforded an opportunity to object to significant actions, we cannot assure you that a bankruptcy court would not approve actions that may be contrary to our interests. There also are instances where creditors can lose their ranking and priority if they are considered to have taken over management of a borrower. If one of our portfolio companies were to go bankrupt, depending on the facts and circumstances, including the extent to which we will actually provide significant managerial assistance to that portfolio company, a bankruptcy court might subordinate all or a portion of our claim to that of other creditors.</w:t>
      </w:r>
    </w:p>
    <w:p>
      <w:pPr>
        <w:spacing w:after="0" w:line="187" w:lineRule="exact"/>
        <w:rPr>
          <w:sz w:val="20"/>
          <w:szCs w:val="20"/>
          <w:color w:val="auto"/>
        </w:rPr>
      </w:pPr>
    </w:p>
    <w:p>
      <w:pPr>
        <w:ind w:right="200" w:firstLine="255"/>
        <w:spacing w:after="0" w:line="258" w:lineRule="auto"/>
        <w:rPr>
          <w:sz w:val="20"/>
          <w:szCs w:val="20"/>
          <w:color w:val="auto"/>
        </w:rPr>
      </w:pPr>
      <w:r>
        <w:rPr>
          <w:rFonts w:ascii="Times New Roman" w:cs="Times New Roman" w:eastAsia="Times New Roman" w:hAnsi="Times New Roman"/>
          <w:sz w:val="18"/>
          <w:szCs w:val="18"/>
          <w:color w:val="auto"/>
        </w:rPr>
        <w:t>The reorganization of a company can involve substantial legal, professional and administrative costs to a lender and the borrower. It is subject to unpredictable and lengthy delays, and during the process a company’s competitive position may erode, key management may depart and a company may not be able to invest adequately. In some cases, the debtor company may not be able to reorganize and may be required to liquidate assets. The debt of companies in financial reorganization will, in most cases, not pay current interest, may not accrue interest during reorganization and may be adversely affected by an erosion of the issuer’s fundamental value.</w:t>
      </w:r>
    </w:p>
    <w:p>
      <w:pPr>
        <w:spacing w:after="0" w:line="183" w:lineRule="exact"/>
        <w:rPr>
          <w:sz w:val="20"/>
          <w:szCs w:val="20"/>
          <w:color w:val="auto"/>
        </w:rPr>
      </w:pPr>
    </w:p>
    <w:p>
      <w:pPr>
        <w:ind w:right="300" w:firstLine="255"/>
        <w:spacing w:after="0" w:line="282" w:lineRule="auto"/>
        <w:rPr>
          <w:sz w:val="20"/>
          <w:szCs w:val="20"/>
          <w:color w:val="auto"/>
        </w:rPr>
      </w:pPr>
      <w:r>
        <w:rPr>
          <w:rFonts w:ascii="Times New Roman" w:cs="Times New Roman" w:eastAsia="Times New Roman" w:hAnsi="Times New Roman"/>
          <w:sz w:val="18"/>
          <w:szCs w:val="18"/>
          <w:color w:val="auto"/>
        </w:rPr>
        <w:t>In addition, lenders can be subject to lender liability claims for actions taken by them where they become too involved in the borrower’s business or exercise control over the borrower. For example, we could become subject to a lender liability claim (alleging</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7" w:name="page48"/>
    <w:bookmarkEnd w:id="47"/>
    <w:p>
      <w:pPr>
        <w:ind w:right="40"/>
        <w:spacing w:after="0" w:line="282" w:lineRule="auto"/>
        <w:rPr>
          <w:sz w:val="20"/>
          <w:szCs w:val="20"/>
          <w:color w:val="auto"/>
        </w:rPr>
      </w:pPr>
      <w:r>
        <w:rPr>
          <w:rFonts w:ascii="Times New Roman" w:cs="Times New Roman" w:eastAsia="Times New Roman" w:hAnsi="Times New Roman"/>
          <w:sz w:val="18"/>
          <w:szCs w:val="18"/>
          <w:color w:val="auto"/>
        </w:rPr>
        <w:t>that we misused our influence on the borrower for the benefit of its lenders), if, among other things, the borrower requests significant managerial assistance from us and we provide that assistance.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make follow-on investments in our portfolio companies could impair the value of our investments.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Following an initial investment in a portfolio company, we may make additional investments in that portfolio company as “follow-on” investments to:</w:t>
      </w:r>
    </w:p>
    <w:p>
      <w:pPr>
        <w:spacing w:after="0" w:line="117" w:lineRule="exact"/>
        <w:rPr>
          <w:sz w:val="20"/>
          <w:szCs w:val="20"/>
          <w:color w:val="auto"/>
        </w:rPr>
      </w:pPr>
    </w:p>
    <w:p>
      <w:pPr>
        <w:ind w:left="520" w:hanging="257"/>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maintain in whole or in part our equity ownership percentage;</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warrants, options or convertible securities that were acquired in the original or subsequent financing; or</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preserve or enhance the value of our investment.</w:t>
      </w:r>
    </w:p>
    <w:p>
      <w:pPr>
        <w:spacing w:after="0" w:line="225"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We may elect not to make follow-on investments, may be constrained in our ability to employ available funds, or otherwise may lack sufficient funds to make those investments. We have the discretion to make any follow-on investments, subject to the availability of capital resources. However, doing so could be placing even more capital at risk in existing portfolio companies.</w:t>
      </w:r>
    </w:p>
    <w:p>
      <w:pPr>
        <w:spacing w:after="0" w:line="176"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acquisitions or strategic investments that we pursue are subject to risks and uncertainties.</w:t>
      </w:r>
    </w:p>
    <w:p>
      <w:pPr>
        <w:spacing w:after="0" w:line="229" w:lineRule="exact"/>
        <w:rPr>
          <w:sz w:val="20"/>
          <w:szCs w:val="20"/>
          <w:color w:val="auto"/>
        </w:rPr>
      </w:pPr>
    </w:p>
    <w:p>
      <w:pPr>
        <w:ind w:right="140" w:firstLine="255"/>
        <w:spacing w:after="0" w:line="258" w:lineRule="auto"/>
        <w:rPr>
          <w:sz w:val="20"/>
          <w:szCs w:val="20"/>
          <w:color w:val="auto"/>
        </w:rPr>
      </w:pPr>
      <w:r>
        <w:rPr>
          <w:rFonts w:ascii="Times New Roman" w:cs="Times New Roman" w:eastAsia="Times New Roman" w:hAnsi="Times New Roman"/>
          <w:sz w:val="18"/>
          <w:szCs w:val="18"/>
          <w:color w:val="auto"/>
        </w:rPr>
        <w:t>We may pursue growth through acquisitions or strategic investments in new businesses. Completion and timing of any such acquisitions or strategic investments may be subject to a number of contingencies, including the uncertainty in reaching a commercial agreement with our counterparty, our ability to obtain required board, shareholder and regulatory approvals, as well as any required financing (or the risk that these are obtained subject to terms and conditions that are not anticipated). The announcement or consummation of any transaction also may adversely impact our business relationships or engender competitive responses.</w:t>
      </w:r>
    </w:p>
    <w:p>
      <w:pPr>
        <w:spacing w:after="0" w:line="183" w:lineRule="exact"/>
        <w:rPr>
          <w:sz w:val="20"/>
          <w:szCs w:val="20"/>
          <w:color w:val="auto"/>
        </w:rPr>
      </w:pPr>
    </w:p>
    <w:p>
      <w:pPr>
        <w:ind w:right="20" w:firstLine="255"/>
        <w:spacing w:after="0" w:line="255" w:lineRule="auto"/>
        <w:rPr>
          <w:sz w:val="20"/>
          <w:szCs w:val="20"/>
          <w:color w:val="auto"/>
        </w:rPr>
      </w:pPr>
      <w:r>
        <w:rPr>
          <w:rFonts w:ascii="Times New Roman" w:cs="Times New Roman" w:eastAsia="Times New Roman" w:hAnsi="Times New Roman"/>
          <w:sz w:val="18"/>
          <w:szCs w:val="18"/>
          <w:color w:val="auto"/>
        </w:rPr>
        <w:t>Acquisitions could involve numerous additional risks, such as unanticipated litigation, unexpected costs, liabilities, charges or expenses resulting from a transaction, the inability to generate sufficient revenue to offset acquisition costs and any changes in general economic or industry specific conditions. There can be no assurance that the integration of an acquired business will be successful or that an acquired business will prove to be profitable or sustainable. The failure to integrate successfully or to manage the challenges presented by an integration process may adversely impact our financial results. In addition, the proposal and negotiation of acquisitions or strategic investments, whether or not completed, as well as the integration of those businesses into our existing portfolio, could result in substantial expenses and the diversion of our Adviser’s time, attention and resources from our day-to-day operations.</w:t>
      </w:r>
    </w:p>
    <w:p>
      <w:pPr>
        <w:spacing w:after="0" w:line="189"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Our ability to manage our growth through acquisitions or strategic investments will depend, in part, on our success in addressing these risks. Any failure to effectively implement our acquisition or strategic investment strategies could have a material adverse effect on our business, financial condition or results of operations.</w:t>
      </w:r>
    </w:p>
    <w:p>
      <w:pPr>
        <w:spacing w:after="0" w:line="28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we will be able to obtain various required licenses in U.S. states or in any other jurisdiction where they may be required in the future.</w:t>
      </w:r>
    </w:p>
    <w:p>
      <w:pPr>
        <w:spacing w:after="0" w:line="159" w:lineRule="exact"/>
        <w:rPr>
          <w:sz w:val="20"/>
          <w:szCs w:val="20"/>
          <w:color w:val="auto"/>
        </w:rPr>
      </w:pPr>
    </w:p>
    <w:p>
      <w:pPr>
        <w:ind w:right="160" w:firstLine="255"/>
        <w:spacing w:after="0" w:line="256" w:lineRule="auto"/>
        <w:rPr>
          <w:sz w:val="20"/>
          <w:szCs w:val="20"/>
          <w:color w:val="auto"/>
        </w:rPr>
      </w:pPr>
      <w:r>
        <w:rPr>
          <w:rFonts w:ascii="Times New Roman" w:cs="Times New Roman" w:eastAsia="Times New Roman" w:hAnsi="Times New Roman"/>
          <w:sz w:val="18"/>
          <w:szCs w:val="18"/>
          <w:color w:val="auto"/>
        </w:rPr>
        <w:t>We are required to have and may be required in the future to obtain various state licenses to, among other things, originate commercial loans, and may be required to obtain similar licenses from other authorities, including outside of the United States, in the future in connection with one or more investments. Applying for and obtaining required licenses can be costly and take several months. We cannot assure you that we will maintain or obtain all of the licenses that we need on a timely basis. We also are and will be subject to various information and other requirements to maintain and obtain these licenses, and we cannot assure you that we will satisfy those requirements. Our failure to maintain or obtain licenses that we require, now or in the future, might restrict investment options and have other adverse consequences.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in foreign companies may involve significant risks in addition to the risks inherent in U.S. investments.</w:t>
      </w:r>
    </w:p>
    <w:p>
      <w:pPr>
        <w:spacing w:after="0" w:line="121"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Our investment strategy may include potential investments in foreign companies. Investing in foreign companies may expose us to additional risks not typically associated with investing in U.S. companies. These risks include changes in exchange control</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ind w:right="60"/>
        <w:spacing w:after="0" w:line="256" w:lineRule="auto"/>
        <w:rPr>
          <w:sz w:val="20"/>
          <w:szCs w:val="20"/>
          <w:color w:val="auto"/>
        </w:rPr>
      </w:pPr>
      <w:r>
        <w:rPr>
          <w:rFonts w:ascii="Times New Roman" w:cs="Times New Roman" w:eastAsia="Times New Roman" w:hAnsi="Times New Roman"/>
          <w:sz w:val="18"/>
          <w:szCs w:val="18"/>
          <w:color w:val="auto"/>
        </w:rPr>
        <w:t>regulations, U.S. trade policy, political and social instability, expropriation, imposition of foreign taxes (potentially at confiscatory levels), less liquid markets,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Uncertainty in the wake of Russia's invasion of Ukraine and the war between Israel and Hamas in the Middle East, among other current events, could also have negative impacts on the economies of countries in Europe and elsewhere. In addition, interest income derived from loans to foreign companies is not eligible to be distributed to our non-U.S. shareholders free from withholding taxes.</w:t>
      </w:r>
    </w:p>
    <w:p>
      <w:pPr>
        <w:spacing w:after="0" w:line="187" w:lineRule="exact"/>
        <w:rPr>
          <w:sz w:val="20"/>
          <w:szCs w:val="20"/>
          <w:color w:val="auto"/>
        </w:rPr>
      </w:pPr>
    </w:p>
    <w:p>
      <w:pPr>
        <w:ind w:right="200" w:firstLine="255"/>
        <w:spacing w:after="0" w:line="258" w:lineRule="auto"/>
        <w:rPr>
          <w:sz w:val="20"/>
          <w:szCs w:val="20"/>
          <w:color w:val="auto"/>
        </w:rPr>
      </w:pPr>
      <w:r>
        <w:rPr>
          <w:rFonts w:ascii="Times New Roman" w:cs="Times New Roman" w:eastAsia="Times New Roman" w:hAnsi="Times New Roman"/>
          <w:sz w:val="18"/>
          <w:szCs w:val="18"/>
          <w:color w:val="auto"/>
        </w:rPr>
        <w:t>Although most of our investments will be U.S. dollar-denominated, our investments that are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gains and political developments. We may employ hedging techniques to minimize these risks, but we cannot assure you that such strategies will be effective or without risk to us.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expose ourselves to risks when we engage in hedging transactions.</w:t>
      </w:r>
    </w:p>
    <w:p>
      <w:pPr>
        <w:spacing w:after="0" w:line="121"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We have entered, and may in the future enter, into hedging transactions, which may expose us to risks associated with such transactions. We may seek to utilize instruments such as forward contracts, currency options and interest rate swaps, caps, collars and floors to seek to hedge against fluctuations in the relative values of our portfolio positions from changes in currency exchange rates and market interest rates and the relative value of certain debt securities from changes in market interest rates. Use of these hedging instruments may include counterparty credit risk. To the extent we have non-U.S. investments, particularly investments denominated in non-U.S. currencies, our hedging costs will increase.</w:t>
      </w:r>
    </w:p>
    <w:p>
      <w:pPr>
        <w:spacing w:after="0" w:line="183" w:lineRule="exact"/>
        <w:rPr>
          <w:sz w:val="20"/>
          <w:szCs w:val="20"/>
          <w:color w:val="auto"/>
        </w:rPr>
      </w:pPr>
    </w:p>
    <w:p>
      <w:pPr>
        <w:ind w:right="260" w:firstLine="255"/>
        <w:spacing w:after="0" w:line="256" w:lineRule="auto"/>
        <w:rPr>
          <w:sz w:val="20"/>
          <w:szCs w:val="20"/>
          <w:color w:val="auto"/>
        </w:rPr>
      </w:pPr>
      <w:r>
        <w:rPr>
          <w:rFonts w:ascii="Times New Roman" w:cs="Times New Roman" w:eastAsia="Times New Roman" w:hAnsi="Times New Roman"/>
          <w:sz w:val="18"/>
          <w:szCs w:val="18"/>
          <w:color w:val="auto"/>
        </w:rPr>
        <w:t>We also have the ability to borrow in certain foreign currencies under the second amended and restated senior secured revolving credit agreement, as amended, with Wells Fargo Bank, National Association, as administrative agent, and certain lenders, which we refer to as the Subscription Facility (as defined below).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Subscription Facility, we may seek to utilize interest rate derivatives to hedge our exposure to changes in the associated rate.</w:t>
      </w:r>
    </w:p>
    <w:p>
      <w:pPr>
        <w:spacing w:after="0" w:line="187" w:lineRule="exact"/>
        <w:rPr>
          <w:sz w:val="20"/>
          <w:szCs w:val="20"/>
          <w:color w:val="auto"/>
        </w:rPr>
      </w:pPr>
    </w:p>
    <w:p>
      <w:pPr>
        <w:ind w:right="240" w:firstLine="255"/>
        <w:spacing w:after="0" w:line="258" w:lineRule="auto"/>
        <w:rPr>
          <w:sz w:val="20"/>
          <w:szCs w:val="20"/>
          <w:color w:val="auto"/>
        </w:rPr>
      </w:pPr>
      <w:r>
        <w:rPr>
          <w:rFonts w:ascii="Times New Roman" w:cs="Times New Roman" w:eastAsia="Times New Roman" w:hAnsi="Times New Roman"/>
          <w:sz w:val="18"/>
          <w:szCs w:val="18"/>
          <w:color w:val="auto"/>
        </w:rPr>
        <w:t>Hedging against a decline in the values of our portfolio positions would not eliminate the possibility of fluctuations in the values of such positions or prevent losses if the values of such positions were to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were to increase. It also may not be possible to hedge against an exchange rate or interest rate fluctuation that is so generally anticipated that we are not able to enter into a hedging transaction at an acceptable price.</w:t>
      </w:r>
    </w:p>
    <w:p>
      <w:pPr>
        <w:spacing w:after="0" w:line="183" w:lineRule="exact"/>
        <w:rPr>
          <w:sz w:val="20"/>
          <w:szCs w:val="20"/>
          <w:color w:val="auto"/>
        </w:rPr>
      </w:pPr>
    </w:p>
    <w:p>
      <w:pPr>
        <w:ind w:right="180" w:firstLine="255"/>
        <w:spacing w:after="0" w:line="255" w:lineRule="auto"/>
        <w:rPr>
          <w:sz w:val="20"/>
          <w:szCs w:val="20"/>
          <w:color w:val="auto"/>
        </w:rPr>
      </w:pPr>
      <w:r>
        <w:rPr>
          <w:rFonts w:ascii="Times New Roman" w:cs="Times New Roman" w:eastAsia="Times New Roman" w:hAnsi="Times New Roman"/>
          <w:sz w:val="18"/>
          <w:szCs w:val="18"/>
          <w:color w:val="auto"/>
        </w:rPr>
        <w:t>The success of our hedging strategy will depend on our ability to correctly identify appropriate exposures for hedging, such as currency exchange rate risk and interest rate risk related to specific portfolio companies. We may enter into fixed-to-floating interest rate swaps to continue to align the interest rates of our liabilities with our investment portfolio, which we expect to consist of predominately floating rate loans. However, unanticipated changes in currency exchange rates or other exposures that we might hedge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as may the time period in which the hedge is effective relative to the time period of the related exposure.</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9" w:name="page50"/>
    <w:bookmarkEnd w:id="49"/>
    <w:p>
      <w:pPr>
        <w:ind w:firstLine="255"/>
        <w:spacing w:after="0" w:line="253" w:lineRule="auto"/>
        <w:rPr>
          <w:sz w:val="20"/>
          <w:szCs w:val="20"/>
          <w:color w:val="auto"/>
        </w:rPr>
      </w:pPr>
      <w:r>
        <w:rPr>
          <w:rFonts w:ascii="Times New Roman" w:cs="Times New Roman" w:eastAsia="Times New Roman" w:hAnsi="Times New Roman"/>
          <w:sz w:val="18"/>
          <w:szCs w:val="18"/>
          <w:color w:val="auto"/>
        </w:rPr>
        <w:t>For a variety of reasons, we may not seek to (or be able to) establish a perfect correlation between such hedging instruments and the positions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Income derived from hedging transactions also is not eligible to be distributed to non-U.S. shareholders free from withholding taxes. Changes to the regulations applicable to the financial instruments we use to accomplish our hedging strategy could affect the effectiveness of that strategy. For additional information on these regulatory changes, see “</w:t>
      </w:r>
      <w:r>
        <w:rPr>
          <w:rFonts w:ascii="Times New Roman" w:cs="Times New Roman" w:eastAsia="Times New Roman" w:hAnsi="Times New Roman"/>
          <w:sz w:val="18"/>
          <w:szCs w:val="18"/>
          <w:i w:val="1"/>
          <w:iCs w:val="1"/>
          <w:color w:val="auto"/>
        </w:rPr>
        <w:t>—Risks Related to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Portfolio Company Investments—The new market structure applicable to derivatives imposed by the Dodd-Frank Act may affect our ability to use over-the-counter (“OTC”) derivatives for hedging purposes</w:t>
      </w:r>
      <w:r>
        <w:rPr>
          <w:rFonts w:ascii="Times New Roman" w:cs="Times New Roman" w:eastAsia="Times New Roman" w:hAnsi="Times New Roman"/>
          <w:sz w:val="18"/>
          <w:szCs w:val="18"/>
          <w:color w:val="auto"/>
        </w:rPr>
        <w:t>.” See also “</w:t>
      </w:r>
      <w:r>
        <w:rPr>
          <w:rFonts w:ascii="Times New Roman" w:cs="Times New Roman" w:eastAsia="Times New Roman" w:hAnsi="Times New Roman"/>
          <w:sz w:val="18"/>
          <w:szCs w:val="18"/>
          <w:i w:val="1"/>
          <w:iCs w:val="1"/>
          <w:color w:val="auto"/>
        </w:rPr>
        <w:t>—Risks Related to Our Portfolio Company Investments—We are exposed to risks associated with changes in interest rates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ITEM 7. MANAGEMENT’S DISCUSSION AND ANALYSIS OF FINANCIAL CONDITION AND RESULTS OF OPERATIONS—Results of Operations—Interest Rate and Foreign Currency Hedging</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Finally, the SEC has recently adopted Rule 18f-4, which constrains our ability to use swaps and other derivatives. Among other requirements, the rule would force us to reduce our use of derivatives, unless we were to qualify as a limited derivatives user under the rule, if the value-at-risk of our investment portfolio including our swap or derivative positions, exceeds 200 percent of a “designated reference portfolio,” which is a designated index that is unleveraged and reflects the market or asset classes in which we invest or our securities portfolio. If we could not identify a suitable reference portfolio, our value-at-risk would not be permitted to exceed 20% of our net assets. In addition, we are required under the final rule to establish a risk management program for our use of swaps or other derivative positions. Based on our current use of derivatives primarily for interest rate hedging purposes, we believe that we qualify, and will continue to qualify, as a limited derivatives user under the rule. However, we cannot assure you that we will be treated as a limited derivatives user or that our approach to our use of derivatives will not change.</w:t>
      </w:r>
    </w:p>
    <w:p>
      <w:pPr>
        <w:spacing w:after="0" w:line="29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new market structure applicable to derivatives imposed by the Dodd-Frank Act may affect our ability to use over-the-counter (“OTC”) derivatives for hedging purposes.</w:t>
      </w:r>
    </w:p>
    <w:p>
      <w:pPr>
        <w:spacing w:after="0" w:line="159" w:lineRule="exact"/>
        <w:rPr>
          <w:sz w:val="20"/>
          <w:szCs w:val="20"/>
          <w:color w:val="auto"/>
        </w:rPr>
      </w:pPr>
    </w:p>
    <w:p>
      <w:pPr>
        <w:jc w:val="both"/>
        <w:ind w:right="100" w:firstLine="255"/>
        <w:spacing w:after="0" w:line="266" w:lineRule="auto"/>
        <w:rPr>
          <w:sz w:val="20"/>
          <w:szCs w:val="20"/>
          <w:color w:val="auto"/>
        </w:rPr>
      </w:pPr>
      <w:r>
        <w:rPr>
          <w:rFonts w:ascii="Times New Roman" w:cs="Times New Roman" w:eastAsia="Times New Roman" w:hAnsi="Times New Roman"/>
          <w:sz w:val="18"/>
          <w:szCs w:val="18"/>
          <w:color w:val="auto"/>
        </w:rPr>
        <w:t>The Dodd-Frank Act enacted, and the Commodity Futures Trading Commission, or CFTC, and SEC have issued or proposed rules to implement, both broad new regulatory requirements and broad new structural requirements applicable to OTC derivatives markets and, to a lesser extent, listed commodity futures (and futures options) markets. Similar changes are in the process of being implemented in other major financial markets.</w:t>
      </w:r>
    </w:p>
    <w:p>
      <w:pPr>
        <w:spacing w:after="0" w:line="216" w:lineRule="exact"/>
        <w:rPr>
          <w:sz w:val="20"/>
          <w:szCs w:val="20"/>
          <w:color w:val="auto"/>
        </w:rPr>
      </w:pPr>
    </w:p>
    <w:p>
      <w:pPr>
        <w:ind w:right="40" w:firstLine="255"/>
        <w:spacing w:after="0" w:line="253" w:lineRule="auto"/>
        <w:rPr>
          <w:sz w:val="20"/>
          <w:szCs w:val="20"/>
          <w:color w:val="auto"/>
        </w:rPr>
      </w:pPr>
      <w:r>
        <w:rPr>
          <w:rFonts w:ascii="Times New Roman" w:cs="Times New Roman" w:eastAsia="Times New Roman" w:hAnsi="Times New Roman"/>
          <w:sz w:val="18"/>
          <w:szCs w:val="18"/>
          <w:color w:val="auto"/>
        </w:rPr>
        <w:t>Recent and anticipated regulatory changes require that certain types of OTC derivatives, including those that we may use for hedging activities such as interest rate and credit default swaps, be cleared and traded on regulated platforms, and these regulatory changes are expected to apply to foreign exchange transactions in the future. Our cleared OTC derivatives are subject to margin requirements established by regulated clearinghouses, including daily exchanges of cash variation (or mark-to-market) margin and an upfront posting of cash or securities initial margin to cover the clearinghouse’s potential future exposure to the default of a party to a particular OTC derivatives transaction. U.S. regulators have also adopted rules imposing margin requirements for OTC derivatives executed with registered swap dealers or security-based swap dealers that are not cleared. The margin requirements for cleared and uncleared OTC derivatives may require that our Adviser, in order to maintain its exclusion from commodity pool operator (“CPO”) registration under CFTC Rule 4.5, limit our ability to enter into hedging transactions or to obtain synthetic investment exposures, in either case adversely affecting our ability to mitigate risk. Furthermore, any failure by us to fulfill any collateral requirement (e.g., a so-called “margin call”) may result in a default and could have a material adverse impact on our business, financial condition and results of operations.</w:t>
      </w:r>
    </w:p>
    <w:p>
      <w:pPr>
        <w:spacing w:after="0" w:line="194" w:lineRule="exact"/>
        <w:rPr>
          <w:sz w:val="20"/>
          <w:szCs w:val="20"/>
          <w:color w:val="auto"/>
        </w:rPr>
      </w:pPr>
    </w:p>
    <w:p>
      <w:pPr>
        <w:ind w:right="60" w:firstLine="255"/>
        <w:spacing w:after="0" w:line="255" w:lineRule="auto"/>
        <w:rPr>
          <w:sz w:val="20"/>
          <w:szCs w:val="20"/>
          <w:color w:val="auto"/>
        </w:rPr>
      </w:pPr>
      <w:r>
        <w:rPr>
          <w:rFonts w:ascii="Times New Roman" w:cs="Times New Roman" w:eastAsia="Times New Roman" w:hAnsi="Times New Roman"/>
          <w:sz w:val="18"/>
          <w:szCs w:val="18"/>
          <w:color w:val="auto"/>
        </w:rPr>
        <w:t>The Dodd-Frank Act and the rules adopted by the CFTC and SEC thereunder also imposed requirements relating to real-time public and regulatory reporting of OTC derivative transactions, enhanced documentation requirements, position limits on an expanded array of derivatives, and recordkeeping requirements. Taken as a whole, these changes could significantly increase the cost of using uncleared OTC derivatives to hedge risks, including interest rate and foreign exchange risk; reduce the level of exposure we are able to obtain for risk management purposes through OTC derivatives (including as the result of the CFTC imposing position limits on additional products); reduce the amounts available to us to make non-derivatives investments; impair liquidity in certain OTC derivatives; and adversely affect the quality of execution pricing obtained by us, all of which could adversely impact our investment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1290320</wp:posOffset>
            </wp:positionH>
            <wp:positionV relativeFrom="paragraph">
              <wp:posOffset>-768350</wp:posOffset>
            </wp:positionV>
            <wp:extent cx="2857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If we cease to be eligible for an exemption from regulation as a commodity pool operator, our compliance expenses could increase substantially.</w:t>
      </w:r>
    </w:p>
    <w:p>
      <w:pPr>
        <w:spacing w:after="0" w:line="229" w:lineRule="exact"/>
        <w:rPr>
          <w:sz w:val="20"/>
          <w:szCs w:val="20"/>
          <w:color w:val="auto"/>
        </w:rPr>
      </w:pPr>
    </w:p>
    <w:p>
      <w:pPr>
        <w:ind w:right="520" w:firstLine="255"/>
        <w:spacing w:after="0" w:line="282" w:lineRule="auto"/>
        <w:rPr>
          <w:sz w:val="20"/>
          <w:szCs w:val="20"/>
          <w:color w:val="auto"/>
        </w:rPr>
      </w:pPr>
      <w:r>
        <w:rPr>
          <w:rFonts w:ascii="Times New Roman" w:cs="Times New Roman" w:eastAsia="Times New Roman" w:hAnsi="Times New Roman"/>
          <w:sz w:val="18"/>
          <w:szCs w:val="18"/>
          <w:color w:val="auto"/>
        </w:rPr>
        <w:t>Our Adviser has filed with the National Futures Association a notice of exclusion from registration with the CFTC as a commodity pool operator (“CPO”) pursuant to CFTC Rule 4.5. CFTC Rule 4.5 relieves our Adviser from registering with the CFTC as the CPO of us, so long as we:</w:t>
      </w:r>
    </w:p>
    <w:p>
      <w:pPr>
        <w:spacing w:after="0" w:line="54" w:lineRule="exact"/>
        <w:rPr>
          <w:sz w:val="20"/>
          <w:szCs w:val="20"/>
          <w:color w:val="auto"/>
        </w:rPr>
      </w:pPr>
    </w:p>
    <w:p>
      <w:pPr>
        <w:ind w:left="520" w:hanging="257"/>
        <w:spacing w:after="0"/>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be regulated by the SEC as a BDC;</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confine our trading in CFTC-regulated derivatives within specified thresholds;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marketed to the public as a commodity pool or as a vehicle for trading in CFTC-regulated derivatives.</w:t>
      </w:r>
    </w:p>
    <w:p>
      <w:pPr>
        <w:spacing w:after="0" w:line="225"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If we were unable to satisfy the conditions of CFTC Rule 4.5 in the future, our Adviser may be subject to registration with the CFTC as a CPO, unless it can rely on a different exclusion, exemption or no-action relief. Registered CPOs must comply with numerous substantive regulations related to disclosure, reporting and recordkeeping, and are required to become members of the NFA, and be subject to the NFA’s rules and bylaws. Compliance with these additional registration and regulatory requirements could increase our expenses and impact performance.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portfolio investments may present special tax issues.</w:t>
      </w:r>
    </w:p>
    <w:p>
      <w:pPr>
        <w:spacing w:after="0" w:line="229" w:lineRule="exact"/>
        <w:rPr>
          <w:sz w:val="20"/>
          <w:szCs w:val="20"/>
          <w:color w:val="auto"/>
        </w:rPr>
      </w:pPr>
    </w:p>
    <w:p>
      <w:pPr>
        <w:ind w:right="80" w:firstLine="255"/>
        <w:spacing w:after="0" w:line="253" w:lineRule="auto"/>
        <w:rPr>
          <w:sz w:val="20"/>
          <w:szCs w:val="20"/>
          <w:color w:val="auto"/>
        </w:rPr>
      </w:pPr>
      <w:r>
        <w:rPr>
          <w:rFonts w:ascii="Times New Roman" w:cs="Times New Roman" w:eastAsia="Times New Roman" w:hAnsi="Times New Roman"/>
          <w:sz w:val="18"/>
          <w:szCs w:val="18"/>
          <w:color w:val="auto"/>
        </w:rPr>
        <w:t>Investments in below-investment grade debt instruments and certain equity securities may present special tax issues for us. U.S. federal income tax rules are not entirely clear about certain issues, including when we may cease to accrue interest, original issue discount or market discount, when and to what extent certain deductions may be taken for bad debts or worthless equity securities, how payments received on obligations in default should be allocated between principal and interest income, as well as whether exchanges of debt instruments in a bankruptcy or workout context are taxable. These matters could cause us to recognize taxable income for U.S. federal income tax purposes, even in the absence of cash or economic gain, and require us to make taxable distributions to our shareholders to maintain our RIC status or preclude the imposition of either U.S. federal corporate income or excise taxation. Additionally, because such taxable income may not be matched by corresponding cash received by us, we may be required to borrow money or dispose of other investments to be able to make distributions to our shareholders. These and other issues will be considered by us, to the extent determined necessary, so that we aim to minimize the level of any U.S. federal income or excise tax that we would otherwise incur. See “</w:t>
      </w:r>
      <w:r>
        <w:rPr>
          <w:rFonts w:ascii="Times New Roman" w:cs="Times New Roman" w:eastAsia="Times New Roman" w:hAnsi="Times New Roman"/>
          <w:sz w:val="18"/>
          <w:szCs w:val="18"/>
          <w:i w:val="1"/>
          <w:iCs w:val="1"/>
          <w:color w:val="auto"/>
        </w:rPr>
        <w:t>ITEM 1.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Regulation as a Business Development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Regulated Investment Company Classification</w:t>
      </w:r>
      <w:r>
        <w:rPr>
          <w:rFonts w:ascii="Times New Roman" w:cs="Times New Roman" w:eastAsia="Times New Roman" w:hAnsi="Times New Roman"/>
          <w:sz w:val="18"/>
          <w:szCs w:val="18"/>
          <w:color w:val="auto"/>
        </w:rPr>
        <w:t>” for more information.</w:t>
      </w:r>
    </w:p>
    <w:p>
      <w:pPr>
        <w:spacing w:after="0" w:line="298"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treated as a publicly offered regulated investment company, certain U.S. shareholders will be treated as having received a dividend from us in the amount of such U.S. shareholders’ allocable share of the Management and Incentive Fees paid to our investment adviser and certain of our other expenses, and these fees and expenses will be treated as miscellaneous itemized deductions of such U.S. shareholders.</w:t>
      </w:r>
    </w:p>
    <w:p>
      <w:pPr>
        <w:spacing w:after="0" w:line="175"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We expect to be treated as a “publicly offered regulated investment company” as a result of shares of our Common Shares being treated as regularly traded on an established securities market. However, we cannot assure you that we will be treated as a publicly offered regulated investment company for all years. For example, if our shares are not treated as regularly traded and we are not held by more than 500 persons at all times during the taxable year, we might not be treated as a publicly offered regulated investment company. If we are not treated as a publicly offered regulated investment company for any calendar year, each U.S. shareholder that is an individual, trust or estate will be treated as having received a dividend from us in the amount of such U.S. shareholder’s allocable share of the Management Fees and Incentive Fees paid to our Adviser and certain of our other expenses for the calendar year, and these fees and expenses will be treated as miscellaneous itemized deductions of such U.S. shareholder. Miscellaneous itemized deductions generally are not deductible by individuals, trusts or estates for taxable years beginning after December 31, 2017 and before January 1, 2026.</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certain risks associated with holding debt obligations that have original issue discount or payment-in-kind interest.</w:t>
      </w:r>
    </w:p>
    <w:p>
      <w:pPr>
        <w:spacing w:after="0" w:line="229" w:lineRule="exact"/>
        <w:rPr>
          <w:sz w:val="20"/>
          <w:szCs w:val="20"/>
          <w:color w:val="auto"/>
        </w:rPr>
      </w:pPr>
    </w:p>
    <w:p>
      <w:pPr>
        <w:jc w:val="both"/>
        <w:ind w:right="360" w:firstLine="255"/>
        <w:spacing w:after="0" w:line="266" w:lineRule="auto"/>
        <w:rPr>
          <w:sz w:val="20"/>
          <w:szCs w:val="20"/>
          <w:color w:val="auto"/>
        </w:rPr>
      </w:pPr>
      <w:r>
        <w:rPr>
          <w:rFonts w:ascii="Times New Roman" w:cs="Times New Roman" w:eastAsia="Times New Roman" w:hAnsi="Times New Roman"/>
          <w:sz w:val="18"/>
          <w:szCs w:val="18"/>
          <w:color w:val="auto"/>
        </w:rPr>
        <w:t>Original issue discount, or OID, may arise if we hold securities issued at a discount, receive warrants in connection with the making of a loan, or in certain other circumstances. OID creates the risk that Incentive Fees will be paid to the Adviser based on non-cash accruals that ultimately may not be realized, while the Adviser will be under no obligation to reimburse us for these fees.</w:t>
      </w:r>
    </w:p>
    <w:p>
      <w:pPr>
        <w:spacing w:after="0" w:line="176" w:lineRule="exact"/>
        <w:rPr>
          <w:sz w:val="20"/>
          <w:szCs w:val="20"/>
          <w:color w:val="auto"/>
        </w:rPr>
      </w:pPr>
    </w:p>
    <w:p>
      <w:pPr>
        <w:ind w:right="760" w:firstLine="255"/>
        <w:spacing w:after="0" w:line="282" w:lineRule="auto"/>
        <w:rPr>
          <w:sz w:val="20"/>
          <w:szCs w:val="20"/>
          <w:color w:val="auto"/>
        </w:rPr>
      </w:pPr>
      <w:r>
        <w:rPr>
          <w:rFonts w:ascii="Times New Roman" w:cs="Times New Roman" w:eastAsia="Times New Roman" w:hAnsi="Times New Roman"/>
          <w:sz w:val="18"/>
          <w:szCs w:val="18"/>
          <w:color w:val="auto"/>
        </w:rPr>
        <w:t>The higher interest rates of OID instruments reflect the payment deferral and increased credit risk associated with these instruments, and OID instruments generally represent a significantly higher credit risk than coupon loans. Even if the accounting</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conditions for income accrual are met, the borrower could still default when our actual collection is supposed to occur at the maturity of the obligation.</w:t>
      </w:r>
    </w:p>
    <w:p>
      <w:pPr>
        <w:spacing w:after="0" w:line="225"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OID instruments may have unreliable valuations because their continuing accruals require continuing judgments about the collectability of the deferred payments and the value of any associated collateral. OID income may also create uncertainty about the source of our cash dividends.</w:t>
      </w:r>
    </w:p>
    <w:p>
      <w:pPr>
        <w:spacing w:after="0" w:line="162"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For accounting purposes, any cash dividends to shareholders representing OID income are not treated as coming from paid-in capital, even if the cash to pay them comes from the proceeds of issuances of our Common Shares. As a result, despite the fact that a dividend representing OID income could be paid out of amounts invested by our shareholders, the 1940 Act does not require that shareholders be given notice of this fact by reporting it as a return of capital.</w:t>
      </w:r>
    </w:p>
    <w:p>
      <w:pPr>
        <w:spacing w:after="0" w:line="180" w:lineRule="exact"/>
        <w:rPr>
          <w:sz w:val="20"/>
          <w:szCs w:val="20"/>
          <w:color w:val="auto"/>
        </w:rPr>
      </w:pPr>
    </w:p>
    <w:p>
      <w:pPr>
        <w:jc w:val="both"/>
        <w:ind w:right="200" w:firstLine="255"/>
        <w:spacing w:after="0" w:line="266" w:lineRule="auto"/>
        <w:rPr>
          <w:sz w:val="20"/>
          <w:szCs w:val="20"/>
          <w:color w:val="auto"/>
        </w:rPr>
      </w:pPr>
      <w:r>
        <w:rPr>
          <w:rFonts w:ascii="Times New Roman" w:cs="Times New Roman" w:eastAsia="Times New Roman" w:hAnsi="Times New Roman"/>
          <w:sz w:val="18"/>
          <w:szCs w:val="18"/>
          <w:color w:val="auto"/>
        </w:rPr>
        <w:t>Payment-in-kind, or PIK, interest has the effect of generating investment income at a compounding rate, thereby further increasing the Incentive Fees payable to the Adviser. Similarly, all things being equal, the deferral associated with PIK interest also increases the loan-to-value ratio at a compounding rate.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investment in our Common Shares will have limited liquidity.</w:t>
      </w:r>
    </w:p>
    <w:p>
      <w:pPr>
        <w:spacing w:after="0" w:line="229"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Our Common Shares constitute illiquid investments for which there is not a secondary market and, unless we consummate an Exchange Listing, none is expected to develop. Investment in the Company is suitable only for sophisticated investors and requires the financial ability and willingness to accept the high risks and lack of liquidity inherent in an investment in the Company. A shareholder generally may not sell, assign or transfer its Common Shares without prior written consent of the Adviser, which the Adviser may grant or withhold in its sole discretion. Except in limited circumstances for legal or regulatory purposes, shareholders are not entitled to redeem their shares. Shareholders must be prepared to bear the economic risk of an investment in our Common Shares for an extended period of time.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a risk that investors in our Common Shares may not receive dividends or that our dividends may not grow over time.</w:t>
      </w:r>
    </w:p>
    <w:p>
      <w:pPr>
        <w:spacing w:after="0" w:line="121" w:lineRule="exact"/>
        <w:rPr>
          <w:sz w:val="20"/>
          <w:szCs w:val="20"/>
          <w:color w:val="auto"/>
        </w:rPr>
      </w:pPr>
    </w:p>
    <w:p>
      <w:pPr>
        <w:ind w:right="160" w:firstLine="255"/>
        <w:spacing w:after="0" w:line="255" w:lineRule="auto"/>
        <w:rPr>
          <w:sz w:val="20"/>
          <w:szCs w:val="20"/>
          <w:color w:val="auto"/>
        </w:rPr>
      </w:pPr>
      <w:r>
        <w:rPr>
          <w:rFonts w:ascii="Times New Roman" w:cs="Times New Roman" w:eastAsia="Times New Roman" w:hAnsi="Times New Roman"/>
          <w:sz w:val="18"/>
          <w:szCs w:val="18"/>
          <w:color w:val="auto"/>
        </w:rPr>
        <w:t>We intend to continue paying dividends on a quarterly basis to our shareholders out of assets legally available for distribution. We cannot assure you that we will achieve investment results or maintain a tax status that will allow or require any specified level of cash dividends or year-to-year increases in cash dividends. Our ability to pay dividends might be adversely affected by the impact of one or more of the risk factors described in this Annual Report. Due to the asset coverage test applicable to us under the 1940 Act as a BDC or restrictions under our credit facilities, we may be limited in our ability to pay dividends.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89"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8"/>
          <w:szCs w:val="18"/>
          <w:color w:val="auto"/>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Risks Related to Our Portfolio Company Investments—There are certain risks associated with holding debt obligations that have original issue discount or payment-in-kind interest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Therefore, we may be required to make a distribution to our shareholders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w:t>
      </w:r>
    </w:p>
    <w:p>
      <w:pPr>
        <w:spacing w:after="0" w:line="183" w:lineRule="exact"/>
        <w:rPr>
          <w:sz w:val="20"/>
          <w:szCs w:val="20"/>
          <w:color w:val="auto"/>
        </w:rPr>
      </w:pPr>
    </w:p>
    <w:p>
      <w:pPr>
        <w:jc w:val="both"/>
        <w:ind w:right="100" w:firstLine="255"/>
        <w:spacing w:after="0" w:line="266" w:lineRule="auto"/>
        <w:rPr>
          <w:sz w:val="20"/>
          <w:szCs w:val="20"/>
          <w:color w:val="auto"/>
        </w:rPr>
      </w:pPr>
      <w:r>
        <w:rPr>
          <w:rFonts w:ascii="Times New Roman" w:cs="Times New Roman" w:eastAsia="Times New Roman" w:hAnsi="Times New Roman"/>
          <w:sz w:val="18"/>
          <w:szCs w:val="18"/>
          <w:color w:val="auto"/>
        </w:rPr>
        <w:t>To the extent that the amounts distributed by us exceed our current and accumulated earnings and profits, these excess distributions will be treated first as a return of capital to the extent of a shareholder’s tax basis in his or her shares and then as capital gain. Reducing a shareholder’s tax basis will have the effect of increasing his or her gain (or reducing loss) on a subsequent sale of shares.</w:t>
      </w:r>
    </w:p>
    <w:p>
      <w:pPr>
        <w:spacing w:after="0" w:line="176" w:lineRule="exact"/>
        <w:rPr>
          <w:sz w:val="20"/>
          <w:szCs w:val="20"/>
          <w:color w:val="auto"/>
        </w:rPr>
      </w:pPr>
    </w:p>
    <w:p>
      <w:pPr>
        <w:jc w:val="both"/>
        <w:ind w:right="60" w:firstLine="255"/>
        <w:spacing w:after="0" w:line="261" w:lineRule="auto"/>
        <w:rPr>
          <w:sz w:val="20"/>
          <w:szCs w:val="20"/>
          <w:color w:val="auto"/>
        </w:rPr>
      </w:pPr>
      <w:r>
        <w:rPr>
          <w:rFonts w:ascii="Times New Roman" w:cs="Times New Roman" w:eastAsia="Times New Roman" w:hAnsi="Times New Roman"/>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 may not collect in the future and with respect to which we do not have a clawback right</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2" w:name="page53"/>
    <w:bookmarkEnd w:id="52"/>
    <w:p>
      <w:pPr>
        <w:ind w:right="20"/>
        <w:spacing w:after="0" w:line="282" w:lineRule="auto"/>
        <w:rPr>
          <w:sz w:val="20"/>
          <w:szCs w:val="20"/>
          <w:color w:val="auto"/>
        </w:rPr>
      </w:pPr>
      <w:r>
        <w:rPr>
          <w:rFonts w:ascii="Times New Roman" w:cs="Times New Roman" w:eastAsia="Times New Roman" w:hAnsi="Times New Roman"/>
          <w:sz w:val="18"/>
          <w:szCs w:val="18"/>
          <w:color w:val="auto"/>
        </w:rPr>
        <w:t>against our Adviser, the amount of accrued income written off in any period will reduce the income in the period in which the write-off is taken and thereby reduce that period’s Incentive Fee payment, if any.</w:t>
      </w:r>
    </w:p>
    <w:p>
      <w:pPr>
        <w:spacing w:after="0" w:line="162" w:lineRule="exact"/>
        <w:rPr>
          <w:sz w:val="20"/>
          <w:szCs w:val="20"/>
          <w:color w:val="auto"/>
        </w:rPr>
      </w:pPr>
    </w:p>
    <w:p>
      <w:pPr>
        <w:ind w:right="320" w:firstLine="255"/>
        <w:spacing w:after="0" w:line="266" w:lineRule="auto"/>
        <w:rPr>
          <w:sz w:val="20"/>
          <w:szCs w:val="20"/>
          <w:color w:val="auto"/>
        </w:rPr>
      </w:pPr>
      <w:r>
        <w:rPr>
          <w:rFonts w:ascii="Times New Roman" w:cs="Times New Roman" w:eastAsia="Times New Roman" w:hAnsi="Times New Roman"/>
          <w:sz w:val="18"/>
          <w:szCs w:val="18"/>
          <w:color w:val="auto"/>
        </w:rPr>
        <w:t>In addition, the upper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shareholders.</w:t>
      </w:r>
    </w:p>
    <w:p>
      <w:pPr>
        <w:spacing w:after="0" w:line="2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distributions to shareholders may be funded from expense reimbursements or waivers of investment advisory fees, some of which are subject to repayment pursuant to our Expense Support and Conditional Reimbursement Agreement.</w:t>
      </w:r>
    </w:p>
    <w:p>
      <w:pPr>
        <w:spacing w:after="0" w:line="159" w:lineRule="exact"/>
        <w:rPr>
          <w:sz w:val="20"/>
          <w:szCs w:val="20"/>
          <w:color w:val="auto"/>
        </w:rPr>
      </w:pPr>
    </w:p>
    <w:p>
      <w:pPr>
        <w:ind w:right="120" w:firstLine="255"/>
        <w:spacing w:after="0" w:line="255" w:lineRule="auto"/>
        <w:rPr>
          <w:sz w:val="20"/>
          <w:szCs w:val="20"/>
          <w:color w:val="auto"/>
        </w:rPr>
      </w:pPr>
      <w:r>
        <w:rPr>
          <w:rFonts w:ascii="Times New Roman" w:cs="Times New Roman" w:eastAsia="Times New Roman" w:hAnsi="Times New Roman"/>
          <w:sz w:val="18"/>
          <w:szCs w:val="18"/>
          <w:color w:val="auto"/>
        </w:rPr>
        <w:t>Substantial portions of our distributions may be funded through the reimbursement of certain expenses by our Adviser and its affiliates, including through the waiver of certain investment advisory fees by our Adviser. Any such distributions funded through expense reimbursements or waivers of advisory fees will not be based on our investment performance, and can only be sustained if we achieve positive investment performance in future periods and/or our Adviser and its affiliates continue to make such reimbursements or waivers of such fees. Our future repayments of amounts reimbursed or waived by our Adviser or its affiliates will reduce the distributions that shareholders would otherwise receive in the future. There can be no assurance that we will achieve the performance necessary to be able to pay distributions at a specific rate or at all. Our Adviser and its affiliates have no obligation to waive advisory fees or otherwise reimburse expenses in future periods, except as otherwise disclosed under the terms of this offering.</w:t>
      </w:r>
    </w:p>
    <w:p>
      <w:pPr>
        <w:spacing w:after="0" w:line="29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unrealized losses we experience on our portfolio may be an indication of future realized losses, which could reduce our income available for distribution.</w:t>
      </w:r>
    </w:p>
    <w:p>
      <w:pPr>
        <w:spacing w:after="0" w:line="159" w:lineRule="exact"/>
        <w:rPr>
          <w:sz w:val="20"/>
          <w:szCs w:val="20"/>
          <w:color w:val="auto"/>
        </w:rPr>
      </w:pPr>
    </w:p>
    <w:p>
      <w:pPr>
        <w:ind w:right="200" w:firstLine="255"/>
        <w:spacing w:after="0" w:line="258" w:lineRule="auto"/>
        <w:rPr>
          <w:sz w:val="20"/>
          <w:szCs w:val="20"/>
          <w:color w:val="auto"/>
        </w:rPr>
      </w:pPr>
      <w:r>
        <w:rPr>
          <w:rFonts w:ascii="Times New Roman" w:cs="Times New Roman" w:eastAsia="Times New Roman" w:hAnsi="Times New Roman"/>
          <w:sz w:val="18"/>
          <w:szCs w:val="18"/>
          <w:color w:val="auto"/>
        </w:rPr>
        <w:t>As a BDC, we are required to carry our investments at the fair value as determined in good faith pursuant to procedures adopted by, and under the oversight of, our Board of Trustees. Decreases in the fair value of our investments relative to amortized cost will be recorded as unrealized depreciation. Any unrealized losses in our portfolio could be an indication of a portfolio company’s inability to meet its repayment obligations to us with respect to the affected loans. This could result in realized losses in the future and ultimately in reductions of our income available for distribution in future periods. In addition, decreases in the fair value of our investments will reduce our NAV.</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in our securities may involve a high degree of risk.</w:t>
      </w:r>
    </w:p>
    <w:p>
      <w:pPr>
        <w:spacing w:after="0" w:line="229" w:lineRule="exact"/>
        <w:rPr>
          <w:sz w:val="20"/>
          <w:szCs w:val="20"/>
          <w:color w:val="auto"/>
        </w:rPr>
      </w:pPr>
    </w:p>
    <w:p>
      <w:pPr>
        <w:ind w:right="300" w:firstLine="255"/>
        <w:spacing w:after="0" w:line="266" w:lineRule="auto"/>
        <w:rPr>
          <w:sz w:val="20"/>
          <w:szCs w:val="20"/>
          <w:color w:val="auto"/>
        </w:rPr>
      </w:pPr>
      <w:r>
        <w:rPr>
          <w:rFonts w:ascii="Times New Roman" w:cs="Times New Roman" w:eastAsia="Times New Roman" w:hAnsi="Times New Roman"/>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securities may not be suitable for someone with lower risk tolerance.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severe economic consequences for defaulting investors.</w:t>
      </w:r>
    </w:p>
    <w:p>
      <w:pPr>
        <w:spacing w:after="0" w:line="229" w:lineRule="exact"/>
        <w:rPr>
          <w:sz w:val="20"/>
          <w:szCs w:val="20"/>
          <w:color w:val="auto"/>
        </w:rPr>
      </w:pPr>
    </w:p>
    <w:p>
      <w:pPr>
        <w:ind w:right="140" w:firstLine="255"/>
        <w:spacing w:after="0" w:line="254" w:lineRule="auto"/>
        <w:rPr>
          <w:sz w:val="20"/>
          <w:szCs w:val="20"/>
          <w:color w:val="auto"/>
        </w:rPr>
      </w:pPr>
      <w:r>
        <w:rPr>
          <w:rFonts w:ascii="Times New Roman" w:cs="Times New Roman" w:eastAsia="Times New Roman" w:hAnsi="Times New Roman"/>
          <w:sz w:val="18"/>
          <w:szCs w:val="18"/>
          <w:color w:val="auto"/>
        </w:rPr>
        <w:t>If shareholders fail to fund their commitment obligations or to make required capital contributions when due, the Company’s ability to complete its investment program or otherwise continue operations may be substantially impaired. A shareholder’s failure to fund such amounts when due causes that shareholder to become a defaulting shareholder. A defaulting shareholder will have ten business days to cure its deficiency following the required funding date, after which the defaulting shareholder will forfeit its right to participate in future investments and 50% of its Common Shares will be transferred to the non-defaulting shareholders on a pro rata basis. If a substantial number of shareholders become defaulting shareholders, this may severely limit opportunities for investment diversification and would likely reduce returns to the Company and restrict the Company’s ability to meet loan obligations. Any single defaulting shareholder could cause substantial costs to be incurred by the Company if such default causes the Company to fail to meet its contractual obligations or if the Company must pursue remedial action against such shareholder.</w:t>
      </w:r>
    </w:p>
    <w:p>
      <w:pPr>
        <w:spacing w:after="0" w:line="84" w:lineRule="exact"/>
        <w:rPr>
          <w:sz w:val="20"/>
          <w:szCs w:val="20"/>
          <w:color w:val="auto"/>
        </w:rPr>
      </w:pPr>
    </w:p>
    <w:p>
      <w:pPr>
        <w:ind w:right="80" w:firstLine="255"/>
        <w:spacing w:after="0" w:line="256" w:lineRule="auto"/>
        <w:rPr>
          <w:sz w:val="20"/>
          <w:szCs w:val="20"/>
          <w:color w:val="auto"/>
        </w:rPr>
      </w:pPr>
      <w:r>
        <w:rPr>
          <w:rFonts w:ascii="Times New Roman" w:cs="Times New Roman" w:eastAsia="Times New Roman" w:hAnsi="Times New Roman"/>
          <w:sz w:val="18"/>
          <w:szCs w:val="18"/>
          <w:color w:val="auto"/>
        </w:rPr>
        <w:t>If the Company fails to meet its contractual obligations related to a portfolio investment due to a defaulting shareholder, the relevant portfolio company may have a cause of action against the Company, which may include a claim against assets of the Company other than the Company’s interest in such portfolio company. A creditor of the Company (including a portfolio company with respect to which the Company has failed to meet its contractual obligations) will not be bound to satisfy its claims from the assets attributable to a particular portfolio investment and such creditor generally may seek to satisfy its claims from the assets of the Company as a whole. As a result, if a creditor’s claims relating to a particular portfolio investment exceed the net assets attributable to that portfolio investment, the remaining assets of the Company will likely be subject to such claim.</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shareholders will experience dilution in their ownership percentage if they opt out of our dividend reinvestment plan.</w:t>
      </w:r>
    </w:p>
    <w:p>
      <w:pPr>
        <w:spacing w:after="0" w:line="229" w:lineRule="exact"/>
        <w:rPr>
          <w:sz w:val="20"/>
          <w:szCs w:val="20"/>
          <w:color w:val="auto"/>
        </w:rPr>
      </w:pPr>
    </w:p>
    <w:p>
      <w:pPr>
        <w:ind w:right="100" w:firstLine="255"/>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dividend reinvestment plan, pursuant to which we will reinvest all cash dividends and distributions declared by the Board on behalf of investors who do not elect to receive their dividends in cash. As a result, if the Board authorizes, and we declare, a cash dividend or other distribution, then our shareholders who have not opted out of our dividend reinvestment plan will have their cash distributions automatically reinvested in additional Common Shares, rather than receiving the cash dividend or other distribution. See </w:t>
      </w:r>
      <w:r>
        <w:rPr>
          <w:rFonts w:ascii="Times New Roman" w:cs="Times New Roman" w:eastAsia="Times New Roman" w:hAnsi="Times New Roman"/>
          <w:sz w:val="18"/>
          <w:szCs w:val="18"/>
          <w:i w:val="1"/>
          <w:iCs w:val="1"/>
          <w:color w:val="auto"/>
        </w:rPr>
        <w:t>“ITEM 1. BUSINESS—Dividend Policy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ITEM 1.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Dividend Reinvestment Plan</w:t>
      </w:r>
      <w:r>
        <w:rPr>
          <w:rFonts w:ascii="Times New Roman" w:cs="Times New Roman" w:eastAsia="Times New Roman" w:hAnsi="Times New Roman"/>
          <w:sz w:val="18"/>
          <w:szCs w:val="18"/>
          <w:color w:val="auto"/>
        </w:rPr>
        <w:t>” for a description of our dividend policy and obligations.</w:t>
      </w:r>
    </w:p>
    <w:p>
      <w:pPr>
        <w:spacing w:after="0" w:line="183" w:lineRule="exact"/>
        <w:rPr>
          <w:sz w:val="20"/>
          <w:szCs w:val="20"/>
          <w:color w:val="auto"/>
        </w:rPr>
      </w:pPr>
    </w:p>
    <w:p>
      <w:pPr>
        <w:ind w:right="80" w:firstLine="255"/>
        <w:spacing w:after="0" w:line="255" w:lineRule="auto"/>
        <w:rPr>
          <w:sz w:val="20"/>
          <w:szCs w:val="20"/>
          <w:color w:val="auto"/>
        </w:rPr>
      </w:pPr>
      <w:r>
        <w:rPr>
          <w:rFonts w:ascii="Times New Roman" w:cs="Times New Roman" w:eastAsia="Times New Roman" w:hAnsi="Times New Roman"/>
          <w:sz w:val="18"/>
          <w:szCs w:val="18"/>
          <w:color w:val="auto"/>
        </w:rPr>
        <w:t>In addition, the number of shares issued pursuant to the dividend reinvestment plan after an Exchange Listing will be determined based on the market price of our Common Shares, except in circumstances where the market price exceeds our most recently computed net asset value per share, in which case we will issue shares at the greater of (i) 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of our Common Shares than the number of shares associated with the market price of our Common Shares, resulting in dilution for other shareholders. Shareholders that opt out of our dividend reinvestment plan will experience dilution in their ownership percentage of our Common Shares over time.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considerations for certain benefit plan investors.</w:t>
      </w:r>
    </w:p>
    <w:p>
      <w:pPr>
        <w:spacing w:after="0" w:line="229"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We intend to conduct our affairs so that our assets should not be deemed to constitute “plan assets” under ERISA and the Plan Asset Regulations. In this regard, until such time, if any, as our Common Shares are considered “publicly-offered securities” within the meaning of the Plan Asset Regulations, we intend to limit investment in our Common Shares by “benefit plan investors” (“Benefit Plan Investors”) to less than 25% of the total value of our Common Shares (within the meaning of the Plan Asset Regulations).</w:t>
      </w:r>
    </w:p>
    <w:p>
      <w:pPr>
        <w:spacing w:after="0" w:line="180" w:lineRule="exact"/>
        <w:rPr>
          <w:sz w:val="20"/>
          <w:szCs w:val="20"/>
          <w:color w:val="auto"/>
        </w:rPr>
      </w:pPr>
    </w:p>
    <w:p>
      <w:pPr>
        <w:ind w:right="100" w:firstLine="255"/>
        <w:spacing w:after="0" w:line="252" w:lineRule="auto"/>
        <w:rPr>
          <w:sz w:val="20"/>
          <w:szCs w:val="20"/>
          <w:color w:val="auto"/>
        </w:rPr>
      </w:pPr>
      <w:r>
        <w:rPr>
          <w:rFonts w:ascii="Times New Roman" w:cs="Times New Roman" w:eastAsia="Times New Roman" w:hAnsi="Times New Roman"/>
          <w:sz w:val="18"/>
          <w:szCs w:val="18"/>
          <w:color w:val="auto"/>
        </w:rPr>
        <w:t>If, notwithstanding our intent, the assets of the Company were deemed to constitute “plan assets” of any shareholder that is a Benefit Plan Investor under ERISA or the Plan Asset Regulations, this would result, among other things, in (i) the application of the prudence and other fiduciary responsibility standards of ERISA to investments made by the Company, and (ii) the possibility that certain transactions in which the Company might seek to engage could constitute “prohibited transactions” under ERISA and the Code. If a prohibited transaction occurs for which no exemption is available, the Adviser and/or any other fiduciary that has engaged in the prohibited transaction could be required to (i) restore to the Benefit Plan Investor any profit realized on the transaction and (ii) reimburse the Benefit Plan Investor for any losses suffered by the Benefit Plan Investor as a result of the investment. In addition, each disqualified person (within the meaning of Section 4975 of the Code) involved could be subject to an excise tax equal to 15% of the amount involved in the prohibited transaction for each year the transaction continues and, unless the transaction is corrected within statutorily required periods, to an additional tax of 100%. The fiduciary of a benefit plan investor who decides to invest in the Company could, under certain circumstances, be liable for prohibited transactions or other violations as a result of their investment in the Company or as co-fiduciaries for actions taken by or on behalf of the Company or the Adviser. With respect to a benefit plan investor that is an individual retirement account (an “IRA”) that invests in the Company, the occurrence of a prohibited transaction involving the individual who established the IRA, or his or her beneficiaries, would cause the IRA to lose its tax-exempt status. In addition, to the extent that the Company represents and/or covenants to any contractual counterparty that (1) the assets of the Company are not assets of the Benefit Plan Investors that invest in the Company and/or (2) the transactions entered into between the Company and the Benefit Plan Investor that invest in the Company do not constitute “prohibited transactions” under ERISA and the Code, and the applicable representation is untrue and/or the applicable covenant is not met, additional liabilities may be incurred, including as a result of the unwinding of the applicable contract.</w:t>
      </w:r>
    </w:p>
    <w:p>
      <w:pPr>
        <w:spacing w:after="0" w:line="195"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Accordingly, until such time, if any, as our Common Shares constitute “publicly traded securities” within the meaning of the Plan Asset Regulations, we have the power, among other things, to (a) reject, in whole or in part, the subscription of any prospective investor to the Company; (b) withhold consent to the transfer of Common Shares, including in circumstances where the Adviser determines necessary or desirable in order to facilitate compliance with ERISA or the Plan Asset Regulations; (c) restrict participation in the dividend reinvestment program such that Benefit Plan Investors are not permitted to participate, and (c) call Drawdown Purchases on a non-pro rata basis, and all Common Shares of the Company shall be subject to such terms and conditions.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firstLine="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information systems and systems failures could significantly disrupt our business, which may, in turn, negatively affect the market price of our Common Shares and our ability to pay dividends.</w:t>
      </w:r>
    </w:p>
    <w:p>
      <w:pPr>
        <w:spacing w:after="0" w:line="159" w:lineRule="exact"/>
        <w:rPr>
          <w:sz w:val="20"/>
          <w:szCs w:val="20"/>
          <w:color w:val="auto"/>
        </w:rPr>
      </w:pPr>
    </w:p>
    <w:p>
      <w:pPr>
        <w:ind w:right="80" w:firstLine="255"/>
        <w:spacing w:after="0" w:line="256" w:lineRule="auto"/>
        <w:rPr>
          <w:sz w:val="20"/>
          <w:szCs w:val="20"/>
          <w:color w:val="auto"/>
        </w:rPr>
      </w:pPr>
      <w:r>
        <w:rPr>
          <w:rFonts w:ascii="Times New Roman" w:cs="Times New Roman" w:eastAsia="Times New Roman" w:hAnsi="Times New Roman"/>
          <w:sz w:val="18"/>
          <w:szCs w:val="18"/>
          <w:color w:val="auto"/>
        </w:rPr>
        <w:t>Our business is highly dependent on the communications and information systems of the Adviser, its affiliates and third parties. Further, in the ordinary course of our business we or the Adviser engage certain third party service providers to provide us with services necessary for our business. Any failure or interruption of those systems or services, including as a result of the termination or suspension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spacing w:after="0" w:line="79"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sudden electrical or telecommunications outages;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such as earthquakes, tornadoes and hurricanes;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disease pandemics;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arising from local or larger scale political or social matters, including wars or terrorist 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outages due to idiosyncratic issues at specific providers;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These events, in turn, could have a material adverse effect on our operating results and negatively affect our ability to pay dividends to our shareholders.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laws or regulations governing our operations may adversely affect our business.</w:t>
      </w:r>
    </w:p>
    <w:p>
      <w:pPr>
        <w:spacing w:after="0" w:line="229" w:lineRule="exact"/>
        <w:rPr>
          <w:sz w:val="20"/>
          <w:szCs w:val="20"/>
          <w:color w:val="auto"/>
        </w:rPr>
      </w:pPr>
    </w:p>
    <w:p>
      <w:pPr>
        <w:ind w:right="20" w:firstLine="255"/>
        <w:spacing w:after="0" w:line="253" w:lineRule="auto"/>
        <w:rPr>
          <w:sz w:val="20"/>
          <w:szCs w:val="20"/>
          <w:color w:val="auto"/>
        </w:rPr>
      </w:pPr>
      <w:r>
        <w:rPr>
          <w:rFonts w:ascii="Times New Roman" w:cs="Times New Roman" w:eastAsia="Times New Roman" w:hAnsi="Times New Roman"/>
          <w:sz w:val="18"/>
          <w:szCs w:val="18"/>
          <w:color w:val="auto"/>
        </w:rPr>
        <w:t>We and our portfolio companies are subject to regulation by laws and regulations at the local, state, federal and, in some cases, foreign levels. These laws and regulations, as well as their interpretation, may be changed from time to time, and new laws and regulations may be enacted. Accordingly, any change in these laws or regulations, changes in their interpretation, or newly enacted laws or regulations and any failure by us or our portfolio companies to comply with these laws or regulations, could require changes to certain business practices of us or our portfolio companies, negatively impact the operations, cash flows or financial condition of us or our portfolio companies, impose additional costs on us or our portfolio companies or otherwise adversely affect our business or the business of our portfolio companies. In particular, changes to the laws and regulations governing BDCs or the interpretation of these laws and regulations by the staff of the SEC could disrupt our business model. For example, tax reform legislation could have an adverse impact on us, the credit markets and our portfolio companies, to the extent the reduction in corporate tax rates or limitations on interest expense deductibility impact the credit markets and our portfolio companies. Any changes to the laws and regulations governing our operations or the U.S. federal income tax treatment of our assets may cause us to alter our investment strategy to avail ourselves of new or different opportunities. For more information on tax regulatory risks, see “</w:t>
      </w:r>
      <w:r>
        <w:rPr>
          <w:rFonts w:ascii="Times New Roman" w:cs="Times New Roman" w:eastAsia="Times New Roman" w:hAnsi="Times New Roman"/>
          <w:sz w:val="18"/>
          <w:szCs w:val="18"/>
          <w:i w:val="1"/>
          <w:iCs w:val="1"/>
          <w:color w:val="auto"/>
        </w:rPr>
        <w:t>Risks Related to our Portfolio Company Investments.”</w:t>
      </w:r>
    </w:p>
    <w:p>
      <w:pPr>
        <w:spacing w:after="0" w:line="192" w:lineRule="exact"/>
        <w:rPr>
          <w:sz w:val="20"/>
          <w:szCs w:val="20"/>
          <w:color w:val="auto"/>
        </w:rPr>
      </w:pPr>
    </w:p>
    <w:p>
      <w:pPr>
        <w:ind w:right="160" w:firstLine="255"/>
        <w:spacing w:after="0" w:line="281" w:lineRule="auto"/>
        <w:rPr>
          <w:sz w:val="20"/>
          <w:szCs w:val="20"/>
          <w:color w:val="auto"/>
        </w:rPr>
      </w:pPr>
      <w:r>
        <w:rPr>
          <w:rFonts w:ascii="Times New Roman" w:cs="Times New Roman" w:eastAsia="Times New Roman" w:hAnsi="Times New Roman"/>
          <w:sz w:val="17"/>
          <w:szCs w:val="17"/>
          <w:color w:val="auto"/>
        </w:rPr>
        <w:t>Over the last several years, there has been an increase in regulatory attention to the extension of credit outside of the traditional banking sector, raising the possibility that some portion of the non-bank financial sector will be subject to new regulation. While it cannot be known at this time whether these regulations will be implemented or what form they will take, increased regulation of non-bank credit extension could negatively impact our operations, cash flows or financial condition, impose additional costs on us, intensify the regulatory supervision of us or otherwise adversely affect our business.</w:t>
      </w:r>
    </w:p>
    <w:p>
      <w:pPr>
        <w:spacing w:after="0" w:line="26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ongoing armed conflicts as a result of the Russian invasion of Ukraine and the war between Israel and Hamas may have a material adverse impact on us and our portfolio companies.</w:t>
      </w:r>
    </w:p>
    <w:p>
      <w:pPr>
        <w:spacing w:after="0" w:line="159" w:lineRule="exact"/>
        <w:rPr>
          <w:sz w:val="20"/>
          <w:szCs w:val="20"/>
          <w:color w:val="auto"/>
        </w:rPr>
      </w:pPr>
    </w:p>
    <w:p>
      <w:pPr>
        <w:ind w:right="40" w:firstLine="255"/>
        <w:spacing w:after="0" w:line="273" w:lineRule="auto"/>
        <w:rPr>
          <w:sz w:val="20"/>
          <w:szCs w:val="20"/>
          <w:color w:val="auto"/>
        </w:rPr>
      </w:pPr>
      <w:r>
        <w:rPr>
          <w:rFonts w:ascii="Times New Roman" w:cs="Times New Roman" w:eastAsia="Times New Roman" w:hAnsi="Times New Roman"/>
          <w:sz w:val="17"/>
          <w:szCs w:val="17"/>
          <w:color w:val="auto"/>
        </w:rPr>
        <w:t>On February 22, 2022, the United States and several European nations announced sanctions against Russia in response to Russia’s actions. On February 24, 2022, Russian President Vladimir Putin commenced a full-scale invasion of Russia’s pre-positioned forces into Ukraine, which could have a negative impact on the economy and business activity globally (including in the countries in which the Company invests), and therefore could adversely affect the performance of the Company’s investments. The Russian invasion of Ukraine and the war between Israel and Hamas in the Middle East have led, are currently leading, and for an unknown period of time may continue to lead to disruptions in local, regional, national, and global markets and economies affected thereby. Furthermore, the aforementioned conflicts and the varying involvement of the United States and other NATO countries could preclude prediction as to their ultimate adverse impact on global economic and market conditions, and, as a result, presents material uncertainty and risk with</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5" w:name="page56"/>
    <w:bookmarkEnd w:id="55"/>
    <w:p>
      <w:pPr>
        <w:ind w:right="260"/>
        <w:spacing w:after="0" w:line="266" w:lineRule="auto"/>
        <w:rPr>
          <w:sz w:val="20"/>
          <w:szCs w:val="20"/>
          <w:color w:val="auto"/>
        </w:rPr>
      </w:pPr>
      <w:r>
        <w:rPr>
          <w:rFonts w:ascii="Times New Roman" w:cs="Times New Roman" w:eastAsia="Times New Roman" w:hAnsi="Times New Roman"/>
          <w:sz w:val="18"/>
          <w:szCs w:val="18"/>
          <w:color w:val="auto"/>
        </w:rPr>
        <w:t>respect to the Company and the performance of its investments or operations, and the ability of the Company to achieve its investment objectives. Additionally, to the extent that third parties, investors, or related customer bases have material operations or assets in such conflict zones, they may have adverse consequences related to the ongoing conflict.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effect of global climate change may adversely affect our business and impact the operations of our portfolio companies.</w:t>
      </w:r>
    </w:p>
    <w:p>
      <w:pPr>
        <w:spacing w:after="0" w:line="229" w:lineRule="exact"/>
        <w:rPr>
          <w:sz w:val="20"/>
          <w:szCs w:val="20"/>
          <w:color w:val="auto"/>
        </w:rPr>
      </w:pPr>
    </w:p>
    <w:p>
      <w:pPr>
        <w:ind w:right="200" w:firstLine="255"/>
        <w:spacing w:after="0" w:line="266" w:lineRule="auto"/>
        <w:rPr>
          <w:sz w:val="20"/>
          <w:szCs w:val="20"/>
          <w:color w:val="auto"/>
        </w:rPr>
      </w:pPr>
      <w:r>
        <w:rPr>
          <w:rFonts w:ascii="Times New Roman" w:cs="Times New Roman" w:eastAsia="Times New Roman" w:hAnsi="Times New Roman"/>
          <w:sz w:val="18"/>
          <w:szCs w:val="18"/>
          <w:color w:val="auto"/>
        </w:rPr>
        <w:t>We and our portfolio companies face risks associated with climate change including risks related to the impact of climate-and ESG-related legislation and regulation (both domestically and internationally), risks related to climate-related business trends, and risks stemming from the physical impacts of climate change.</w:t>
      </w:r>
    </w:p>
    <w:p>
      <w:pPr>
        <w:spacing w:after="0" w:line="176" w:lineRule="exact"/>
        <w:rPr>
          <w:sz w:val="20"/>
          <w:szCs w:val="20"/>
          <w:color w:val="auto"/>
        </w:rPr>
      </w:pPr>
    </w:p>
    <w:p>
      <w:pPr>
        <w:ind w:right="100" w:firstLine="255"/>
        <w:spacing w:after="0" w:line="254" w:lineRule="auto"/>
        <w:rPr>
          <w:sz w:val="20"/>
          <w:szCs w:val="20"/>
          <w:color w:val="auto"/>
        </w:rPr>
      </w:pPr>
      <w:r>
        <w:rPr>
          <w:rFonts w:ascii="Times New Roman" w:cs="Times New Roman" w:eastAsia="Times New Roman" w:hAnsi="Times New Roman"/>
          <w:sz w:val="18"/>
          <w:szCs w:val="18"/>
          <w:color w:val="auto"/>
        </w:rPr>
        <w:t>New climate change-related regulations or interpretations of existing laws may result in enhanced disclosure obligations, which could negatively affect us or our portfolio companies and materially increase our regulatory burden. Increased regulations generally increase our costs, and we could continue to experience higher costs if new laws require us to spend more time or buy new technology to comply effectively. At the portfolio company level, while we have increasingly and substantially sought to invest in sectors that are inherently lower carbon intensity (e.g., business services) which decreases transition risk, there are still individual portfolio companies in these and other sectors that could face transition risk if carbon-related regulations or taxes are implemented. Further, advances in climate science may change society’s understanding of sources and magnitudes of negative effects on climate, which could negatively impact portfolio company financial performance and regulatory jeopardy. For our portfolio companies, business trends related to climate change may require capital expenditures, product or service redesigns, and changes to operations and supply chains to meet changing customer expectations. While this can create opportunities, not addressing these changed expectations could create business risks for portfolio companies.</w:t>
      </w:r>
    </w:p>
    <w:p>
      <w:pPr>
        <w:spacing w:after="0" w:line="188" w:lineRule="exact"/>
        <w:rPr>
          <w:sz w:val="20"/>
          <w:szCs w:val="20"/>
          <w:color w:val="auto"/>
        </w:rPr>
      </w:pPr>
    </w:p>
    <w:p>
      <w:pPr>
        <w:ind w:right="60" w:firstLine="255"/>
        <w:spacing w:after="0" w:line="254" w:lineRule="auto"/>
        <w:rPr>
          <w:sz w:val="20"/>
          <w:szCs w:val="20"/>
          <w:color w:val="auto"/>
        </w:rPr>
      </w:pPr>
      <w:r>
        <w:rPr>
          <w:rFonts w:ascii="Times New Roman" w:cs="Times New Roman" w:eastAsia="Times New Roman" w:hAnsi="Times New Roman"/>
          <w:sz w:val="18"/>
          <w:szCs w:val="18"/>
          <w:color w:val="auto"/>
        </w:rPr>
        <w:t>Further, significant physical effects of climate change including extreme weather events such as hurricanes or floods, can also have an adverse impact on certain of our portfolio companies and investments, especially our portfolio companies that rely locations in the affected areas. As the effects of climate change increase, we expect the frequency and impact of weather and climate related events and conditions to increase as well. For example, unseasonal or violent weather events can have a material impact to businesses that focus on tourism or recreational travel. Additionally,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Income Tax Risks</w:t>
      </w:r>
    </w:p>
    <w:p>
      <w:pPr>
        <w:spacing w:after="0" w:line="22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subject to corporate-level income tax if we are unable to qualify as a RIC under Subchapter M of the Code or to satisfy RIC distribution requirements.</w:t>
      </w:r>
    </w:p>
    <w:p>
      <w:pPr>
        <w:spacing w:after="0" w:line="159" w:lineRule="exact"/>
        <w:rPr>
          <w:sz w:val="20"/>
          <w:szCs w:val="20"/>
          <w:color w:val="auto"/>
        </w:rPr>
      </w:pPr>
    </w:p>
    <w:p>
      <w:pPr>
        <w:ind w:right="140" w:firstLine="255"/>
        <w:spacing w:after="0" w:line="266" w:lineRule="auto"/>
        <w:rPr>
          <w:sz w:val="20"/>
          <w:szCs w:val="20"/>
          <w:color w:val="auto"/>
        </w:rPr>
      </w:pPr>
      <w:r>
        <w:rPr>
          <w:rFonts w:ascii="Times New Roman" w:cs="Times New Roman" w:eastAsia="Times New Roman" w:hAnsi="Times New Roman"/>
          <w:sz w:val="18"/>
          <w:szCs w:val="18"/>
          <w:color w:val="auto"/>
        </w:rPr>
        <w:t>To obtain and maintain RIC tax treatment under Subchapter M of the Code, we must, among other things, meet annual distribution, income source and asset diversification requirements. If we do not qualify for or maintain RIC tax treatment for any reason and are subject to corporate income tax, the resulting corporate taxes could substantially reduce our net assets, the amount of income available for distribution and the amount of our distributions.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paying our required distributions if we recognize income before or without receiving cash and representing such income.</w:t>
      </w:r>
    </w:p>
    <w:p>
      <w:pPr>
        <w:spacing w:after="0" w:line="229"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For federal income tax purposes, we may be required to recognize taxable income in circumstances in which we do not receive a corresponding payment in cash. For example, if we hold debt obligations that are treated under applicable tax rules as having original issue discount (such as zero coupon securities, debt instruments with PIK interest or, in certain cases, increasing interest rates or debt instruments that were issued with warrants), we must include in income each year a portion of the original issue discount that accrues over the life of the obligation, regardless of whether cash representing such income is received by us in the same taxable year. We may also have to include in income other amounts that we have not yet received in cash, such as deferred loan origination fees that are paid after origination of the loan or are paid in non-cash compensation such as warrants or stock, or we may engage in transactions, including debt modifications or exchanges, that require us to recognize income without the corresponding receipt of cash. We anticipate that a portion of our income may constitute original issue discount or other income required to be included in taxable income prior to receipt of cash. Further, we may elect to amortize market discount and include such amounts in our taxable income in</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the current year, instead of upon disposition, as an election not to do so would limit our ability to deduct interest expenses for tax purposes.</w:t>
      </w:r>
    </w:p>
    <w:p>
      <w:pPr>
        <w:spacing w:after="0" w:line="225"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Because any original issue discount or other amounts accrued will be included in our investment company taxable income for the year of the accrual, we may be required to make a distribution to our shareholders in order to satisfy the annual distribution requirement, even though we will not have received any corresponding cash amount. As a result, we may have difficulty meeting the annual distribution requirement necessary to qualify for and maintain RIC tax treatment under Subchapter M of the Code. We may have to sell some of our investments at times and/or at prices we would not consider advantageous, raise additional debt or equity capital or forgo new investment opportunities for this purpose. If we are not able to obtain cash from other sources, we may not qualify for or maintain RIC tax treatment and thus become subject to corporate-level income tax.</w:t>
      </w:r>
    </w:p>
    <w:p>
      <w:pPr>
        <w:spacing w:after="0" w:line="29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qualify as a “publicly offered regulated investment company,” as defined in the Code, a non-corporate shareholder will be taxed as though it received a distribution of some of our expenses.</w:t>
      </w:r>
    </w:p>
    <w:p>
      <w:pPr>
        <w:spacing w:after="0" w:line="159" w:lineRule="exact"/>
        <w:rPr>
          <w:sz w:val="20"/>
          <w:szCs w:val="20"/>
          <w:color w:val="auto"/>
        </w:rPr>
      </w:pPr>
    </w:p>
    <w:p>
      <w:pPr>
        <w:ind w:right="40" w:firstLine="255"/>
        <w:spacing w:after="0" w:line="254" w:lineRule="auto"/>
        <w:rPr>
          <w:sz w:val="20"/>
          <w:szCs w:val="20"/>
          <w:color w:val="auto"/>
        </w:rPr>
      </w:pPr>
      <w:r>
        <w:rPr>
          <w:rFonts w:ascii="Times New Roman" w:cs="Times New Roman" w:eastAsia="Times New Roman" w:hAnsi="Times New Roman"/>
          <w:sz w:val="18"/>
          <w:szCs w:val="18"/>
          <w:color w:val="auto"/>
        </w:rPr>
        <w:t>A “publicly offered regulated investment company” or “publicly offered RIC” is a RIC whose shares are either (i) continuously offered pursuant to a public offering within the meaning of Section 4 of the 1933 Act, (ii) regularly traded on an established securities market or (iii) held by at least 500 persons at all times during the taxable year. While we generally expect to qualify as a RIC, we anticipate that we will not qualify as a publicly offered RIC immediately after the commencement of the Private Offering, although we may qualify as a publicly offered RIC upon the completion of the Private Offering. If we are a RIC that is not a publicly offered RIC for any period, a non-corporate shareholder’s allocable portion of our affected expenses, including our Management Fees, will be treated as an additional distribution to the shareholder and will be treated as miscellaneous itemized deductions that are deductible only to the extent permitted by applicable law. Under current law, such expenses will not be deductible by any such shareholder for tax years that begin prior to January 1, 2026 and are deductible subject to limitation thereafter.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investments may be subject to corporate-level income tax.</w:t>
      </w:r>
    </w:p>
    <w:p>
      <w:pPr>
        <w:spacing w:after="0" w:line="229"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We may invest in certain debt and equity investments through taxable subsidiaries and the taxable income of these taxable subsidiaries will be subject to federal and state corporate income taxes. We may invest in certain foreign debt and equity investments which could be subject to foreign taxes (such as income tax, withholding and value added taxes).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portfolio investments may present special tax issues.</w:t>
      </w:r>
    </w:p>
    <w:p>
      <w:pPr>
        <w:spacing w:after="0" w:line="229" w:lineRule="exact"/>
        <w:rPr>
          <w:sz w:val="20"/>
          <w:szCs w:val="20"/>
          <w:color w:val="auto"/>
        </w:rPr>
      </w:pPr>
    </w:p>
    <w:p>
      <w:pPr>
        <w:ind w:right="280" w:firstLine="255"/>
        <w:spacing w:after="0" w:line="274" w:lineRule="auto"/>
        <w:rPr>
          <w:sz w:val="20"/>
          <w:szCs w:val="20"/>
          <w:color w:val="auto"/>
        </w:rPr>
      </w:pPr>
      <w:r>
        <w:rPr>
          <w:rFonts w:ascii="Times New Roman" w:cs="Times New Roman" w:eastAsia="Times New Roman" w:hAnsi="Times New Roman"/>
          <w:sz w:val="17"/>
          <w:szCs w:val="17"/>
          <w:color w:val="auto"/>
        </w:rPr>
        <w:t>The Company expects to invest in debt securities that are rated below investment grade by rating agencies or that would be rated below investment grade if they were rated. Investments in these types of instruments may present special tax issues for the Company. U.S. federal income tax rules are not entirely clear about issues such as when the Company may cease to accrue interest, original issue discount or market discount, when and to what extent deductions may be taken for bad debts or worthless instruments, how payments received on obligations in default should be allocated between principal and income and whether exchanges of debt obligations in a bankruptcy or workout context are taxable. These and other issues will be addressed by the Company, to the extent necessary, to preserve its status as a RIC and to distribute sufficient income to not become subject to U.S. federal income tax.</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Legislative or regulatory tax changes could adversely affect investors.</w:t>
      </w:r>
    </w:p>
    <w:p>
      <w:pPr>
        <w:spacing w:after="0" w:line="229" w:lineRule="exact"/>
        <w:rPr>
          <w:sz w:val="20"/>
          <w:szCs w:val="20"/>
          <w:color w:val="auto"/>
        </w:rPr>
      </w:pPr>
    </w:p>
    <w:p>
      <w:pPr>
        <w:jc w:val="both"/>
        <w:ind w:right="340" w:firstLine="255"/>
        <w:spacing w:after="0" w:line="261" w:lineRule="auto"/>
        <w:rPr>
          <w:sz w:val="20"/>
          <w:szCs w:val="20"/>
          <w:color w:val="auto"/>
        </w:rPr>
      </w:pPr>
      <w:r>
        <w:rPr>
          <w:rFonts w:ascii="Times New Roman" w:cs="Times New Roman" w:eastAsia="Times New Roman" w:hAnsi="Times New Roman"/>
          <w:sz w:val="18"/>
          <w:szCs w:val="18"/>
          <w:color w:val="auto"/>
        </w:rPr>
        <w:t>At any time, the federal income tax laws governing RICs or the administrative interpretations of those laws or regulations may be amended. Any of those new laws, regulations or interpretations may take effect retroactively and could adversely affect the taxation of us or our shareholders. Therefore, changes in tax laws, regulations or administrative interpretations or any amendments thereto could diminish the value of an investment in our Common Shares or the value or the resale potential of our investments.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shareholders may be subject to U.S. dividend withholding tax on our distributions.</w:t>
      </w:r>
    </w:p>
    <w:p>
      <w:pPr>
        <w:spacing w:after="0" w:line="229"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A shareholder will be subject to U.S. federal dividend withholding tax on our distributions unless a withholding tax exemption applies. A shareholder may also be subject to U.S. federal withholding tax if it does not comply with applicable U.S. tax requirements to certify its status for U.S. tax purposes. Amounts that are withheld, to the extent in excess of the shareholder’s U.S. federal income tax liability, can generally be recovered by filing a U.S. federal income tax return; however, the administrative burden and cost of filing such a U.S. federal income tax return may outweigh the benefit of recovering such amounts.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21"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As an externally managed closed-end management investment company that has elected to be regulated as a BDC under the 1940 Act, our day-to-day operations are managed by the Adviser, Administrator and our executive officers under the oversight of our Board of Trustees. Our executive officers are senior professionals of the Adviser and Sixth Street and each of the Adviser and Administrator is a subsidiary of Sixth Street. As such, we are reliant on Sixth Street for assessing, identifying and managing material risks to our business from cybersecurity threats. Below are details Sixth Street has provided to us regarding its cybersecurity program that are relevant to us.</w:t>
      </w:r>
    </w:p>
    <w:p>
      <w:pPr>
        <w:spacing w:after="0" w:line="75" w:lineRule="exact"/>
        <w:rPr>
          <w:sz w:val="20"/>
          <w:szCs w:val="20"/>
          <w:color w:val="auto"/>
        </w:rPr>
      </w:pPr>
    </w:p>
    <w:p>
      <w:pPr>
        <w:ind w:right="220" w:firstLine="255"/>
        <w:spacing w:after="0" w:line="258" w:lineRule="auto"/>
        <w:rPr>
          <w:sz w:val="20"/>
          <w:szCs w:val="20"/>
          <w:color w:val="auto"/>
        </w:rPr>
      </w:pPr>
      <w:r>
        <w:rPr>
          <w:rFonts w:ascii="Times New Roman" w:cs="Times New Roman" w:eastAsia="Times New Roman" w:hAnsi="Times New Roman"/>
          <w:sz w:val="18"/>
          <w:szCs w:val="18"/>
          <w:color w:val="auto"/>
        </w:rPr>
        <w:t>Sixth Street maintains a comprehensive cybersecurity program, including policies and procedures designed to protect its systems, operations, and the data utilized and entrusted to it, including by us, from anticipated threats or hazards. Sixth Street utilizes a variety of protective measures as a part of its cybersecurity program. These measures include, where appropriate, physical and digital access controls, patch management, identity verification and mobile device management software, employee cybersecurity awareness and best practices training programs, security baselines and tools to report anomalous activity, and monitoring of data usage, hardware and software, among others.</w:t>
      </w:r>
    </w:p>
    <w:p>
      <w:pPr>
        <w:spacing w:after="0" w:line="75" w:lineRule="exact"/>
        <w:rPr>
          <w:sz w:val="20"/>
          <w:szCs w:val="20"/>
          <w:color w:val="auto"/>
        </w:rPr>
      </w:pPr>
    </w:p>
    <w:p>
      <w:pPr>
        <w:ind w:right="200" w:firstLine="255"/>
        <w:spacing w:after="0" w:line="256" w:lineRule="auto"/>
        <w:rPr>
          <w:sz w:val="20"/>
          <w:szCs w:val="20"/>
          <w:color w:val="auto"/>
        </w:rPr>
      </w:pPr>
      <w:r>
        <w:rPr>
          <w:rFonts w:ascii="Times New Roman" w:cs="Times New Roman" w:eastAsia="Times New Roman" w:hAnsi="Times New Roman"/>
          <w:sz w:val="18"/>
          <w:szCs w:val="18"/>
          <w:color w:val="auto"/>
        </w:rPr>
        <w:t>Sixth Street tests its cybersecurity defenses regularly through automated and manual vulnerability scanning, to identify and remediate critical vulnerabilities. In addition, it conducts annual “white hat” penetration tests to validate its security posture. Further, Sixth Street engages in cyber incident tabletop exercises and scenario planning exercises involving hypothetical cybersecurity incidents to test its cyber incident response processes. Tabletop exercises are conducted by Sixth Street’s Technology Risk team in collaboration with outside service providers as appropriate and includes members of Sixth Street’s senior management and Legal/ Compliance team. Learnings from these tabletop exercises and any events that Sixth Street experiences are reviewed, discussed, and incorporated into its cybersecurity framework as appropriate.</w:t>
      </w:r>
    </w:p>
    <w:p>
      <w:pPr>
        <w:spacing w:after="0" w:line="79" w:lineRule="exact"/>
        <w:rPr>
          <w:sz w:val="20"/>
          <w:szCs w:val="20"/>
          <w:color w:val="auto"/>
        </w:rPr>
      </w:pPr>
    </w:p>
    <w:p>
      <w:pPr>
        <w:ind w:right="20" w:firstLine="300"/>
        <w:spacing w:after="0" w:line="261" w:lineRule="auto"/>
        <w:rPr>
          <w:sz w:val="20"/>
          <w:szCs w:val="20"/>
          <w:color w:val="auto"/>
        </w:rPr>
      </w:pPr>
      <w:r>
        <w:rPr>
          <w:rFonts w:ascii="Times New Roman" w:cs="Times New Roman" w:eastAsia="Times New Roman" w:hAnsi="Times New Roman"/>
          <w:sz w:val="18"/>
          <w:szCs w:val="18"/>
          <w:color w:val="auto"/>
        </w:rPr>
        <w:t>In addition to Sixth Street’s internal exercises to test aspects of its cybersecurity program, Sixth Street periodically engages independent third parties to assess the risks associated with its information technology resources and information assets. Among other matters, these third parties analyze data on the interactions of users of Sixth Street’s information technology resources, including employees, and conduct penetration tests and scanning exercises to assess the performance of the cybersecurity systems and processes.</w:t>
      </w:r>
    </w:p>
    <w:p>
      <w:pPr>
        <w:spacing w:after="0" w:line="72" w:lineRule="exact"/>
        <w:rPr>
          <w:sz w:val="20"/>
          <w:szCs w:val="20"/>
          <w:color w:val="auto"/>
        </w:rPr>
      </w:pPr>
    </w:p>
    <w:p>
      <w:pPr>
        <w:ind w:right="60" w:firstLine="300"/>
        <w:spacing w:after="0" w:line="256" w:lineRule="auto"/>
        <w:rPr>
          <w:sz w:val="20"/>
          <w:szCs w:val="20"/>
          <w:color w:val="auto"/>
        </w:rPr>
      </w:pPr>
      <w:r>
        <w:rPr>
          <w:rFonts w:ascii="Times New Roman" w:cs="Times New Roman" w:eastAsia="Times New Roman" w:hAnsi="Times New Roman"/>
          <w:sz w:val="18"/>
          <w:szCs w:val="18"/>
          <w:color w:val="auto"/>
        </w:rPr>
        <w:t>Sixth Street has a comprehensive Security Incident Response Plan (the “IRP”) designed to inform the proper escalation (including, as appropriate, to our executive officers and other representatives of the Adviser or its affiliates) of non-routine suspected or confirmed information security or cybersecurity events based on the expected risk an event presents. As appropriate, a team composed of individuals from several internal technical and managerial functions may be formed to investigate and remediate the event and determine the extent of external advisor support required, including from external counsel, forensic investigators, and/or law enforcement. The IRP sets out ongoing monitoring or remediating actions to be taken after resolution of an incident. The IRP is reviewed at least annually.</w:t>
      </w:r>
    </w:p>
    <w:p>
      <w:pPr>
        <w:spacing w:after="0" w:line="79" w:lineRule="exact"/>
        <w:rPr>
          <w:sz w:val="20"/>
          <w:szCs w:val="20"/>
          <w:color w:val="auto"/>
        </w:rPr>
      </w:pPr>
    </w:p>
    <w:p>
      <w:pPr>
        <w:jc w:val="both"/>
        <w:ind w:right="180" w:firstLine="300"/>
        <w:spacing w:after="0" w:line="266" w:lineRule="auto"/>
        <w:rPr>
          <w:sz w:val="20"/>
          <w:szCs w:val="20"/>
          <w:color w:val="auto"/>
        </w:rPr>
      </w:pPr>
      <w:r>
        <w:rPr>
          <w:rFonts w:ascii="Times New Roman" w:cs="Times New Roman" w:eastAsia="Times New Roman" w:hAnsi="Times New Roman"/>
          <w:sz w:val="18"/>
          <w:szCs w:val="18"/>
          <w:color w:val="auto"/>
        </w:rPr>
        <w:t>Sixth Street maintains a cybersecurity risk management process to identify and mitigate risks that impact the firm. Sixth Street’s Head of Technology Risk periodically discusses and reviews cybersecurity risks and related mitigants with Sixth Street’s Cybersecurity Committee and incorporates relevant cybersecurity risk updates and metrics.</w:t>
      </w:r>
    </w:p>
    <w:p>
      <w:pPr>
        <w:spacing w:after="0" w:line="68" w:lineRule="exact"/>
        <w:rPr>
          <w:sz w:val="20"/>
          <w:szCs w:val="20"/>
          <w:color w:val="auto"/>
        </w:rPr>
      </w:pPr>
    </w:p>
    <w:p>
      <w:pPr>
        <w:ind w:firstLine="255"/>
        <w:spacing w:after="0" w:line="312" w:lineRule="auto"/>
        <w:rPr>
          <w:sz w:val="20"/>
          <w:szCs w:val="20"/>
          <w:color w:val="auto"/>
        </w:rPr>
      </w:pPr>
      <w:r>
        <w:rPr>
          <w:rFonts w:ascii="Times New Roman" w:cs="Times New Roman" w:eastAsia="Times New Roman" w:hAnsi="Times New Roman"/>
          <w:sz w:val="17"/>
          <w:szCs w:val="17"/>
          <w:color w:val="auto"/>
        </w:rPr>
        <w:t>Sixth Street employs a process designed to assess the cybersecurity risks associated with the engagement of third-party vendors. This assessment is conducted on the basis of, among other factors, the types of services provided and the extent and type of data accessed or processed by a third-party vendor.</w:t>
      </w:r>
    </w:p>
    <w:p>
      <w:pPr>
        <w:spacing w:after="0" w:line="32" w:lineRule="exact"/>
        <w:rPr>
          <w:sz w:val="20"/>
          <w:szCs w:val="20"/>
          <w:color w:val="auto"/>
        </w:rPr>
      </w:pPr>
    </w:p>
    <w:p>
      <w:pPr>
        <w:ind w:right="200" w:firstLine="255"/>
        <w:spacing w:after="0" w:line="255" w:lineRule="auto"/>
        <w:rPr>
          <w:sz w:val="20"/>
          <w:szCs w:val="20"/>
          <w:color w:val="auto"/>
        </w:rPr>
      </w:pPr>
      <w:r>
        <w:rPr>
          <w:rFonts w:ascii="Times New Roman" w:cs="Times New Roman" w:eastAsia="Times New Roman" w:hAnsi="Times New Roman"/>
          <w:sz w:val="18"/>
          <w:szCs w:val="18"/>
          <w:color w:val="auto"/>
        </w:rPr>
        <w:t>In the last three fiscal years, we have not experienced a material information security breach incident and the expenses we have incurred from information security breach incidents have been immaterial. However, future incidents could have a material impact on our business strategy, results of operations or financial condition. For a discussion of how risks from cybersecurity threats affect our business, and our reliance on the Sixth Street and its affiliates in managing these risks, see “Part 1. Item 1A. Risk Factors – Risk Related to our Business – Cybersecurity risks and cyber incidents may adversely affect our business or those of our portfolio companies by causing a disruption to our operations, a compromise or corruption of confidential information and/or damage to business relationships, or those of our portfolio companies, all of which could negatively impact our business, results of operations or financial condition”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21"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Sixth Street has a dedicated cybersecurity team, led by its Head of Technology Risk, who works closely with Sixth Street’s Cybersecurity Committee, to develop and advance the firm’s cybersecurity strategy, which applies to us. Sixth Street’s Cybersecurity Committee includes its Chief Information Officer, Chief Risk Officer, General Counsel, Co-Chief Operating Officer and Chief Compliance Officer, as well as our Chief Financial Officer and Chief Compliance Officer.</w:t>
      </w:r>
    </w:p>
    <w:p>
      <w:pPr>
        <w:spacing w:after="0" w:line="72" w:lineRule="exact"/>
        <w:rPr>
          <w:sz w:val="20"/>
          <w:szCs w:val="20"/>
          <w:color w:val="auto"/>
        </w:rPr>
      </w:pPr>
    </w:p>
    <w:p>
      <w:pPr>
        <w:ind w:right="120" w:firstLine="255"/>
        <w:spacing w:after="0" w:line="266" w:lineRule="auto"/>
        <w:rPr>
          <w:sz w:val="20"/>
          <w:szCs w:val="20"/>
          <w:color w:val="auto"/>
        </w:rPr>
      </w:pPr>
      <w:r>
        <w:rPr>
          <w:rFonts w:ascii="Times New Roman" w:cs="Times New Roman" w:eastAsia="Times New Roman" w:hAnsi="Times New Roman"/>
          <w:sz w:val="18"/>
          <w:szCs w:val="18"/>
          <w:color w:val="auto"/>
        </w:rPr>
        <w:t>The Head of Technology Risk has extensive experience in cybersecurity and technology and is responsible for all aspects of cybersecurity across Sixth Street. He has a B.S in Computer Science from University of Washington and has over 17 years of experience contributing to cybersecurity related workflows, processes, policies, system designs, program management, and vulnerability discovery, exploitation, mitigation, and remediation.</w:t>
      </w:r>
    </w:p>
    <w:p>
      <w:pPr>
        <w:spacing w:after="0" w:line="68"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Sixth Street conducts periodic cybersecurity risk assessments, including assessments or audits of third-party vendors, and assists with the management and mitigation of identified cybersecurity risks. The Head of Technology Risk reviews the cybersecurity framework annually as well as on an event-driven basis as necessary. The Head of Technology Risk also reviews the scope of the cybersecurity measures periodically, including in the event of a change in business practices that may implicate the security or integrity of Sixth Street’s information and systems.</w:t>
      </w:r>
    </w:p>
    <w:p>
      <w:pPr>
        <w:spacing w:after="0" w:line="72" w:lineRule="exact"/>
        <w:rPr>
          <w:sz w:val="20"/>
          <w:szCs w:val="20"/>
          <w:color w:val="auto"/>
        </w:rPr>
      </w:pPr>
    </w:p>
    <w:p>
      <w:pPr>
        <w:ind w:right="200" w:firstLine="255"/>
        <w:spacing w:after="0" w:line="258" w:lineRule="auto"/>
        <w:rPr>
          <w:sz w:val="20"/>
          <w:szCs w:val="20"/>
          <w:color w:val="auto"/>
        </w:rPr>
      </w:pPr>
      <w:r>
        <w:rPr>
          <w:rFonts w:ascii="Times New Roman" w:cs="Times New Roman" w:eastAsia="Times New Roman" w:hAnsi="Times New Roman"/>
          <w:sz w:val="18"/>
          <w:szCs w:val="18"/>
          <w:color w:val="auto"/>
        </w:rPr>
        <w:t>Our Board of Trustees is responsible for understanding the primary risks to our business, including any cybersecurity risks. The Board of Trustees/ is responsible for reviewing periodically our and the Adviser’s information technology security controls and related compliance matters, with management. Sixth Street’s Head of Technology Risk reports to the Board of Trustees at least annually on cybersecurity matters, including risks facing us and the Adviser and, as applicable, certain incidents. In addition to such periodic reports, the Board of Trustees may receive updates from management as to our and the Adviser’s cybersecurity risks and Sixth Street cybersecurity program developments.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maintain our principal executive office at 2100 McKinney Avenue, Suite 1500, Dallas, Texas 75201. We do not own any real estate.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9" w:name="page60"/>
    <w:bookmarkEnd w:id="5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SHAREHOLDER MATTERS AND ISSUER PURCHASES OF EQUITY SECURITIES</w:t>
      </w:r>
    </w:p>
    <w:p>
      <w:pPr>
        <w:spacing w:after="0" w:line="51"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Until an Exchange Listing, our outstanding Common Shares will be offered and sold in transactions exempt from registration under the Securities Act under section 4(a)(2), Regulation D thereunder, and/or Regulation S thereunder. There is not currently a public market for our Common Shares, nor can we give any assurance that one will develop.</w:t>
      </w:r>
    </w:p>
    <w:p>
      <w:pPr>
        <w:spacing w:after="0" w:line="68" w:lineRule="exact"/>
        <w:rPr>
          <w:sz w:val="20"/>
          <w:szCs w:val="20"/>
          <w:color w:val="auto"/>
        </w:rPr>
      </w:pPr>
    </w:p>
    <w:p>
      <w:pPr>
        <w:ind w:right="80" w:firstLine="255"/>
        <w:spacing w:after="0" w:line="254" w:lineRule="auto"/>
        <w:rPr>
          <w:sz w:val="20"/>
          <w:szCs w:val="20"/>
          <w:color w:val="auto"/>
        </w:rPr>
      </w:pPr>
      <w:r>
        <w:rPr>
          <w:rFonts w:ascii="Times New Roman" w:cs="Times New Roman" w:eastAsia="Times New Roman" w:hAnsi="Times New Roman"/>
          <w:sz w:val="18"/>
          <w:szCs w:val="18"/>
          <w:color w:val="auto"/>
        </w:rPr>
        <w:t>Because our Common Shares are being acquired by investors in one or more transactions “not involving a public offering,” they are “restricted securities” and may be required to be held indefinitely. Our Common Shares may not be sold, transferred, assigned, pledged or otherwise disposed of unless (i) our consent is granted; and, (ii) the Common Shares are registered under applicable securities laws or specifically exempted from registration (in which case the shareholder may, at our option, be required to provide us with a legal opinion, in form and substance satisfactory to us, that registration is not required). Accordingly, an investor must be willing to bear the economic risk of investment in the Common Shares until we are liquidated. No sale, transfer, assignment, pledge or other disposition, whether voluntary or involuntary, of the Common Shares may be made except by registration of the transfer on our books. Each transferee will be required to execute an instrument agreeing to be bound by these restrictions and the other restrictions imposed on the Common Shares and to execute such other instruments or certifications as are reasonably required by us.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Holders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February 16, 2024, there were approximately 78 holders of record of our Common Shares.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60" w:name="page61"/>
    <w:bookmarkEnd w:id="60"/>
    <w:p>
      <w:pPr>
        <w:ind w:right="1200"/>
        <w:spacing w:after="0" w:line="376"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 Introduction</w:t>
      </w:r>
    </w:p>
    <w:p>
      <w:pPr>
        <w:spacing w:after="0" w:line="1" w:lineRule="exact"/>
        <w:rPr>
          <w:sz w:val="20"/>
          <w:szCs w:val="20"/>
          <w:color w:val="auto"/>
        </w:rPr>
      </w:pPr>
    </w:p>
    <w:p>
      <w:pPr>
        <w:ind w:right="140" w:firstLine="255"/>
        <w:spacing w:after="0" w:line="267" w:lineRule="auto"/>
        <w:rPr>
          <w:sz w:val="20"/>
          <w:szCs w:val="20"/>
          <w:color w:val="auto"/>
        </w:rPr>
      </w:pPr>
      <w:r>
        <w:rPr>
          <w:rFonts w:ascii="Times New Roman" w:cs="Times New Roman" w:eastAsia="Times New Roman" w:hAnsi="Times New Roman"/>
          <w:sz w:val="18"/>
          <w:szCs w:val="18"/>
          <w:i w:val="1"/>
          <w:iCs w:val="1"/>
          <w:color w:val="auto"/>
        </w:rPr>
        <w:t>Management’s Discussion and Analysis should be read in conjunction with ITEM 8. CONSOLIDATED FINANCIAL STATEMENTS AND SUPPLEMENTARY DATA. This discussion contains forward-looking statements and involves numerous risks and uncertainties, including, but not limited to, those described in “ITEM 1A. RISK FACTORS.” Actual results may differ materially from those contained in any forward-looking statements.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Sixth Street Lending Partners is a Delaware statutory trust formed on April 5, 2022. The Adviser is our external manager. We have three wholly owned subsidiaries, SSLP Lending, LLC, a Delaware limited liability company, which holds a California finance lender and broker license, Sixth Street LP Holding, LLC, Sixth Street LP Holding II, LLC and Sixth Street Lending Partners Sub, LLC in which we may hold certain investments. Sixth Street LP Holding, LLC has legally dissolved as of December 31, 2023.</w:t>
      </w:r>
    </w:p>
    <w:p>
      <w:pPr>
        <w:spacing w:after="0" w:line="180" w:lineRule="exact"/>
        <w:rPr>
          <w:sz w:val="20"/>
          <w:szCs w:val="20"/>
          <w:color w:val="auto"/>
        </w:rPr>
      </w:pPr>
    </w:p>
    <w:p>
      <w:pPr>
        <w:ind w:right="260" w:firstLine="255"/>
        <w:spacing w:after="0" w:line="282" w:lineRule="auto"/>
        <w:rPr>
          <w:sz w:val="20"/>
          <w:szCs w:val="20"/>
          <w:color w:val="auto"/>
        </w:rPr>
      </w:pPr>
      <w:r>
        <w:rPr>
          <w:rFonts w:ascii="Times New Roman" w:cs="Times New Roman" w:eastAsia="Times New Roman" w:hAnsi="Times New Roman"/>
          <w:sz w:val="18"/>
          <w:szCs w:val="18"/>
          <w:color w:val="auto"/>
        </w:rPr>
        <w:t>We have elected to be regulated as a BDC under the 1940 Act and have elected to be treated as a RIC under the Code. As a result, we are required to comply with various statutory and regulatory requirements, such as:</w:t>
      </w:r>
    </w:p>
    <w:p>
      <w:pPr>
        <w:spacing w:after="0" w:line="54" w:lineRule="exact"/>
        <w:rPr>
          <w:sz w:val="20"/>
          <w:szCs w:val="20"/>
          <w:color w:val="auto"/>
        </w:rPr>
      </w:pPr>
    </w:p>
    <w:p>
      <w:pPr>
        <w:ind w:left="520" w:hanging="257"/>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invest at least 70% of our assets in “qualifying assets”;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income limitations;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diversification requirements; and</w:t>
      </w:r>
    </w:p>
    <w:p>
      <w:pPr>
        <w:spacing w:after="0" w:line="117" w:lineRule="exact"/>
        <w:rPr>
          <w:rFonts w:ascii="Times New Roman" w:cs="Times New Roman" w:eastAsia="Times New Roman" w:hAnsi="Times New Roman"/>
          <w:sz w:val="18"/>
          <w:szCs w:val="18"/>
          <w:color w:val="auto"/>
        </w:rPr>
      </w:pPr>
    </w:p>
    <w:p>
      <w:pPr>
        <w:ind w:left="520" w:right="340" w:hanging="257"/>
        <w:spacing w:after="0" w:line="282"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distribute (or be treated as distributing) in each taxable year at least 90% of our investment company taxable income and tax-exempt interest for that taxable year.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Investment Framework</w:t>
      </w:r>
    </w:p>
    <w:p>
      <w:pPr>
        <w:spacing w:after="0" w:line="121" w:lineRule="exact"/>
        <w:rPr>
          <w:sz w:val="20"/>
          <w:szCs w:val="20"/>
          <w:color w:val="auto"/>
        </w:rPr>
      </w:pPr>
    </w:p>
    <w:p>
      <w:pPr>
        <w:ind w:right="80" w:firstLine="255"/>
        <w:spacing w:after="0" w:line="256" w:lineRule="auto"/>
        <w:rPr>
          <w:sz w:val="20"/>
          <w:szCs w:val="20"/>
          <w:color w:val="auto"/>
        </w:rPr>
      </w:pPr>
      <w:r>
        <w:rPr>
          <w:rFonts w:ascii="Times New Roman" w:cs="Times New Roman" w:eastAsia="Times New Roman" w:hAnsi="Times New Roman"/>
          <w:sz w:val="18"/>
          <w:szCs w:val="18"/>
          <w:color w:val="auto"/>
        </w:rPr>
        <w:t>Our investment objective is to generate current income by targeting investments with favorable “risk-adjusted returns,” which are expected returns that are adjusted based on the levels of risk associated with the investments. Since we began our investment activities in August 2022, through December 31, 2023, we have originated more than $7.2 billion aggregate principal amount of investments and retained approximately $3.1 billion aggregate principal amount of these investments on our balance sheet prior to any subsequent exits and repayments. We seek to generate current income and long-term capital appreciation primarily by investing in U.S.-domiciled upper middle-market companies through direct originations of senior secured loans and, to a lesser extent, originations of mezzanine and unsecured loans and investments in corporate bonds, equity securities, and other instruments.</w:t>
      </w:r>
    </w:p>
    <w:p>
      <w:pPr>
        <w:spacing w:after="0" w:line="79"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By “upper middle-market companies,” we mean companies that have annual EBITDA, which we believe is a useful proxy for cash flow, of greater than $75 million, although we may invest in smaller companies on occasion. “EBITDA” means a company’s earnings before interest, tax, depreciation and amortization. As of December 31, 2023, our portfolio companies had a weighted average annual revenue of $462.6 million and weighted average annual EBITDA of $170.8 million.</w:t>
      </w:r>
    </w:p>
    <w:p>
      <w:pPr>
        <w:spacing w:after="0" w:line="72"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75" w:lineRule="exact"/>
        <w:rPr>
          <w:sz w:val="20"/>
          <w:szCs w:val="20"/>
          <w:color w:val="auto"/>
        </w:rPr>
      </w:pPr>
    </w:p>
    <w:p>
      <w:pPr>
        <w:ind w:right="180" w:firstLine="255"/>
        <w:spacing w:after="0" w:line="282" w:lineRule="auto"/>
        <w:rPr>
          <w:sz w:val="20"/>
          <w:szCs w:val="20"/>
          <w:color w:val="auto"/>
        </w:rPr>
      </w:pPr>
      <w:r>
        <w:rPr>
          <w:rFonts w:ascii="Times New Roman" w:cs="Times New Roman" w:eastAsia="Times New Roman" w:hAnsi="Times New Roman"/>
          <w:sz w:val="18"/>
          <w:szCs w:val="18"/>
          <w:color w:val="auto"/>
        </w:rPr>
        <w:t>We seek to create a portfolio over time that includes primarily senior secured investments by investing approximately $125 million to $300 million of capital, on average, across our core positions of upper middle-market companies.</w:t>
      </w:r>
    </w:p>
    <w:p>
      <w:pPr>
        <w:spacing w:after="0" w:line="162" w:lineRule="exact"/>
        <w:rPr>
          <w:sz w:val="20"/>
          <w:szCs w:val="20"/>
          <w:color w:val="auto"/>
        </w:rPr>
      </w:pPr>
    </w:p>
    <w:p>
      <w:pPr>
        <w:jc w:val="both"/>
        <w:ind w:right="120" w:firstLine="255"/>
        <w:spacing w:after="0" w:line="266" w:lineRule="auto"/>
        <w:rPr>
          <w:sz w:val="20"/>
          <w:szCs w:val="20"/>
          <w:color w:val="auto"/>
        </w:rPr>
      </w:pPr>
      <w:r>
        <w:rPr>
          <w:rFonts w:ascii="Times New Roman" w:cs="Times New Roman" w:eastAsia="Times New Roman" w:hAnsi="Times New Roman"/>
          <w:sz w:val="18"/>
          <w:szCs w:val="18"/>
          <w:color w:val="auto"/>
        </w:rPr>
        <w:t>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w:t>
      </w:r>
    </w:p>
    <w:p>
      <w:pPr>
        <w:spacing w:after="0" w:line="176" w:lineRule="exact"/>
        <w:rPr>
          <w:sz w:val="20"/>
          <w:szCs w:val="20"/>
          <w:color w:val="auto"/>
        </w:rPr>
      </w:pPr>
    </w:p>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The companies in which we invest use our capital to support organic growth, acquisitions, market or product expansion and recapitalizations (including restructurings). As of December 31, 2023, the largest single investment based on fair value represented 7.1% of our total investment portfolio.</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61" w:name="page62"/>
    <w:bookmarkEnd w:id="61"/>
    <w:p>
      <w:pPr>
        <w:ind w:left="260"/>
        <w:spacing w:after="0"/>
        <w:rPr>
          <w:sz w:val="20"/>
          <w:szCs w:val="20"/>
          <w:color w:val="auto"/>
        </w:rPr>
      </w:pPr>
      <w:r>
        <w:rPr>
          <w:rFonts w:ascii="Times New Roman" w:cs="Times New Roman" w:eastAsia="Times New Roman" w:hAnsi="Times New Roman"/>
          <w:sz w:val="18"/>
          <w:szCs w:val="18"/>
          <w:color w:val="auto"/>
        </w:rPr>
        <w:t>As of December 31, 2023, the average investment size in each of our portfolio companies was approximately $83.8 million based on fair value.</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Through our Adviser, we consider potential investments utilizing a four-tiered investment framework and against our existing portfolio as a whole:</w:t>
      </w:r>
    </w:p>
    <w:p>
      <w:pPr>
        <w:spacing w:after="0" w:line="223" w:lineRule="exact"/>
        <w:rPr>
          <w:sz w:val="20"/>
          <w:szCs w:val="20"/>
          <w:color w:val="auto"/>
        </w:rPr>
      </w:pPr>
    </w:p>
    <w:p>
      <w:pPr>
        <w:ind w:right="180" w:firstLine="25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Business and sector selection. </w:t>
      </w:r>
      <w:r>
        <w:rPr>
          <w:rFonts w:ascii="Times New Roman" w:cs="Times New Roman" w:eastAsia="Times New Roman" w:hAnsi="Times New Roman"/>
          <w:sz w:val="18"/>
          <w:szCs w:val="18"/>
          <w:color w:val="auto"/>
        </w:rPr>
        <w:t>We focus on companies with enterprise values above $750 million. When reviewing potential investments, we seek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 We currently do not limit our focus to any specific industry and we may invest in larger or smaller companies.</w:t>
      </w:r>
    </w:p>
    <w:p>
      <w:pPr>
        <w:spacing w:after="0" w:line="185" w:lineRule="exact"/>
        <w:rPr>
          <w:sz w:val="20"/>
          <w:szCs w:val="20"/>
          <w:color w:val="auto"/>
        </w:rPr>
      </w:pPr>
    </w:p>
    <w:p>
      <w:pPr>
        <w:jc w:val="both"/>
        <w:ind w:right="20" w:firstLine="255"/>
        <w:spacing w:after="0" w:line="266" w:lineRule="auto"/>
        <w:rPr>
          <w:sz w:val="20"/>
          <w:szCs w:val="20"/>
          <w:color w:val="auto"/>
        </w:rPr>
      </w:pPr>
      <w:r>
        <w:rPr>
          <w:rFonts w:ascii="Times New Roman" w:cs="Times New Roman" w:eastAsia="Times New Roman" w:hAnsi="Times New Roman"/>
          <w:sz w:val="18"/>
          <w:szCs w:val="18"/>
          <w:color w:val="auto"/>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December 31, 2023, the largest industry represented 25.4% of our total investment portfolio based on fair value.</w:t>
      </w:r>
    </w:p>
    <w:p>
      <w:pPr>
        <w:spacing w:after="0" w:line="223" w:lineRule="exact"/>
        <w:rPr>
          <w:sz w:val="20"/>
          <w:szCs w:val="20"/>
          <w:color w:val="auto"/>
        </w:rPr>
      </w:pPr>
    </w:p>
    <w:p>
      <w:pPr>
        <w:ind w:right="120" w:firstLine="25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Investment Structuring. </w:t>
      </w:r>
      <w:r>
        <w:rPr>
          <w:rFonts w:ascii="Times New Roman" w:cs="Times New Roman" w:eastAsia="Times New Roman" w:hAnsi="Times New Roman"/>
          <w:sz w:val="18"/>
          <w:szCs w:val="18"/>
          <w:color w:val="auto"/>
        </w:rPr>
        <w:t>We focus on investing at the top of the capital structure and protecting that position. As of December 31, 2023,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94.6% of our portfolio was invested in secured debt, including 92.0%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period ended December 31, 2023, the weighted average term on new investment commitments in new portfolio companies was 6.1 years.</w:t>
      </w:r>
    </w:p>
    <w:p>
      <w:pPr>
        <w:spacing w:after="0" w:line="183" w:lineRule="exact"/>
        <w:rPr>
          <w:sz w:val="20"/>
          <w:szCs w:val="20"/>
          <w:color w:val="auto"/>
        </w:rPr>
      </w:pPr>
    </w:p>
    <w:p>
      <w:pPr>
        <w:ind w:firstLine="25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Deal Dynamics. </w:t>
      </w:r>
      <w:r>
        <w:rPr>
          <w:rFonts w:ascii="Times New Roman" w:cs="Times New Roman" w:eastAsia="Times New Roman" w:hAnsi="Times New Roman"/>
          <w:sz w:val="18"/>
          <w:szCs w:val="18"/>
          <w:color w:val="auto"/>
        </w:rPr>
        <w:t>We will focus on, among other deal dynamics, direct origination of investments, where we identify and lead the investment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seek transactions that are too small for the traditional high yield market. We look to invest in companies that value our commitment and ability to originate an investment that meets their goals and fits within their existing capital structure.</w:t>
      </w:r>
    </w:p>
    <w:p>
      <w:pPr>
        <w:spacing w:after="0" w:line="173" w:lineRule="exact"/>
        <w:rPr>
          <w:sz w:val="20"/>
          <w:szCs w:val="20"/>
          <w:color w:val="auto"/>
        </w:rPr>
      </w:pPr>
    </w:p>
    <w:p>
      <w:pPr>
        <w:ind w:right="60" w:firstLine="255"/>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Risk Mitigation. </w:t>
      </w:r>
      <w:r>
        <w:rPr>
          <w:rFonts w:ascii="Times New Roman" w:cs="Times New Roman" w:eastAsia="Times New Roman" w:hAnsi="Times New Roman"/>
          <w:sz w:val="17"/>
          <w:szCs w:val="17"/>
          <w:color w:val="auto"/>
        </w:rPr>
        <w:t>We seek to mitigate non-credit-related risk on our returns in several ways, including call protection provisions to protect future interest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income. As of December 31, 2023, we had call protection on 95.1% of our debt investments based on fair value, with weighted average call prices of</w:t>
      </w:r>
    </w:p>
    <w:p>
      <w:pPr>
        <w:spacing w:after="0" w:line="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106.5% for the first year, 102.6% for the second year and 101.1% for the third year, in each case from the date of the initial investment. As of December 31, 2023, 99.9% of our debt investments based on fair value bore interest at floating rates, with 100% of these subject to interest rate floors, which we believe helps act as a portfolio-wide hedge against inflation.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our Adviser and Sixth Street</w:t>
      </w:r>
    </w:p>
    <w:p>
      <w:pPr>
        <w:spacing w:after="0" w:line="121"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direct lending, which we refer to as our Investment Team.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affiliates of Sixth Street Partners, LLC, or “Sixth Street.”</w:t>
      </w:r>
    </w:p>
    <w:p>
      <w:pPr>
        <w:spacing w:after="0" w:line="187" w:lineRule="exact"/>
        <w:rPr>
          <w:sz w:val="20"/>
          <w:szCs w:val="20"/>
          <w:color w:val="auto"/>
        </w:rPr>
      </w:pPr>
    </w:p>
    <w:p>
      <w:pPr>
        <w:ind w:right="60" w:firstLine="255"/>
        <w:spacing w:after="0" w:line="253" w:lineRule="auto"/>
        <w:rPr>
          <w:sz w:val="20"/>
          <w:szCs w:val="20"/>
          <w:color w:val="auto"/>
        </w:rPr>
      </w:pPr>
      <w:r>
        <w:rPr>
          <w:rFonts w:ascii="Times New Roman" w:cs="Times New Roman" w:eastAsia="Times New Roman" w:hAnsi="Times New Roman"/>
          <w:sz w:val="18"/>
          <w:szCs w:val="18"/>
          <w:color w:val="auto"/>
        </w:rPr>
        <w:t>Sixth Street is a global investment business with over $75 billion of assets under management as of December 31, 2023. Sixth Street’s direct lending platforms include Sixth Street Specialty Lending and Sixth Street Lending Partners, which are aimed at U.S. upper middle-market loan originations, Sixth Street Specialty Lending Europe, which is aimed at European middle-market loan originations. Additional Sixth Street core platforms include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w:t>
      </w:r>
    </w:p>
    <w:p>
      <w:pPr>
        <w:spacing w:after="0" w:line="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2" w:name="page63"/>
    <w:bookmarkEnd w:id="62"/>
    <w:p>
      <w:pPr>
        <w:ind w:right="480"/>
        <w:spacing w:after="0" w:line="282" w:lineRule="auto"/>
        <w:rPr>
          <w:sz w:val="20"/>
          <w:szCs w:val="20"/>
          <w:color w:val="auto"/>
        </w:rPr>
      </w:pPr>
      <w:r>
        <w:rPr>
          <w:rFonts w:ascii="Times New Roman" w:cs="Times New Roman" w:eastAsia="Times New Roman" w:hAnsi="Times New Roman"/>
          <w:sz w:val="18"/>
          <w:szCs w:val="18"/>
          <w:color w:val="auto"/>
        </w:rPr>
        <w:t>a team of over 580 investment and operating professionals. As of December 31, 2023, seventy (70) of these personnel are dedicated to direct lending, including fifty-five (55) investment professionals.</w:t>
      </w:r>
    </w:p>
    <w:p>
      <w:pPr>
        <w:spacing w:after="0" w:line="162"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87"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8"/>
          <w:szCs w:val="18"/>
          <w:color w:val="auto"/>
        </w:rPr>
        <w:t>On August 3, 2022, we, the Adviser and certain of our affiliates were granted an exemptive order from the SEC that allows us to co-invest, subject to certain conditions and to the extent the size of an investment opportunity exceeds the amount our Adviser has independently determined is appropriate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w:t>
      </w:r>
    </w:p>
    <w:p>
      <w:pPr>
        <w:spacing w:after="0" w:line="180"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0" w:lineRule="exact"/>
        <w:rPr>
          <w:sz w:val="20"/>
          <w:szCs w:val="20"/>
          <w:color w:val="auto"/>
        </w:rPr>
      </w:pPr>
    </w:p>
    <w:p>
      <w:pPr>
        <w:jc w:val="both"/>
        <w:ind w:right="20" w:firstLine="255"/>
        <w:spacing w:after="0" w:line="266" w:lineRule="auto"/>
        <w:rPr>
          <w:sz w:val="20"/>
          <w:szCs w:val="20"/>
          <w:color w:val="auto"/>
        </w:rPr>
      </w:pPr>
      <w:r>
        <w:rPr>
          <w:rFonts w:ascii="Times New Roman" w:cs="Times New Roman" w:eastAsia="Times New Roman" w:hAnsi="Times New Roman"/>
          <w:sz w:val="18"/>
          <w:szCs w:val="18"/>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(the “Management Fee”), and may also pay certain incentive fees (the “Incentive Fees”).</w:t>
      </w:r>
    </w:p>
    <w:p>
      <w:pPr>
        <w:spacing w:after="0" w:line="176" w:lineRule="exact"/>
        <w:rPr>
          <w:sz w:val="20"/>
          <w:szCs w:val="20"/>
          <w:color w:val="auto"/>
        </w:rPr>
      </w:pPr>
    </w:p>
    <w:p>
      <w:pPr>
        <w:ind w:right="340" w:firstLine="255"/>
        <w:spacing w:after="0" w:line="261" w:lineRule="auto"/>
        <w:rPr>
          <w:sz w:val="20"/>
          <w:szCs w:val="20"/>
          <w:color w:val="auto"/>
        </w:rPr>
      </w:pPr>
      <w:r>
        <w:rPr>
          <w:rFonts w:ascii="Times New Roman" w:cs="Times New Roman" w:eastAsia="Times New Roman" w:hAnsi="Times New Roman"/>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shareholders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focus primarily on the direct origination of loans to upper middle-market companies domiciled in the United States.</w:t>
      </w:r>
    </w:p>
    <w:p>
      <w:pPr>
        <w:spacing w:after="0" w:line="117"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68" w:lineRule="exact"/>
        <w:rPr>
          <w:sz w:val="20"/>
          <w:szCs w:val="20"/>
          <w:color w:val="auto"/>
        </w:rPr>
      </w:pPr>
    </w:p>
    <w:p>
      <w:pPr>
        <w:ind w:right="280" w:firstLine="255"/>
        <w:spacing w:after="0" w:line="282" w:lineRule="auto"/>
        <w:rPr>
          <w:sz w:val="20"/>
          <w:szCs w:val="20"/>
          <w:color w:val="auto"/>
        </w:rPr>
      </w:pPr>
      <w:r>
        <w:rPr>
          <w:rFonts w:ascii="Times New Roman" w:cs="Times New Roman" w:eastAsia="Times New Roman" w:hAnsi="Times New Roman"/>
          <w:sz w:val="18"/>
          <w:szCs w:val="18"/>
          <w:color w:val="auto"/>
        </w:rPr>
        <w:t>In addition, as part of our risk strategy on investments, we may reduce certain levels of investments through partial sales or syndication to additional investors.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six years, and, as of December 31, 2023, 99.9% of these investments based on fair value bore interest at a floating rate, with 100% of these subject to interest rate floors. Interest on debt investments is generally payable quarterly or semiannually. Some of our investments provide for deferred interest payments or PIK interest. For the year ended December 31, 2023, 5.9% of our total investment income was comprised of PIK interest. For the period beginning April 5, 2022 (Inception) through December 31, 2022, none of our investment income was comprised of PIK interest.</w:t>
      </w:r>
    </w:p>
    <w:p>
      <w:pPr>
        <w:spacing w:after="0" w:line="187" w:lineRule="exact"/>
        <w:rPr>
          <w:sz w:val="20"/>
          <w:szCs w:val="20"/>
          <w:color w:val="auto"/>
        </w:rPr>
      </w:pPr>
    </w:p>
    <w:p>
      <w:pPr>
        <w:ind w:right="440" w:firstLine="255"/>
        <w:spacing w:after="0" w:line="266" w:lineRule="auto"/>
        <w:rPr>
          <w:sz w:val="20"/>
          <w:szCs w:val="20"/>
          <w:color w:val="auto"/>
        </w:rPr>
      </w:pPr>
      <w:r>
        <w:rPr>
          <w:rFonts w:ascii="Times New Roman" w:cs="Times New Roman" w:eastAsia="Times New Roman" w:hAnsi="Times New Roman"/>
          <w:sz w:val="18"/>
          <w:szCs w:val="18"/>
          <w:color w:val="auto"/>
        </w:rPr>
        <w:t>Changes in our net investment income are primarily driven by the spread between the payments we receive from our investments in our portfolio companies against our cost of funding and fees related to portfolio activity, rather than by changes in interest rates. Our investment portfolio primarily consists of floating rate loans, and our credit facilities all bear interest at floating rates. Macro trends in</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3" w:name="page64"/>
    <w:bookmarkEnd w:id="63"/>
    <w:p>
      <w:pPr>
        <w:spacing w:after="0" w:line="258" w:lineRule="auto"/>
        <w:rPr>
          <w:sz w:val="20"/>
          <w:szCs w:val="20"/>
          <w:color w:val="auto"/>
        </w:rPr>
      </w:pPr>
      <w:r>
        <w:rPr>
          <w:rFonts w:ascii="Times New Roman" w:cs="Times New Roman" w:eastAsia="Times New Roman" w:hAnsi="Times New Roman"/>
          <w:sz w:val="18"/>
          <w:szCs w:val="18"/>
          <w:color w:val="auto"/>
        </w:rPr>
        <w:t>base interest rates like SOFR or other reference rates may affect our net investment income over the long term. However, because we generally originate loans to a limited number of portfolio companies each quarter, and those investments also vary in size, our results in any given period, 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spacing w:after="0" w:line="183"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83"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Loan origination fees, original issue discount and market discount or premium are capitalized, and we accrete or amortize such amounts as interest income using the effective interest method for term instruments and the straight-line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items of revenue may fluctuate significantly.</w:t>
      </w:r>
    </w:p>
    <w:p>
      <w:pPr>
        <w:spacing w:after="0" w:line="183"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Dividend income on common equity investments is recorded on the record date for private portfolio companies or on the ex-dividend date for publicly traded portfolio companies.</w:t>
      </w:r>
    </w:p>
    <w:p>
      <w:pPr>
        <w:spacing w:after="0" w:line="162" w:lineRule="exact"/>
        <w:rPr>
          <w:sz w:val="20"/>
          <w:szCs w:val="20"/>
          <w:color w:val="auto"/>
        </w:rPr>
      </w:pPr>
    </w:p>
    <w:p>
      <w:pPr>
        <w:ind w:right="260" w:firstLine="255"/>
        <w:spacing w:after="0" w:line="261" w:lineRule="auto"/>
        <w:rPr>
          <w:sz w:val="20"/>
          <w:szCs w:val="20"/>
          <w:color w:val="auto"/>
        </w:rPr>
      </w:pPr>
      <w:r>
        <w:rPr>
          <w:rFonts w:ascii="Times New Roman" w:cs="Times New Roman" w:eastAsia="Times New Roman" w:hAnsi="Times New Roman"/>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right="120" w:firstLine="255"/>
        <w:spacing w:after="0" w:line="266" w:lineRule="auto"/>
        <w:rPr>
          <w:sz w:val="20"/>
          <w:szCs w:val="20"/>
          <w:color w:val="auto"/>
        </w:rPr>
      </w:pPr>
      <w:r>
        <w:rPr>
          <w:rFonts w:ascii="Times New Roman" w:cs="Times New Roman" w:eastAsia="Times New Roman" w:hAnsi="Times New Roman"/>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68" w:lineRule="exact"/>
        <w:rPr>
          <w:sz w:val="20"/>
          <w:szCs w:val="20"/>
          <w:color w:val="auto"/>
        </w:rPr>
      </w:pPr>
    </w:p>
    <w:p>
      <w:pPr>
        <w:ind w:left="520" w:right="1540" w:hanging="257"/>
        <w:spacing w:after="0" w:line="261" w:lineRule="auto"/>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and offering expenses related to the Company’s initial private offering of Common Shares (up to an aggregate of 0.10% of total capital commitments to the Company, it being understood and agreed that the Adviser shall bear all such organizational and offering expenses related to the Company’s initial private offering of Common Shares in excess of such amount);</w:t>
      </w:r>
    </w:p>
    <w:p>
      <w:pPr>
        <w:spacing w:after="0" w:line="71"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individual asset values and our net asset value (including the cost and expenses of any independent valuation firms);</w:t>
      </w:r>
    </w:p>
    <w:p>
      <w:pPr>
        <w:spacing w:after="0" w:line="117" w:lineRule="exact"/>
        <w:rPr>
          <w:rFonts w:ascii="Times New Roman" w:cs="Times New Roman" w:eastAsia="Times New Roman" w:hAnsi="Times New Roman"/>
          <w:sz w:val="18"/>
          <w:szCs w:val="18"/>
          <w:color w:val="auto"/>
        </w:rPr>
      </w:pPr>
    </w:p>
    <w:p>
      <w:pPr>
        <w:ind w:left="520" w:right="300" w:hanging="257"/>
        <w:spacing w:after="0" w:line="266" w:lineRule="auto"/>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6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public offerings of our Common Shares and other securities, including registration and listing fees;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and any Incentive Fee;</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and expenses relating to distributions paid on our Common Shares;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fees payable under our Administration Agreement;</w:t>
      </w:r>
    </w:p>
    <w:p>
      <w:pPr>
        <w:spacing w:after="0" w:line="117" w:lineRule="exact"/>
        <w:rPr>
          <w:rFonts w:ascii="Times New Roman" w:cs="Times New Roman" w:eastAsia="Times New Roman" w:hAnsi="Times New Roman"/>
          <w:sz w:val="18"/>
          <w:szCs w:val="18"/>
          <w:color w:val="auto"/>
        </w:rPr>
      </w:pPr>
    </w:p>
    <w:p>
      <w:pPr>
        <w:ind w:left="520" w:right="1500" w:hanging="257"/>
        <w:spacing w:after="0" w:line="256" w:lineRule="auto"/>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provide operational and administrative services to us pursuant to the Administration Agreement (based on the percentage of time those individuals devote, on an estimated basis, to our business and affairs);</w:t>
      </w:r>
    </w:p>
    <w:p>
      <w:pPr>
        <w:spacing w:after="0" w:line="79"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and other costs of borrowings or other financing arrangements;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4" w:name="page65"/>
    <w:bookmarkEnd w:id="64"/>
    <w:p>
      <w:pPr>
        <w:ind w:left="520" w:hanging="257"/>
        <w:spacing w:after="0"/>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allocable share of costs incurred in providing significant managerial assistance to those portfolio companies that request it;</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payable to third parties relating to, or associated with, making or holding investments;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hedging;</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and other compensation payable to brokers or dealers;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Trustees fees and expenses;</w:t>
      </w:r>
    </w:p>
    <w:p>
      <w:pPr>
        <w:spacing w:after="0" w:line="117" w:lineRule="exact"/>
        <w:rPr>
          <w:rFonts w:ascii="Times New Roman" w:cs="Times New Roman" w:eastAsia="Times New Roman" w:hAnsi="Times New Roman"/>
          <w:sz w:val="18"/>
          <w:szCs w:val="18"/>
          <w:color w:val="auto"/>
        </w:rPr>
      </w:pPr>
    </w:p>
    <w:p>
      <w:pPr>
        <w:ind w:left="520" w:right="120" w:hanging="257"/>
        <w:spacing w:after="0" w:line="282"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reports, proxy statements or other notices to our shareholders (including printing and mailing costs), the costs of any shareholders’ meetings and the compensation of investor relations personnel responsible for the preparation of the foregoing and related matters;</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fidelity bond;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trustees and officers/errors and omissions liability insurance, and any other insurance premiums;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payments;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audit, accounting, consulting and legal costs;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Leverage</w:t>
      </w:r>
    </w:p>
    <w:p>
      <w:pPr>
        <w:spacing w:after="0" w:line="121" w:lineRule="exact"/>
        <w:rPr>
          <w:sz w:val="20"/>
          <w:szCs w:val="20"/>
          <w:color w:val="auto"/>
        </w:rPr>
      </w:pPr>
    </w:p>
    <w:p>
      <w:pPr>
        <w:ind w:right="80" w:firstLine="255"/>
        <w:spacing w:after="0" w:line="256" w:lineRule="auto"/>
        <w:rPr>
          <w:sz w:val="20"/>
          <w:szCs w:val="20"/>
          <w:color w:val="auto"/>
        </w:rPr>
      </w:pPr>
      <w:r>
        <w:rPr>
          <w:rFonts w:ascii="Times New Roman" w:cs="Times New Roman" w:eastAsia="Times New Roman" w:hAnsi="Times New Roman"/>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Trends</w:t>
      </w:r>
    </w:p>
    <w:p>
      <w:pPr>
        <w:spacing w:after="0" w:line="121"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We believe trends in the middle-market lending environment, including the limited availability of capital from traditional regulated financial institutions, strong demand for debt capital and specialized lending requirements, are likely to continue to create favorable opportunities for us to invest at attractive risk-adjusted rates.</w:t>
      </w:r>
    </w:p>
    <w:p>
      <w:pPr>
        <w:spacing w:after="0" w:line="176"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Subsequent to the global financial crisis, the implementation of regulatory changes such as Basel III requirements, Leverage Lending Guidance, and the Volcker Rule, tightened risk appetites and reduced the capacity of traditional lenders to serve middle-market companies. We believe that these dynamics create a significant opportunity for us to directly originate investments. We also believe that the large amount of uninvested capital held by private equity firms will continue to drive deal activity, which may in turn create additional demand for debt capital.</w:t>
      </w:r>
    </w:p>
    <w:p>
      <w:pPr>
        <w:spacing w:after="0" w:line="180" w:lineRule="exact"/>
        <w:rPr>
          <w:sz w:val="20"/>
          <w:szCs w:val="20"/>
          <w:color w:val="auto"/>
        </w:rPr>
      </w:pPr>
    </w:p>
    <w:p>
      <w:pPr>
        <w:jc w:val="both"/>
        <w:ind w:right="180" w:firstLine="255"/>
        <w:spacing w:after="0" w:line="261" w:lineRule="auto"/>
        <w:rPr>
          <w:sz w:val="20"/>
          <w:szCs w:val="20"/>
          <w:color w:val="auto"/>
        </w:rPr>
      </w:pPr>
      <w:r>
        <w:rPr>
          <w:rFonts w:ascii="Times New Roman" w:cs="Times New Roman" w:eastAsia="Times New Roman" w:hAnsi="Times New Roman"/>
          <w:sz w:val="18"/>
          <w:szCs w:val="18"/>
          <w:color w:val="auto"/>
        </w:rPr>
        <w:t>This market dynamic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 As a result, the opportunities for dedicated private lenders such as us has continued to expand.</w:t>
      </w:r>
    </w:p>
    <w:p>
      <w:pPr>
        <w:spacing w:after="0" w:line="180"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Portfolio and Investment Activity</w:t>
      </w:r>
    </w:p>
    <w:p>
      <w:pPr>
        <w:spacing w:after="0" w:line="121" w:lineRule="exact"/>
        <w:rPr>
          <w:sz w:val="20"/>
          <w:szCs w:val="20"/>
          <w:color w:val="auto"/>
        </w:rPr>
      </w:pPr>
    </w:p>
    <w:p>
      <w:pPr>
        <w:jc w:val="both"/>
        <w:ind w:right="280" w:firstLine="255"/>
        <w:spacing w:after="0" w:line="266" w:lineRule="auto"/>
        <w:rPr>
          <w:sz w:val="20"/>
          <w:szCs w:val="20"/>
          <w:color w:val="auto"/>
        </w:rPr>
      </w:pPr>
      <w:r>
        <w:rPr>
          <w:rFonts w:ascii="Times New Roman" w:cs="Times New Roman" w:eastAsia="Times New Roman" w:hAnsi="Times New Roman"/>
          <w:sz w:val="18"/>
          <w:szCs w:val="18"/>
          <w:color w:val="auto"/>
        </w:rPr>
        <w:t>As of December 31, 2023, our portfolio based on fair value consisted of 92.0% first-lien debt investments, 2.6% second-lien debt investments, 3.4% mezzanine investments and 2.0% equity and other investments. As of December 31, 2022, our portfolio based on fair value consisted of 99.0% first-lien debt investments and 1.0% equity and other investments.</w:t>
      </w:r>
    </w:p>
    <w:p>
      <w:pPr>
        <w:spacing w:after="0" w:line="176" w:lineRule="exact"/>
        <w:rPr>
          <w:sz w:val="20"/>
          <w:szCs w:val="20"/>
          <w:color w:val="auto"/>
        </w:rPr>
      </w:pPr>
    </w:p>
    <w:p>
      <w:pPr>
        <w:ind w:right="440" w:firstLine="255"/>
        <w:spacing w:after="0" w:line="266" w:lineRule="auto"/>
        <w:rPr>
          <w:sz w:val="20"/>
          <w:szCs w:val="20"/>
          <w:color w:val="auto"/>
        </w:rPr>
      </w:pPr>
      <w:r>
        <w:rPr>
          <w:rFonts w:ascii="Times New Roman" w:cs="Times New Roman" w:eastAsia="Times New Roman" w:hAnsi="Times New Roman"/>
          <w:sz w:val="18"/>
          <w:szCs w:val="18"/>
          <w:color w:val="auto"/>
        </w:rPr>
        <w:t>As of December 31, 2023 and December 31, 2022, our weighted average total yield of debt and income producing securities at fair value (which includes interest income and amortization of fees and discounts) was 13.4% and 12.4%, respectively, and our weighted average total yield of debt and income-producing securities at amortized cost (which includes interest income and amortization of fees and discounts) was 13.7% and 12.8%.</w:t>
      </w:r>
    </w:p>
    <w:p>
      <w:pPr>
        <w:spacing w:after="0" w:line="176" w:lineRule="exact"/>
        <w:rPr>
          <w:sz w:val="20"/>
          <w:szCs w:val="20"/>
          <w:color w:val="auto"/>
        </w:rPr>
      </w:pPr>
    </w:p>
    <w:p>
      <w:pPr>
        <w:ind w:right="460" w:firstLine="255"/>
        <w:spacing w:after="0" w:line="282" w:lineRule="auto"/>
        <w:rPr>
          <w:sz w:val="20"/>
          <w:szCs w:val="20"/>
          <w:color w:val="auto"/>
        </w:rPr>
      </w:pPr>
      <w:r>
        <w:rPr>
          <w:rFonts w:ascii="Times New Roman" w:cs="Times New Roman" w:eastAsia="Times New Roman" w:hAnsi="Times New Roman"/>
          <w:sz w:val="18"/>
          <w:szCs w:val="18"/>
          <w:color w:val="auto"/>
        </w:rPr>
        <w:t>As of December 31, 2023 and December 31, 2022, we had investments in 37 and 10 portfolio companies, with an aggregate fair value of $3,099.2 million and $808.8 million.</w:t>
      </w:r>
    </w:p>
    <w:p>
      <w:pPr>
        <w:spacing w:after="0" w:line="162" w:lineRule="exact"/>
        <w:rPr>
          <w:sz w:val="20"/>
          <w:szCs w:val="20"/>
          <w:color w:val="auto"/>
        </w:rPr>
      </w:pPr>
    </w:p>
    <w:p>
      <w:pPr>
        <w:ind w:right="360" w:firstLine="255"/>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the principal amount of new investments funded was $2,279.8 million in 27 new portfolio companies and 8 existing portfolio companies. For this period, we had $60.4 million aggregate principal amount in exits and repayments.</w:t>
      </w:r>
    </w:p>
    <w:p>
      <w:pPr>
        <w:spacing w:after="0" w:line="162" w:lineRule="exact"/>
        <w:rPr>
          <w:sz w:val="20"/>
          <w:szCs w:val="20"/>
          <w:color w:val="auto"/>
        </w:rPr>
      </w:pPr>
    </w:p>
    <w:p>
      <w:pPr>
        <w:ind w:right="200" w:firstLine="255"/>
        <w:spacing w:after="0" w:line="282" w:lineRule="auto"/>
        <w:rPr>
          <w:sz w:val="20"/>
          <w:szCs w:val="20"/>
          <w:color w:val="auto"/>
        </w:rPr>
      </w:pPr>
      <w:r>
        <w:rPr>
          <w:rFonts w:ascii="Times New Roman" w:cs="Times New Roman" w:eastAsia="Times New Roman" w:hAnsi="Times New Roman"/>
          <w:sz w:val="18"/>
          <w:szCs w:val="18"/>
          <w:color w:val="auto"/>
        </w:rPr>
        <w:t>For the period from April 5, 2022 (Inception) through December 31, 2022, the principal amount of new investments funded was $839.3 million in 10 new portfolio companies. For this period we had no exits or repayments.</w:t>
      </w:r>
    </w:p>
    <w:p>
      <w:pPr>
        <w:spacing w:after="0" w:line="162" w:lineRule="exact"/>
        <w:rPr>
          <w:sz w:val="20"/>
          <w:szCs w:val="20"/>
          <w:color w:val="auto"/>
        </w:rPr>
      </w:pPr>
    </w:p>
    <w:p>
      <w:pPr>
        <w:ind w:right="620" w:firstLine="255"/>
        <w:spacing w:after="0" w:line="282" w:lineRule="auto"/>
        <w:rPr>
          <w:sz w:val="20"/>
          <w:szCs w:val="20"/>
          <w:color w:val="auto"/>
        </w:rPr>
      </w:pPr>
      <w:r>
        <w:rPr>
          <w:rFonts w:ascii="Times New Roman" w:cs="Times New Roman" w:eastAsia="Times New Roman" w:hAnsi="Times New Roman"/>
          <w:sz w:val="18"/>
          <w:szCs w:val="18"/>
          <w:color w:val="auto"/>
        </w:rPr>
        <w:t>Our investment activity for the year ended December 31, 2023 and for the period from April 5, 2022 (Inception) through December 31, 2022, is presented below (information presented herein is at par value unless otherwise indicated).</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From April 5, 2022</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2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(Inception) through</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60" w:type="dxa"/>
            <w:vAlign w:val="bottom"/>
          </w:tcPr>
          <w:p>
            <w:pPr>
              <w:spacing w:after="0"/>
              <w:rPr>
                <w:sz w:val="16"/>
                <w:szCs w:val="16"/>
                <w:color w:val="auto"/>
              </w:rPr>
            </w:pPr>
          </w:p>
        </w:tc>
        <w:tc>
          <w:tcPr>
            <w:tcW w:w="22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New investment commitments:</w:t>
            </w:r>
          </w:p>
        </w:tc>
        <w:tc>
          <w:tcPr>
            <w:tcW w:w="23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18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Gross originations </w:t>
            </w:r>
            <w:r>
              <w:rPr>
                <w:rFonts w:ascii="Times New Roman" w:cs="Times New Roman" w:eastAsia="Times New Roman" w:hAnsi="Times New Roman"/>
                <w:sz w:val="24"/>
                <w:szCs w:val="24"/>
                <w:color w:val="auto"/>
                <w:vertAlign w:val="superscript"/>
              </w:rPr>
              <w:t>(1)</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5,500.4</w:t>
            </w:r>
          </w:p>
        </w:tc>
        <w:tc>
          <w:tcPr>
            <w:tcW w:w="36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1,704.3</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180" w:type="dxa"/>
            <w:vAlign w:val="bottom"/>
            <w:tcBorders>
              <w:bottom w:val="single" w:sz="8" w:color="CFF0FC"/>
            </w:tcBorders>
            <w:shd w:val="clear" w:color="auto" w:fill="CFF0FC"/>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Less: Syndications/sell downs </w:t>
            </w:r>
            <w:r>
              <w:rPr>
                <w:rFonts w:ascii="Times New Roman" w:cs="Times New Roman" w:eastAsia="Times New Roman" w:hAnsi="Times New Roman"/>
                <w:sz w:val="24"/>
                <w:szCs w:val="24"/>
                <w:color w:val="auto"/>
                <w:vertAlign w:val="superscript"/>
              </w:rPr>
              <w:t>(1)</w:t>
            </w:r>
          </w:p>
        </w:tc>
        <w:tc>
          <w:tcPr>
            <w:tcW w:w="23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2,866.3</w:t>
            </w:r>
          </w:p>
        </w:tc>
        <w:tc>
          <w:tcPr>
            <w:tcW w:w="3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new investment commitments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2,634.1</w:t>
            </w:r>
          </w:p>
        </w:tc>
        <w:tc>
          <w:tcPr>
            <w:tcW w:w="360" w:type="dxa"/>
            <w:vAlign w:val="bottom"/>
          </w:tcPr>
          <w:p>
            <w:pPr>
              <w:spacing w:after="0"/>
              <w:rPr>
                <w:sz w:val="20"/>
                <w:szCs w:val="20"/>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1,704.3</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Principal amount of investments funded:</w:t>
            </w:r>
          </w:p>
        </w:tc>
        <w:tc>
          <w:tcPr>
            <w:tcW w:w="23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First-lien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2,044.5</w:t>
            </w:r>
          </w:p>
        </w:tc>
        <w:tc>
          <w:tcPr>
            <w:tcW w:w="360" w:type="dxa"/>
            <w:vAlign w:val="bottom"/>
          </w:tcPr>
          <w:p>
            <w:pPr>
              <w:spacing w:after="0"/>
              <w:rPr>
                <w:sz w:val="20"/>
                <w:szCs w:val="20"/>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831.5</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Second-lien</w:t>
            </w:r>
          </w:p>
        </w:tc>
        <w:tc>
          <w:tcPr>
            <w:tcW w:w="23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3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Mezzanine</w:t>
            </w:r>
          </w:p>
        </w:tc>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Equity and other</w:t>
            </w:r>
          </w:p>
        </w:tc>
        <w:tc>
          <w:tcPr>
            <w:tcW w:w="23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3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Borders>
              <w:bottom w:val="single" w:sz="8" w:color="CFF0FC"/>
            </w:tcBorders>
            <w:shd w:val="clear" w:color="auto" w:fill="CFF0FC"/>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2,279.8</w:t>
            </w:r>
          </w:p>
        </w:tc>
        <w:tc>
          <w:tcPr>
            <w:tcW w:w="360" w:type="dxa"/>
            <w:vAlign w:val="bottom"/>
          </w:tcPr>
          <w:p>
            <w:pPr>
              <w:spacing w:after="0"/>
              <w:rPr>
                <w:sz w:val="20"/>
                <w:szCs w:val="20"/>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839.3</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Principal amount of investments sold or repaid:</w:t>
            </w:r>
          </w:p>
        </w:tc>
        <w:tc>
          <w:tcPr>
            <w:tcW w:w="23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First-lien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360" w:type="dxa"/>
            <w:vAlign w:val="bottom"/>
          </w:tcPr>
          <w:p>
            <w:pPr>
              <w:spacing w:after="0"/>
              <w:rPr>
                <w:sz w:val="20"/>
                <w:szCs w:val="20"/>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Second-lien</w:t>
            </w:r>
          </w:p>
        </w:tc>
        <w:tc>
          <w:tcPr>
            <w:tcW w:w="23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Mezzanine</w:t>
            </w:r>
          </w:p>
        </w:tc>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Equity and other</w:t>
            </w:r>
          </w:p>
        </w:tc>
        <w:tc>
          <w:tcPr>
            <w:tcW w:w="23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360" w:type="dxa"/>
            <w:vAlign w:val="bottom"/>
          </w:tcPr>
          <w:p>
            <w:pPr>
              <w:spacing w:after="0"/>
              <w:rPr>
                <w:sz w:val="20"/>
                <w:szCs w:val="20"/>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Number of new investment commitments in</w:t>
            </w:r>
          </w:p>
        </w:tc>
        <w:tc>
          <w:tcPr>
            <w:tcW w:w="2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new portfolio companies</w:t>
            </w:r>
          </w:p>
        </w:tc>
        <w:tc>
          <w:tcPr>
            <w:tcW w:w="23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FF0FC"/>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new investment commitment amount in</w:t>
            </w: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new portfolio companies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36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 average term for new investment</w:t>
            </w:r>
          </w:p>
        </w:tc>
        <w:tc>
          <w:tcPr>
            <w:tcW w:w="2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commitments in new portfolio companies</w:t>
            </w:r>
          </w:p>
        </w:tc>
        <w:tc>
          <w:tcPr>
            <w:tcW w:w="2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23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FF0FC"/>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Percentage of new debt investment commitments</w:t>
            </w: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at floating rates</w:t>
            </w:r>
          </w:p>
        </w:tc>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99.9 %</w:t>
            </w:r>
          </w:p>
        </w:tc>
        <w:tc>
          <w:tcPr>
            <w:tcW w:w="420" w:type="dxa"/>
            <w:vAlign w:val="bottom"/>
          </w:tcPr>
          <w:p>
            <w:pPr>
              <w:spacing w:after="0"/>
              <w:rPr>
                <w:sz w:val="20"/>
                <w:szCs w:val="20"/>
                <w:color w:val="auto"/>
              </w:rPr>
            </w:pPr>
          </w:p>
        </w:tc>
        <w:tc>
          <w:tcPr>
            <w:tcW w:w="184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1"/>
        </w:trPr>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interest rate of new</w:t>
            </w: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investment commitments</w:t>
            </w:r>
          </w:p>
        </w:tc>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12.8 %</w:t>
            </w:r>
          </w:p>
        </w:tc>
        <w:tc>
          <w:tcPr>
            <w:tcW w:w="420" w:type="dxa"/>
            <w:vAlign w:val="bottom"/>
          </w:tcPr>
          <w:p>
            <w:pPr>
              <w:spacing w:after="0"/>
              <w:rPr>
                <w:sz w:val="20"/>
                <w:szCs w:val="20"/>
                <w:color w:val="auto"/>
              </w:rPr>
            </w:pPr>
          </w:p>
        </w:tc>
        <w:tc>
          <w:tcPr>
            <w:tcW w:w="184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rPr>
              <w:t>11.8 %</w:t>
            </w:r>
          </w:p>
        </w:tc>
        <w:tc>
          <w:tcPr>
            <w:tcW w:w="0" w:type="dxa"/>
            <w:vAlign w:val="bottom"/>
          </w:tcPr>
          <w:p>
            <w:pPr>
              <w:spacing w:after="0"/>
              <w:rPr>
                <w:sz w:val="1"/>
                <w:szCs w:val="1"/>
                <w:color w:val="auto"/>
              </w:rPr>
            </w:pPr>
          </w:p>
        </w:tc>
      </w:tr>
      <w:tr>
        <w:trPr>
          <w:trHeight w:val="221"/>
        </w:trPr>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spread over reference rate of</w:t>
            </w: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new floating rate investment commitments</w:t>
            </w:r>
          </w:p>
        </w:tc>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7.5 %</w:t>
            </w:r>
          </w:p>
        </w:tc>
        <w:tc>
          <w:tcPr>
            <w:tcW w:w="420" w:type="dxa"/>
            <w:vAlign w:val="bottom"/>
          </w:tcPr>
          <w:p>
            <w:pPr>
              <w:spacing w:after="0"/>
              <w:rPr>
                <w:sz w:val="20"/>
                <w:szCs w:val="20"/>
                <w:color w:val="auto"/>
              </w:rPr>
            </w:pPr>
          </w:p>
        </w:tc>
        <w:tc>
          <w:tcPr>
            <w:tcW w:w="184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338"/>
        </w:trPr>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w:t>
            </w:r>
          </w:p>
        </w:tc>
        <w:tc>
          <w:tcPr>
            <w:tcW w:w="4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Includes affiliates of Sixth Street.</w:t>
            </w: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38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-1490980</wp:posOffset>
            </wp:positionV>
            <wp:extent cx="5983605" cy="291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83605" cy="29146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-4825365</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-4825365</wp:posOffset>
            </wp:positionV>
            <wp:extent cx="514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-3891280</wp:posOffset>
            </wp:positionV>
            <wp:extent cx="603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-3891280</wp:posOffset>
            </wp:positionV>
            <wp:extent cx="514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-2956560</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-2956560</wp:posOffset>
            </wp:positionV>
            <wp:extent cx="514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095" w:gutter="0" w:footer="0" w:header="0"/>
        </w:sectPr>
      </w:pPr>
    </w:p>
    <w:bookmarkStart w:id="66" w:name="page67"/>
    <w:bookmarkEnd w:id="66"/>
    <w:p>
      <w:pPr>
        <w:ind w:left="260"/>
        <w:spacing w:after="0"/>
        <w:rPr>
          <w:sz w:val="20"/>
          <w:szCs w:val="20"/>
          <w:color w:val="auto"/>
        </w:rPr>
      </w:pPr>
      <w:r>
        <w:rPr>
          <w:rFonts w:ascii="Times New Roman" w:cs="Times New Roman" w:eastAsia="Times New Roman" w:hAnsi="Times New Roman"/>
          <w:sz w:val="18"/>
          <w:szCs w:val="18"/>
          <w:color w:val="auto"/>
        </w:rPr>
        <w:t>As of December 31, 2023 and December 31, 2022, our investments consisted of the following:</w:t>
      </w:r>
    </w:p>
    <w:p>
      <w:pPr>
        <w:spacing w:after="0" w:line="124" w:lineRule="exact"/>
        <w:rPr>
          <w:sz w:val="20"/>
          <w:szCs w:val="20"/>
          <w:color w:val="auto"/>
        </w:rPr>
      </w:pPr>
    </w:p>
    <w:tbl>
      <w:tblPr>
        <w:tblLayout w:type="fixed"/>
        <w:tblInd w:w="860" w:type="dxa"/>
        <w:tblCellMar>
          <w:top w:w="0" w:type="dxa"/>
          <w:left w:w="0" w:type="dxa"/>
          <w:bottom w:w="0" w:type="dxa"/>
          <w:right w:w="0" w:type="dxa"/>
        </w:tblCellMar>
      </w:tblPr>
      <w:tr>
        <w:trPr>
          <w:trHeight w:val="187"/>
        </w:trPr>
        <w:tc>
          <w:tcPr>
            <w:tcW w:w="3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00" w:type="dxa"/>
            <w:vAlign w:val="bottom"/>
            <w:gridSpan w:val="4"/>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69"/>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4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0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0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r>
      <w:tr>
        <w:trPr>
          <w:trHeight w:val="237"/>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2,792.9</w:t>
            </w:r>
          </w:p>
        </w:tc>
        <w:tc>
          <w:tcPr>
            <w:tcW w:w="4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2,850.9</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4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100" w:type="dxa"/>
            <w:vAlign w:val="bottom"/>
            <w:shd w:val="clear" w:color="auto" w:fill="CFF0FC"/>
          </w:tcPr>
          <w:p>
            <w:pPr>
              <w:spacing w:after="0"/>
              <w:rPr>
                <w:sz w:val="20"/>
                <w:szCs w:val="20"/>
                <w:color w:val="auto"/>
              </w:rPr>
            </w:pPr>
          </w:p>
        </w:tc>
      </w:tr>
      <w:tr>
        <w:trPr>
          <w:trHeight w:val="23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0"/>
                <w:szCs w:val="20"/>
                <w:color w:val="auto"/>
              </w:rPr>
            </w:pPr>
          </w:p>
        </w:tc>
      </w:tr>
      <w:tr>
        <w:trPr>
          <w:trHeight w:val="258"/>
        </w:trPr>
        <w:tc>
          <w:tcPr>
            <w:tcW w:w="3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3,037.8</w:t>
            </w:r>
          </w:p>
        </w:tc>
        <w:tc>
          <w:tcPr>
            <w:tcW w:w="20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3,099.2</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809.0</w:t>
            </w:r>
          </w:p>
        </w:tc>
        <w:tc>
          <w:tcPr>
            <w:tcW w:w="4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808.8</w:t>
            </w:r>
          </w:p>
        </w:tc>
        <w:tc>
          <w:tcPr>
            <w:tcW w:w="100" w:type="dxa"/>
            <w:vAlign w:val="bottom"/>
            <w:shd w:val="clear" w:color="auto" w:fill="CFF0FC"/>
          </w:tcPr>
          <w:p>
            <w:pPr>
              <w:spacing w:after="0"/>
              <w:rPr>
                <w:sz w:val="22"/>
                <w:szCs w:val="22"/>
                <w:color w:val="auto"/>
              </w:rPr>
            </w:pPr>
          </w:p>
        </w:tc>
      </w:tr>
      <w:tr>
        <w:trPr>
          <w:trHeight w:val="20"/>
        </w:trPr>
        <w:tc>
          <w:tcPr>
            <w:tcW w:w="3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-25400</wp:posOffset>
            </wp:positionV>
            <wp:extent cx="603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-7620</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-25400</wp:posOffset>
            </wp:positionV>
            <wp:extent cx="603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-25400</wp:posOffset>
            </wp:positionV>
            <wp:extent cx="596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596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-25400</wp:posOffset>
            </wp:positionV>
            <wp:extent cx="603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non-accrual investments as of December 31, 2023 and December 31, 2022</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weighted average yields and interest rates of our performing debt investments at fair value as of December 31, 2023 were as follows:</w:t>
      </w:r>
    </w:p>
    <w:p>
      <w:pPr>
        <w:spacing w:after="0" w:line="232" w:lineRule="exact"/>
        <w:rPr>
          <w:sz w:val="20"/>
          <w:szCs w:val="20"/>
          <w:color w:val="auto"/>
        </w:rPr>
      </w:pPr>
    </w:p>
    <w:tbl>
      <w:tblPr>
        <w:tblLayout w:type="fixed"/>
        <w:tblInd w:w="800" w:type="dxa"/>
        <w:tblCellMar>
          <w:top w:w="0" w:type="dxa"/>
          <w:left w:w="0" w:type="dxa"/>
          <w:bottom w:w="0" w:type="dxa"/>
          <w:right w:w="0" w:type="dxa"/>
        </w:tblCellMar>
      </w:tblPr>
      <w:tr>
        <w:trPr>
          <w:trHeight w:val="187"/>
        </w:trPr>
        <w:tc>
          <w:tcPr>
            <w:tcW w:w="5760" w:type="dxa"/>
            <w:vAlign w:val="bottom"/>
          </w:tcPr>
          <w:p>
            <w:pPr>
              <w:spacing w:after="0"/>
              <w:rPr>
                <w:sz w:val="16"/>
                <w:szCs w:val="16"/>
                <w:color w:val="auto"/>
              </w:rPr>
            </w:pPr>
          </w:p>
        </w:tc>
        <w:tc>
          <w:tcPr>
            <w:tcW w:w="20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9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85"/>
        </w:trPr>
        <w:tc>
          <w:tcPr>
            <w:tcW w:w="576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Weighted average total yield of debt and income</w:t>
            </w:r>
          </w:p>
        </w:tc>
        <w:tc>
          <w:tcPr>
            <w:tcW w:w="18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68"/>
        </w:trPr>
        <w:tc>
          <w:tcPr>
            <w:tcW w:w="5760" w:type="dxa"/>
            <w:vAlign w:val="bottom"/>
          </w:tcPr>
          <w:p>
            <w:pPr>
              <w:ind w:left="140"/>
              <w:spacing w:after="0" w:line="267" w:lineRule="exact"/>
              <w:rPr>
                <w:sz w:val="20"/>
                <w:szCs w:val="20"/>
                <w:color w:val="auto"/>
              </w:rPr>
            </w:pPr>
            <w:r>
              <w:rPr>
                <w:rFonts w:ascii="Times New Roman" w:cs="Times New Roman" w:eastAsia="Times New Roman" w:hAnsi="Times New Roman"/>
                <w:sz w:val="18"/>
                <w:szCs w:val="18"/>
                <w:color w:val="auto"/>
              </w:rPr>
              <w:t xml:space="preserve">producing securities </w:t>
            </w:r>
            <w:r>
              <w:rPr>
                <w:rFonts w:ascii="Times New Roman" w:cs="Times New Roman" w:eastAsia="Times New Roman" w:hAnsi="Times New Roman"/>
                <w:sz w:val="24"/>
                <w:szCs w:val="24"/>
                <w:color w:val="auto"/>
                <w:vertAlign w:val="superscript"/>
              </w:rPr>
              <w:t>(1)</w:t>
            </w:r>
          </w:p>
        </w:tc>
        <w:tc>
          <w:tcPr>
            <w:tcW w:w="2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13.4 %</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12.4 %</w:t>
            </w:r>
          </w:p>
        </w:tc>
      </w:tr>
      <w:tr>
        <w:trPr>
          <w:trHeight w:val="211"/>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interest rate of debt and income</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5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producing securities</w:t>
            </w:r>
          </w:p>
        </w:tc>
        <w:tc>
          <w:tcPr>
            <w:tcW w:w="2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13.0 %</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11.8 %</w:t>
            </w:r>
          </w:p>
        </w:tc>
      </w:tr>
      <w:tr>
        <w:trPr>
          <w:trHeight w:val="225"/>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spread over reference rate of all</w:t>
            </w:r>
          </w:p>
        </w:tc>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4"/>
        </w:trPr>
        <w:tc>
          <w:tcPr>
            <w:tcW w:w="5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floating rate investments</w:t>
            </w:r>
          </w:p>
        </w:tc>
        <w:tc>
          <w:tcPr>
            <w:tcW w:w="2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7.3 %</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-864870</wp:posOffset>
            </wp:positionV>
            <wp:extent cx="6129020" cy="2914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129020" cy="29146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-282575</wp:posOffset>
            </wp:positionV>
            <wp:extent cx="6129020" cy="291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129020" cy="291465"/>
                    </a:xfrm>
                    <a:prstGeom prst="rect">
                      <a:avLst/>
                    </a:prstGeom>
                    <a:noFill/>
                  </pic:spPr>
                </pic:pic>
              </a:graphicData>
            </a:graphic>
          </wp:anchor>
        </w:drawing>
      </w:r>
    </w:p>
    <w:p>
      <w:pPr>
        <w:spacing w:after="0" w:line="191" w:lineRule="exact"/>
        <w:rPr>
          <w:sz w:val="20"/>
          <w:szCs w:val="20"/>
          <w:color w:val="auto"/>
        </w:rPr>
      </w:pPr>
    </w:p>
    <w:p>
      <w:pPr>
        <w:ind w:left="520" w:hanging="512"/>
        <w:spacing w:after="0"/>
        <w:tabs>
          <w:tab w:leader="none" w:pos="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total portfolio yield at fair value was 13.2% at December 31, 2023 and at 12.7% at December 31, 2022.</w:t>
      </w:r>
    </w:p>
    <w:p>
      <w:pPr>
        <w:spacing w:after="0" w:line="293" w:lineRule="exact"/>
        <w:rPr>
          <w:sz w:val="20"/>
          <w:szCs w:val="20"/>
          <w:color w:val="auto"/>
        </w:rPr>
      </w:pPr>
    </w:p>
    <w:p>
      <w:pPr>
        <w:jc w:val="both"/>
        <w:ind w:right="100" w:firstLine="255"/>
        <w:spacing w:after="0" w:line="266" w:lineRule="auto"/>
        <w:rPr>
          <w:sz w:val="20"/>
          <w:szCs w:val="20"/>
          <w:color w:val="auto"/>
        </w:rPr>
      </w:pPr>
      <w:r>
        <w:rPr>
          <w:rFonts w:ascii="Times New Roman" w:cs="Times New Roman" w:eastAsia="Times New Roman" w:hAnsi="Times New Roman"/>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68" w:lineRule="exact"/>
        <w:rPr>
          <w:sz w:val="20"/>
          <w:szCs w:val="20"/>
          <w:color w:val="auto"/>
        </w:rPr>
      </w:pPr>
    </w:p>
    <w:p>
      <w:pPr>
        <w:ind w:left="520" w:hanging="257"/>
        <w:spacing w:after="0"/>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success of the portfolio company in adhering to its business plan and compliance with covenants;</w:t>
      </w:r>
    </w:p>
    <w:p>
      <w:pPr>
        <w:spacing w:after="0" w:line="117" w:lineRule="exact"/>
        <w:rPr>
          <w:rFonts w:ascii="Times New Roman" w:cs="Times New Roman" w:eastAsia="Times New Roman" w:hAnsi="Times New Roman"/>
          <w:sz w:val="18"/>
          <w:szCs w:val="18"/>
          <w:color w:val="auto"/>
        </w:rPr>
      </w:pPr>
    </w:p>
    <w:p>
      <w:pPr>
        <w:ind w:left="520" w:right="20" w:hanging="257"/>
        <w:spacing w:after="0" w:line="282"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and regular contact with portfolio company management and, if appropriate, the financial or strategic sponsor, to discuss financial position, requirements and accomplishments;</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comparisons to other companies in the industry;</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attendance at, and participation in, board meetings;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68" w:lineRule="exact"/>
        <w:rPr>
          <w:sz w:val="20"/>
          <w:szCs w:val="20"/>
          <w:color w:val="auto"/>
        </w:rPr>
      </w:pPr>
    </w:p>
    <w:p>
      <w:pPr>
        <w:jc w:val="both"/>
        <w:ind w:left="520" w:right="600" w:hanging="257"/>
        <w:spacing w:after="0" w:line="266"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67" w:lineRule="exact"/>
        <w:rPr>
          <w:rFonts w:ascii="Times New Roman" w:cs="Times New Roman" w:eastAsia="Times New Roman" w:hAnsi="Times New Roman"/>
          <w:sz w:val="18"/>
          <w:szCs w:val="18"/>
          <w:color w:val="auto"/>
        </w:rPr>
      </w:pPr>
    </w:p>
    <w:p>
      <w:pPr>
        <w:ind w:left="520" w:right="80" w:hanging="257"/>
        <w:spacing w:after="0" w:line="266"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67" w:lineRule="exact"/>
        <w:rPr>
          <w:rFonts w:ascii="Times New Roman" w:cs="Times New Roman" w:eastAsia="Times New Roman" w:hAnsi="Times New Roman"/>
          <w:sz w:val="18"/>
          <w:szCs w:val="18"/>
          <w:color w:val="auto"/>
        </w:rPr>
      </w:pPr>
    </w:p>
    <w:p>
      <w:pPr>
        <w:ind w:left="520" w:right="140" w:hanging="257"/>
        <w:spacing w:after="0" w:line="266"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67" w:lineRule="exact"/>
        <w:rPr>
          <w:rFonts w:ascii="Times New Roman" w:cs="Times New Roman" w:eastAsia="Times New Roman" w:hAnsi="Times New Roman"/>
          <w:sz w:val="18"/>
          <w:szCs w:val="18"/>
          <w:color w:val="auto"/>
        </w:rPr>
      </w:pPr>
    </w:p>
    <w:p>
      <w:pPr>
        <w:ind w:left="520" w:right="180" w:hanging="257"/>
        <w:spacing w:after="0" w:line="258"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67" w:name="page68"/>
    <w:bookmarkEnd w:id="67"/>
    <w:p>
      <w:pPr>
        <w:ind w:left="520"/>
        <w:spacing w:after="0"/>
        <w:rPr>
          <w:sz w:val="20"/>
          <w:szCs w:val="20"/>
          <w:color w:val="auto"/>
        </w:rPr>
      </w:pPr>
      <w:r>
        <w:rPr>
          <w:rFonts w:ascii="Times New Roman" w:cs="Times New Roman" w:eastAsia="Times New Roman" w:hAnsi="Times New Roman"/>
          <w:sz w:val="18"/>
          <w:szCs w:val="18"/>
          <w:color w:val="auto"/>
        </w:rPr>
        <w:t>include negotiating for additional collateral, modifying investment terms or structure, or payment of amendment and waiver fees.</w:t>
      </w:r>
    </w:p>
    <w:p>
      <w:pPr>
        <w:spacing w:after="0" w:line="117" w:lineRule="exact"/>
        <w:rPr>
          <w:sz w:val="20"/>
          <w:szCs w:val="20"/>
          <w:color w:val="auto"/>
        </w:rPr>
      </w:pPr>
    </w:p>
    <w:p>
      <w:pPr>
        <w:ind w:left="520" w:right="260" w:hanging="257"/>
        <w:spacing w:after="0" w:line="261" w:lineRule="auto"/>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rating of 5 indicates an investment is in default on its interest and/or principal payments. For these investments, our Adviser reviews the investments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80" w:lineRule="exact"/>
        <w:rPr>
          <w:sz w:val="20"/>
          <w:szCs w:val="20"/>
          <w:color w:val="auto"/>
        </w:rPr>
      </w:pPr>
    </w:p>
    <w:p>
      <w:pPr>
        <w:jc w:val="both"/>
        <w:ind w:right="120" w:firstLine="255"/>
        <w:spacing w:after="0" w:line="266" w:lineRule="auto"/>
        <w:rPr>
          <w:sz w:val="20"/>
          <w:szCs w:val="20"/>
          <w:color w:val="auto"/>
        </w:rPr>
      </w:pPr>
      <w:r>
        <w:rPr>
          <w:rFonts w:ascii="Times New Roman" w:cs="Times New Roman" w:eastAsia="Times New Roman" w:hAnsi="Times New Roman"/>
          <w:sz w:val="18"/>
          <w:szCs w:val="18"/>
          <w:color w:val="auto"/>
        </w:rPr>
        <w:t>The following table shows the distribution of our investments on the 1 to 5 investment performance rating scale at fair value as of December 31, 2023 and December 31, 2022. Investment performance ratings are accurate only as of those dates and may change due to subsequent developments relating to a portfolio company’s business or financial condition, market conditions or developments, and other factors.</w:t>
      </w:r>
    </w:p>
    <w:p>
      <w:pPr>
        <w:spacing w:after="0" w:line="39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8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5"/>
        </w:trPr>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320" w:type="dxa"/>
            <w:vAlign w:val="bottom"/>
          </w:tcPr>
          <w:p>
            <w:pPr>
              <w:spacing w:after="0"/>
              <w:rPr>
                <w:sz w:val="16"/>
                <w:szCs w:val="16"/>
                <w:color w:val="auto"/>
              </w:rPr>
            </w:pPr>
          </w:p>
        </w:tc>
        <w:tc>
          <w:tcPr>
            <w:tcW w:w="2300" w:type="dxa"/>
            <w:vAlign w:val="bottom"/>
            <w:gridSpan w:val="3"/>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Investments at</w:t>
            </w:r>
          </w:p>
        </w:tc>
        <w:tc>
          <w:tcPr>
            <w:tcW w:w="1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60" w:type="dxa"/>
            <w:vAlign w:val="bottom"/>
            <w:gridSpan w:val="3"/>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Investments at</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75"/>
        </w:trPr>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320" w:type="dxa"/>
            <w:vAlign w:val="bottom"/>
          </w:tcPr>
          <w:p>
            <w:pPr>
              <w:spacing w:after="0"/>
              <w:rPr>
                <w:sz w:val="15"/>
                <w:szCs w:val="15"/>
                <w:color w:val="auto"/>
              </w:rPr>
            </w:pPr>
          </w:p>
        </w:tc>
        <w:tc>
          <w:tcPr>
            <w:tcW w:w="2300" w:type="dxa"/>
            <w:vAlign w:val="bottom"/>
            <w:gridSpan w:val="3"/>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2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300" w:type="dxa"/>
            <w:vAlign w:val="bottom"/>
          </w:tcPr>
          <w:p>
            <w:pPr>
              <w:spacing w:after="0"/>
              <w:rPr>
                <w:sz w:val="15"/>
                <w:szCs w:val="15"/>
                <w:color w:val="auto"/>
              </w:rPr>
            </w:pPr>
          </w:p>
        </w:tc>
        <w:tc>
          <w:tcPr>
            <w:tcW w:w="2360" w:type="dxa"/>
            <w:vAlign w:val="bottom"/>
            <w:gridSpan w:val="3"/>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Percentage of</w:t>
            </w:r>
          </w:p>
        </w:tc>
      </w:tr>
      <w:tr>
        <w:trPr>
          <w:trHeight w:val="187"/>
        </w:trPr>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Rating</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2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3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160" w:type="dxa"/>
            <w:vAlign w:val="bottom"/>
            <w:gridSpan w:val="2"/>
          </w:tcPr>
          <w:p>
            <w:pPr>
              <w:spacing w:after="0"/>
              <w:rPr>
                <w:sz w:val="16"/>
                <w:szCs w:val="16"/>
                <w:color w:val="auto"/>
              </w:rPr>
            </w:pPr>
          </w:p>
        </w:tc>
      </w:tr>
      <w:tr>
        <w:trPr>
          <w:trHeight w:val="228"/>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2,875.8</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92.8 %</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710.8</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87.9 %</w:t>
            </w:r>
          </w:p>
        </w:tc>
      </w:tr>
      <w:tr>
        <w:trPr>
          <w:trHeight w:val="238"/>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7"/>
        </w:trPr>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6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360" w:type="dxa"/>
            <w:vAlign w:val="bottom"/>
            <w:gridSpan w:val="3"/>
            <w:shd w:val="clear" w:color="auto" w:fill="CFF0FC"/>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r>
      <w:tr>
        <w:trPr>
          <w:trHeight w:val="234"/>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0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36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47"/>
        </w:trPr>
        <w:tc>
          <w:tcPr>
            <w:tcW w:w="12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1"/>
        </w:trPr>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Total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3,099.2</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100.0 %</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808.8</w:t>
            </w: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-959485</wp:posOffset>
            </wp:positionV>
            <wp:extent cx="6412230" cy="154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-187960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-187960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-187960</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Operating results for the year ended December 31, 2023 and for the period from April 5, 2022 (Inception) through December 31, 2022, were as follows: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From April 5, 2022</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(Inception) through</w:t>
            </w:r>
          </w:p>
        </w:tc>
        <w:tc>
          <w:tcPr>
            <w:tcW w:w="0" w:type="dxa"/>
            <w:vAlign w:val="bottom"/>
          </w:tcPr>
          <w:p>
            <w:pPr>
              <w:spacing w:after="0"/>
              <w:rPr>
                <w:sz w:val="1"/>
                <w:szCs w:val="1"/>
                <w:color w:val="auto"/>
              </w:rPr>
            </w:pPr>
          </w:p>
        </w:tc>
      </w:tr>
      <w:tr>
        <w:trPr>
          <w:trHeight w:val="187"/>
        </w:trPr>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20" w:type="dxa"/>
            <w:vAlign w:val="bottom"/>
          </w:tcPr>
          <w:p>
            <w:pPr>
              <w:spacing w:after="0"/>
              <w:rPr>
                <w:sz w:val="16"/>
                <w:szCs w:val="16"/>
                <w:color w:val="auto"/>
              </w:rPr>
            </w:pPr>
          </w:p>
        </w:tc>
        <w:tc>
          <w:tcPr>
            <w:tcW w:w="16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Less: Net expenses</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investment income before income taxes</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Income taxes, including excise taxes</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2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Net realized gains (losses) </w:t>
            </w:r>
            <w:r>
              <w:rPr>
                <w:rFonts w:ascii="Times New Roman" w:cs="Times New Roman" w:eastAsia="Times New Roman" w:hAnsi="Times New Roman"/>
                <w:sz w:val="24"/>
                <w:szCs w:val="24"/>
                <w:color w:val="auto"/>
                <w:vertAlign w:val="superscript"/>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2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 xml:space="preserve">Net change in unrealized gains (losses) </w:t>
            </w:r>
            <w:r>
              <w:rPr>
                <w:rFonts w:ascii="Times New Roman" w:cs="Times New Roman" w:eastAsia="Times New Roman" w:hAnsi="Times New Roman"/>
                <w:sz w:val="24"/>
                <w:szCs w:val="24"/>
                <w:color w:val="auto"/>
                <w:vertAlign w:val="superscript"/>
              </w:rPr>
              <w:t>(1)</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32"/>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2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Net increase (decrease) in net assets resulting from operations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w:t>
            </w:r>
          </w:p>
        </w:tc>
        <w:tc>
          <w:tcPr>
            <w:tcW w:w="6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Includes foreign exchange hedging activity.</w:t>
            </w: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360" w:type="dxa"/>
            <w:vAlign w:val="bottom"/>
            <w:vMerge w:val="continue"/>
          </w:tcPr>
          <w:p>
            <w:pPr>
              <w:spacing w:after="0"/>
              <w:rPr>
                <w:sz w:val="24"/>
                <w:szCs w:val="24"/>
                <w:color w:val="auto"/>
              </w:rPr>
            </w:pPr>
          </w:p>
        </w:tc>
        <w:tc>
          <w:tcPr>
            <w:tcW w:w="68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24"/>
                <w:szCs w:val="24"/>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From April 5, 2022</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(Inception) through</w:t>
            </w:r>
          </w:p>
        </w:tc>
        <w:tc>
          <w:tcPr>
            <w:tcW w:w="0" w:type="dxa"/>
            <w:vAlign w:val="bottom"/>
          </w:tcPr>
          <w:p>
            <w:pPr>
              <w:spacing w:after="0"/>
              <w:rPr>
                <w:sz w:val="1"/>
                <w:szCs w:val="1"/>
                <w:color w:val="auto"/>
              </w:rPr>
            </w:pPr>
          </w:p>
        </w:tc>
      </w:tr>
      <w:tr>
        <w:trPr>
          <w:trHeight w:val="187"/>
        </w:trPr>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from investments</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Paid-in-kind interest income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-1919605</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-1919605</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-187960</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80" w:firstLine="239"/>
        <w:spacing w:after="0" w:line="258" w:lineRule="auto"/>
        <w:rPr>
          <w:sz w:val="20"/>
          <w:szCs w:val="20"/>
          <w:color w:val="auto"/>
        </w:rPr>
      </w:pPr>
      <w:r>
        <w:rPr>
          <w:rFonts w:ascii="Times New Roman" w:cs="Times New Roman" w:eastAsia="Times New Roman" w:hAnsi="Times New Roman"/>
          <w:sz w:val="18"/>
          <w:szCs w:val="18"/>
          <w:color w:val="auto"/>
        </w:rPr>
        <w:t>Interest from investments, which includes amortization of upfront fees and prepayment fees, increased from $17.1 million for the period from April 5, 2022 (Inception) through December 31, 2022 to $222.3 million for the year ended December 31, 2023. The increase in interest from investments was primarily the result of growth in our investment portfolio. There was no paid-in-kind interest income for the period from April 5, 2022 (Inception) through December 31, 2022 and for the year ended December 31, 2023 paid-in-kind interest was $14.4 million. Other income increased from $0.1 million for the period from April 5, 2022 (Inception) through</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8" w:name="page69"/>
    <w:bookmarkEnd w:id="68"/>
    <w:p>
      <w:pPr>
        <w:ind w:right="40"/>
        <w:spacing w:after="0" w:line="282" w:lineRule="auto"/>
        <w:rPr>
          <w:sz w:val="20"/>
          <w:szCs w:val="20"/>
          <w:color w:val="auto"/>
        </w:rPr>
      </w:pPr>
      <w:r>
        <w:rPr>
          <w:rFonts w:ascii="Times New Roman" w:cs="Times New Roman" w:eastAsia="Times New Roman" w:hAnsi="Times New Roman"/>
          <w:sz w:val="18"/>
          <w:szCs w:val="18"/>
          <w:color w:val="auto"/>
        </w:rPr>
        <w:t>December 31, 2022 to $9.4 million for the year end December 31, 2023. Additionally, we commenced operations and began investing activities August 31, 2022. As a result, year to date comparisons may not be meaningful.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right="460" w:firstLine="255"/>
        <w:spacing w:after="0" w:line="282" w:lineRule="auto"/>
        <w:rPr>
          <w:sz w:val="20"/>
          <w:szCs w:val="20"/>
          <w:color w:val="auto"/>
        </w:rPr>
      </w:pPr>
      <w:r>
        <w:rPr>
          <w:rFonts w:ascii="Times New Roman" w:cs="Times New Roman" w:eastAsia="Times New Roman" w:hAnsi="Times New Roman"/>
          <w:sz w:val="18"/>
          <w:szCs w:val="18"/>
          <w:color w:val="auto"/>
        </w:rPr>
        <w:t>Operating expenses for the year ended December 31, 2023 and for the period from April 5, 2022 (Inception) through December 31, 2022, were as follows:</w:t>
      </w:r>
    </w:p>
    <w:p>
      <w:pPr>
        <w:spacing w:after="0" w:line="264"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Pr>
          <w:p>
            <w:pPr>
              <w:spacing w:after="0"/>
              <w:rPr>
                <w:sz w:val="13"/>
                <w:szCs w:val="13"/>
                <w:color w:val="auto"/>
              </w:rPr>
            </w:pPr>
          </w:p>
        </w:tc>
        <w:tc>
          <w:tcPr>
            <w:tcW w:w="14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From April 5, 2022</w:t>
            </w:r>
          </w:p>
        </w:tc>
        <w:tc>
          <w:tcPr>
            <w:tcW w:w="0" w:type="dxa"/>
            <w:vAlign w:val="bottom"/>
          </w:tcPr>
          <w:p>
            <w:pPr>
              <w:spacing w:after="0"/>
              <w:rPr>
                <w:sz w:val="1"/>
                <w:szCs w:val="1"/>
                <w:color w:val="auto"/>
              </w:rPr>
            </w:pPr>
          </w:p>
        </w:tc>
      </w:tr>
      <w:tr>
        <w:trPr>
          <w:trHeight w:val="175"/>
        </w:trPr>
        <w:tc>
          <w:tcPr>
            <w:tcW w:w="6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(Inception) through</w:t>
            </w:r>
          </w:p>
        </w:tc>
        <w:tc>
          <w:tcPr>
            <w:tcW w:w="0" w:type="dxa"/>
            <w:vAlign w:val="bottom"/>
          </w:tcPr>
          <w:p>
            <w:pPr>
              <w:spacing w:after="0"/>
              <w:rPr>
                <w:sz w:val="1"/>
                <w:szCs w:val="1"/>
                <w:color w:val="auto"/>
              </w:rPr>
            </w:pPr>
          </w:p>
        </w:tc>
      </w:tr>
      <w:tr>
        <w:trPr>
          <w:trHeight w:val="187"/>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 (net of waivers)</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Incentive fees related to pre-incentive net investment income</w:t>
            </w: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Incentive fees related to realized/unrealized capital gains</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Organizational and offering expense</w:t>
            </w: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Trustees fees</w:t>
            </w: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6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Expenses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2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-25400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-25400</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-7620</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Interest</w:t>
      </w:r>
    </w:p>
    <w:p>
      <w:pPr>
        <w:spacing w:after="0" w:line="227" w:lineRule="exact"/>
        <w:rPr>
          <w:sz w:val="20"/>
          <w:szCs w:val="20"/>
          <w:color w:val="auto"/>
        </w:rPr>
      </w:pPr>
    </w:p>
    <w:p>
      <w:pPr>
        <w:ind w:firstLine="239"/>
        <w:spacing w:after="0" w:line="256" w:lineRule="auto"/>
        <w:rPr>
          <w:sz w:val="20"/>
          <w:szCs w:val="20"/>
          <w:color w:val="auto"/>
        </w:rPr>
      </w:pPr>
      <w:r>
        <w:rPr>
          <w:rFonts w:ascii="Times New Roman" w:cs="Times New Roman" w:eastAsia="Times New Roman" w:hAnsi="Times New Roman"/>
          <w:sz w:val="18"/>
          <w:szCs w:val="18"/>
          <w:color w:val="auto"/>
        </w:rPr>
        <w:t>Interest expense, including other debt financing costs, increased from $5.2 million for the period from April 5, 2022 (Inception) through December 31, 2022 to $72.4 million for the year ended December 31, 2023. This increase was primarily due to an increase in average debt outstanding from $219.4 million for the period from April 5, 2022 (Inception) through December 31, 2022 to $876.9 million for the year ended December 31, 2023. The average interest rate on our debt outstanding increased from 6.3% for the year ended December 31, 2022 to 7.3% for the year ended December 31, 2023 due to a change in the mix of our debt financing sources and a change in SOFR rates. Additionally, we commenced operations and began investing activities August 31, 2022. As a result, year to date comparisons may not be meaningful.</w:t>
      </w:r>
    </w:p>
    <w:p>
      <w:pPr>
        <w:spacing w:after="0" w:line="1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Management Fees</w:t>
      </w:r>
    </w:p>
    <w:p>
      <w:pPr>
        <w:spacing w:after="0" w:line="227" w:lineRule="exact"/>
        <w:rPr>
          <w:sz w:val="20"/>
          <w:szCs w:val="20"/>
          <w:color w:val="auto"/>
        </w:rPr>
      </w:pPr>
    </w:p>
    <w:p>
      <w:pPr>
        <w:ind w:right="60" w:firstLine="239"/>
        <w:spacing w:after="0" w:line="256" w:lineRule="auto"/>
        <w:rPr>
          <w:sz w:val="20"/>
          <w:szCs w:val="20"/>
          <w:color w:val="auto"/>
        </w:rPr>
      </w:pPr>
      <w:r>
        <w:rPr>
          <w:rFonts w:ascii="Times New Roman" w:cs="Times New Roman" w:eastAsia="Times New Roman" w:hAnsi="Times New Roman"/>
          <w:sz w:val="18"/>
          <w:szCs w:val="18"/>
          <w:color w:val="auto"/>
        </w:rPr>
        <w:t>Management Fees (gross of waivers) increased from $2.7 million for the period from April 5, 2022 (Inception) through December 31, 2022 to $25.2 million for the year ended December 31, 2023 due to an increase in average assets for the year ended December 31, 2023 compared to the period ended in 2022. Management Fees (net of waivers) increased from $0.7 million for the period from April 5, 2022 (Inception) through December 31, 2022 to $8.5 million for the year ended December 31, 2023. The Adviser waived Management Fees of $16.7 million for the year ended December 31, 2023. The Adviser waived Management Fees of $2.0 million for the period from April 5, 2022 (Inception) through December 31, 2022. Additionally, we commenced operations and began investing activities August 31, 2022. As a result, year to date comparisons may not be meaningful.</w:t>
      </w:r>
    </w:p>
    <w:p>
      <w:pPr>
        <w:spacing w:after="0" w:line="1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Incentive Fees</w:t>
      </w:r>
    </w:p>
    <w:p>
      <w:pPr>
        <w:spacing w:after="0" w:line="227" w:lineRule="exact"/>
        <w:rPr>
          <w:sz w:val="20"/>
          <w:szCs w:val="20"/>
          <w:color w:val="auto"/>
        </w:rPr>
      </w:pPr>
    </w:p>
    <w:p>
      <w:pPr>
        <w:ind w:right="40" w:firstLine="239"/>
        <w:spacing w:after="0" w:line="258" w:lineRule="auto"/>
        <w:rPr>
          <w:sz w:val="20"/>
          <w:szCs w:val="20"/>
          <w:color w:val="auto"/>
        </w:rPr>
      </w:pPr>
      <w:r>
        <w:rPr>
          <w:rFonts w:ascii="Times New Roman" w:cs="Times New Roman" w:eastAsia="Times New Roman" w:hAnsi="Times New Roman"/>
          <w:sz w:val="18"/>
          <w:szCs w:val="18"/>
          <w:color w:val="auto"/>
        </w:rPr>
        <w:t>Incentive Fees related to pre-incentive net investment income increased from $1.0 million for the period from April 5, 2022 (Inception) through December 31, 2022 to $19.3 million for the year ended December 31, 2023. For the period from April 5, 2022 (Inception) through December 31, 2022, there were no accruals related to Capital Gains Fees. For the year ended December 31, 2023, $6.7 million of Incentive Fees were accrued related to Capital Gains Fees. As of December 31, 2023, these accrued Incentive Fees are not contractually payable to the Adviser. Additionally, we commenced operations and began investing activities August 31, 2022. As a result, year to date comparisons may not be meaningful.</w:t>
      </w:r>
    </w:p>
    <w:p>
      <w:pPr>
        <w:spacing w:after="0" w:line="1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Organizational and Offering Expense</w:t>
      </w:r>
    </w:p>
    <w:p>
      <w:pPr>
        <w:spacing w:after="0" w:line="227" w:lineRule="exact"/>
        <w:rPr>
          <w:sz w:val="20"/>
          <w:szCs w:val="20"/>
          <w:color w:val="auto"/>
        </w:rPr>
      </w:pPr>
    </w:p>
    <w:p>
      <w:pPr>
        <w:ind w:right="100" w:firstLine="239"/>
        <w:spacing w:after="0" w:line="261" w:lineRule="auto"/>
        <w:rPr>
          <w:sz w:val="20"/>
          <w:szCs w:val="20"/>
          <w:color w:val="auto"/>
        </w:rPr>
      </w:pPr>
      <w:r>
        <w:rPr>
          <w:rFonts w:ascii="Times New Roman" w:cs="Times New Roman" w:eastAsia="Times New Roman" w:hAnsi="Times New Roman"/>
          <w:sz w:val="18"/>
          <w:szCs w:val="18"/>
          <w:color w:val="auto"/>
        </w:rPr>
        <w:t>Organizational and offering expenses decreased from $2.2 million for the period from April 5, 2022 (Inception) through December 31, 2022 to $1.1 million for the year ended December 31, 2023. We will not bear more than an amount equal to 0.10% of the aggregate capital commitments for organizational and offering expenses in connection with the offering of our Common Shares. Additionally, we commenced operations and began investing activities August 31, 2022. As a result, year to date comparisons may not be meaningful.</w:t>
      </w:r>
    </w:p>
    <w:p>
      <w:pPr>
        <w:spacing w:after="0" w:line="1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Professional Fees and Other General and Administrative Expenses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9" w:name="page70"/>
    <w:bookmarkEnd w:id="69"/>
    <w:p>
      <w:pPr>
        <w:ind w:right="180" w:firstLine="239"/>
        <w:spacing w:after="0" w:line="258" w:lineRule="auto"/>
        <w:rPr>
          <w:sz w:val="20"/>
          <w:szCs w:val="20"/>
          <w:color w:val="auto"/>
        </w:rPr>
      </w:pPr>
      <w:r>
        <w:rPr>
          <w:rFonts w:ascii="Times New Roman" w:cs="Times New Roman" w:eastAsia="Times New Roman" w:hAnsi="Times New Roman"/>
          <w:sz w:val="18"/>
          <w:szCs w:val="18"/>
          <w:color w:val="auto"/>
        </w:rPr>
        <w:t>Professional fees increased from $1.0 million for the period from April 5, 2022 (Inception) through December 31, 2022 to $3.2 million for the year ended December 31, 2023. Trustee Fees increased from $0.3 million for the period from April 5, 2022 (Inception) through December 31, 2022 to $0.7 million for the year ended December 31, 2023. Other general and administrative expenses increased from $0.9 million for the period from April 5, 2022 (Inception) through December 31, 2022 to $4.4 million for the year ended December 31, 2023. Additionally, we commenced operations and began investing activities August 31, 2022. As a result, year to date comparisons may not be meaningful.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 Including Excise Taxes</w:t>
      </w:r>
    </w:p>
    <w:p>
      <w:pPr>
        <w:spacing w:after="0" w:line="121"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We elected to be treated as a RIC under Subchapter M of the Code, and we operate in a manner so as to continue net realized to qualify for the tax treatment applicable to RICs. To qualify as a RIC, we must, among other things, distribute to our shareholders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shareholders, which generally relieve us from corporate-level U.S. federal income taxes.</w:t>
      </w:r>
    </w:p>
    <w:p>
      <w:pPr>
        <w:spacing w:after="0" w:line="183"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80" w:lineRule="exact"/>
        <w:rPr>
          <w:sz w:val="20"/>
          <w:szCs w:val="20"/>
          <w:color w:val="auto"/>
        </w:rPr>
      </w:pPr>
    </w:p>
    <w:p>
      <w:pPr>
        <w:ind w:right="260" w:firstLine="255"/>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and for the period from April 5, 2022 (Inception) through December 31, 2022, we recorded a net expense of $1.5 million and $0.2 million, for U.S. federal excise tax and other taxes.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Realized and Unrealized Gains and Losses</w:t>
      </w:r>
    </w:p>
    <w:p>
      <w:pPr>
        <w:spacing w:after="0" w:line="121" w:lineRule="exact"/>
        <w:rPr>
          <w:sz w:val="20"/>
          <w:szCs w:val="20"/>
          <w:color w:val="auto"/>
        </w:rPr>
      </w:pPr>
    </w:p>
    <w:p>
      <w:pPr>
        <w:ind w:right="340"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net realized and unrealized gains (losses) for the period from April 5, 2022 (Inception) through December 31, 2023: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From April 5, 2022</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(Inception) through</w:t>
            </w:r>
          </w:p>
        </w:tc>
        <w:tc>
          <w:tcPr>
            <w:tcW w:w="0" w:type="dxa"/>
            <w:vAlign w:val="bottom"/>
          </w:tcPr>
          <w:p>
            <w:pPr>
              <w:spacing w:after="0"/>
              <w:rPr>
                <w:sz w:val="1"/>
                <w:szCs w:val="1"/>
                <w:color w:val="auto"/>
              </w:rPr>
            </w:pPr>
          </w:p>
        </w:tc>
      </w:tr>
      <w:tr>
        <w:trPr>
          <w:trHeight w:val="187"/>
        </w:trPr>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gains (losses) on foreign currency transactions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70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Net realized gains (losses) on foreign currency borrowings </w:t>
            </w:r>
            <w:r>
              <w:rPr>
                <w:rFonts w:ascii="Times New Roman" w:cs="Times New Roman" w:eastAsia="Times New Roman" w:hAnsi="Times New Roman"/>
                <w:sz w:val="24"/>
                <w:szCs w:val="24"/>
                <w:color w:val="auto"/>
                <w:vertAlign w:val="superscript"/>
              </w:rPr>
              <w:t>(1)</w:t>
            </w: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Realized Gains (Losses)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26"/>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70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unrealized gains on investments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Change in unrealized (losses) on investments</w:t>
            </w:r>
          </w:p>
        </w:tc>
        <w:tc>
          <w:tcPr>
            <w:tcW w:w="120" w:type="dxa"/>
            <w:vAlign w:val="bottom"/>
          </w:tcPr>
          <w:p>
            <w:pPr>
              <w:spacing w:after="0"/>
              <w:rPr>
                <w:sz w:val="20"/>
                <w:szCs w:val="20"/>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(3.7 )</w:t>
            </w:r>
          </w:p>
        </w:tc>
        <w:tc>
          <w:tcPr>
            <w:tcW w:w="140" w:type="dxa"/>
            <w:vAlign w:val="bottom"/>
          </w:tcPr>
          <w:p>
            <w:pPr>
              <w:spacing w:after="0"/>
              <w:rPr>
                <w:sz w:val="20"/>
                <w:szCs w:val="20"/>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05"/>
        </w:trPr>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0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Net Change in Unrealized Gains (Losses) on</w:t>
            </w:r>
          </w:p>
        </w:tc>
        <w:tc>
          <w:tcPr>
            <w:tcW w:w="12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gains (losses) on foreign currency borrowings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(4.8 )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70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Unrealized gains (losses) on foreign currency cash </w:t>
            </w:r>
            <w:r>
              <w:rPr>
                <w:rFonts w:ascii="Times New Roman" w:cs="Times New Roman" w:eastAsia="Times New Roman" w:hAnsi="Times New Roman"/>
                <w:sz w:val="24"/>
                <w:szCs w:val="24"/>
                <w:color w:val="auto"/>
                <w:vertAlign w:val="superscript"/>
              </w:rPr>
              <w:t>(1)</w:t>
            </w: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00" w:type="dxa"/>
            <w:vAlign w:val="bottom"/>
            <w:shd w:val="clear" w:color="auto" w:fill="CFF0FC"/>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Net Change in Unrealized Gains (Losses) on Foreign</w:t>
            </w: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Currency Transactions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(4.8 )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7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Change in Unrealized Gains (Losses)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40" w:type="dxa"/>
            <w:vAlign w:val="bottom"/>
            <w:shd w:val="clear" w:color="auto" w:fill="CFF0FC"/>
          </w:tcPr>
          <w:p>
            <w:pPr>
              <w:spacing w:after="0"/>
              <w:rPr>
                <w:sz w:val="23"/>
                <w:szCs w:val="2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0"/>
        </w:trPr>
        <w:tc>
          <w:tcPr>
            <w:tcW w:w="360" w:type="dxa"/>
            <w:vAlign w:val="bottom"/>
          </w:tcPr>
          <w:p>
            <w:pPr>
              <w:jc w:val="right"/>
              <w:ind w:right="50"/>
              <w:spacing w:after="0" w:line="201" w:lineRule="exact"/>
              <w:rPr>
                <w:sz w:val="20"/>
                <w:szCs w:val="20"/>
                <w:color w:val="auto"/>
              </w:rPr>
            </w:pPr>
            <w:r>
              <w:rPr>
                <w:rFonts w:ascii="Times New Roman" w:cs="Times New Roman" w:eastAsia="Times New Roman" w:hAnsi="Times New Roman"/>
                <w:sz w:val="18"/>
                <w:szCs w:val="18"/>
                <w:color w:val="auto"/>
                <w:w w:val="95"/>
              </w:rPr>
              <w:t>(1)</w:t>
            </w:r>
          </w:p>
        </w:tc>
        <w:tc>
          <w:tcPr>
            <w:tcW w:w="220" w:type="dxa"/>
            <w:vAlign w:val="bottom"/>
          </w:tcPr>
          <w:p>
            <w:pPr>
              <w:spacing w:after="0"/>
              <w:rPr>
                <w:sz w:val="19"/>
                <w:szCs w:val="19"/>
                <w:color w:val="auto"/>
              </w:rPr>
            </w:pPr>
          </w:p>
        </w:tc>
        <w:tc>
          <w:tcPr>
            <w:tcW w:w="6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Amounts round to less than $0.1 million</w:t>
            </w: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-2042795</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-2025650</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-2042795</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-2025650</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-173990</wp:posOffset>
            </wp:positionV>
            <wp:extent cx="6032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-156845</wp:posOffset>
            </wp:positionV>
            <wp:extent cx="603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-173990</wp:posOffset>
            </wp:positionV>
            <wp:extent cx="603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-156845</wp:posOffset>
            </wp:positionV>
            <wp:extent cx="603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59" w:lineRule="exact"/>
        <w:rPr>
          <w:sz w:val="20"/>
          <w:szCs w:val="20"/>
          <w:color w:val="auto"/>
        </w:rPr>
      </w:pPr>
    </w:p>
    <w:p>
      <w:pPr>
        <w:ind w:right="280" w:firstLine="30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we had $4.8 in unrealized losses on foreign currency borrowings primarily as a result of translating foreign currency related to our non-USD denominated investments.</w:t>
      </w:r>
    </w:p>
    <w:p>
      <w:pPr>
        <w:spacing w:after="0" w:line="162"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we had $65.3 million in unrealized gains on 35 portfolio company investments, which was offset by $3.7 million in unrealized losses on 2 portfolio company investments. Unrealized gains were driven by an increase in fair value, primarily due to tightening credit spreads. For the year ended December 31, 2023 unrealized gains on foreign currency borrowings were driven by fluctuations in the GBP and EUR exchange rates.</w:t>
      </w:r>
    </w:p>
    <w:p>
      <w:pPr>
        <w:spacing w:after="0" w:line="180" w:lineRule="exact"/>
        <w:rPr>
          <w:sz w:val="20"/>
          <w:szCs w:val="20"/>
          <w:color w:val="auto"/>
        </w:rPr>
      </w:pPr>
    </w:p>
    <w:p>
      <w:pPr>
        <w:ind w:right="120" w:firstLine="255"/>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we had net realized losses on foreign currency transactions of $1.1 million. The net realized losses on foreign currency transactions were a result of fluctuations in foreign currency exchange rates.</w:t>
      </w:r>
    </w:p>
    <w:p>
      <w:pPr>
        <w:spacing w:after="0" w:line="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01" w:right="439" w:bottom="1440" w:gutter="0" w:footer="0" w:header="0"/>
        </w:sectPr>
      </w:pPr>
    </w:p>
    <w:bookmarkStart w:id="70" w:name="page71"/>
    <w:bookmarkEnd w:id="70"/>
    <w:p>
      <w:pPr>
        <w:ind w:right="20" w:firstLine="255"/>
        <w:spacing w:after="0" w:line="282" w:lineRule="auto"/>
        <w:rPr>
          <w:sz w:val="20"/>
          <w:szCs w:val="20"/>
          <w:color w:val="auto"/>
        </w:rPr>
      </w:pPr>
      <w:r>
        <w:rPr>
          <w:rFonts w:ascii="Times New Roman" w:cs="Times New Roman" w:eastAsia="Times New Roman" w:hAnsi="Times New Roman"/>
          <w:sz w:val="18"/>
          <w:szCs w:val="18"/>
          <w:color w:val="auto"/>
        </w:rPr>
        <w:t>For the period ended December 31, 2022, we had net realized losses on foreign currency transactions of $0.1 million. The net realized losses on foreign currency borrowings were a result of payments on our revolving credit facility.</w:t>
      </w:r>
    </w:p>
    <w:p>
      <w:pPr>
        <w:spacing w:after="0" w:line="162"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For the period ended December 31, 2022 we had $2.7 million in unrealized gains on seven portfolio company investments, which was offset by $2.9 million in unrealized losses on three portfolio company investments. Unrealized losses for the period ended December 31, 2022 resulted from a decrease in fair value, primarily due to changes in credit spreads.</w:t>
      </w:r>
    </w:p>
    <w:p>
      <w:pPr>
        <w:spacing w:after="0" w:line="176"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For the period ended December 31, 2022 we had unrealized losses on foreign currency borrowings of $1.5 million, primarily as a result of fluctuations in the GBP and EUR exchange rates.</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 the period ended December 31, 2023 and 2022 we had no deferred tax asset or liability for unrealized gains or losses.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and Foreign Currency Hedging</w:t>
      </w:r>
    </w:p>
    <w:p>
      <w:pPr>
        <w:spacing w:after="0" w:line="121" w:lineRule="exact"/>
        <w:rPr>
          <w:sz w:val="20"/>
          <w:szCs w:val="20"/>
          <w:color w:val="auto"/>
        </w:rPr>
      </w:pPr>
    </w:p>
    <w:p>
      <w:pPr>
        <w:ind w:right="80" w:firstLine="255"/>
        <w:spacing w:after="0" w:line="254" w:lineRule="auto"/>
        <w:rPr>
          <w:sz w:val="20"/>
          <w:szCs w:val="20"/>
          <w:color w:val="auto"/>
        </w:rPr>
      </w:pPr>
      <w:r>
        <w:rPr>
          <w:rFonts w:ascii="Times New Roman" w:cs="Times New Roman" w:eastAsia="Times New Roman" w:hAnsi="Times New Roman"/>
          <w:sz w:val="18"/>
          <w:szCs w:val="18"/>
          <w:color w:val="auto"/>
        </w:rPr>
        <w:t>Our current approach to hedging the foreign currency exposure in our non-U.S. dollar denominated investments is primarily to borrow the par amount in local currency under the Company’s Subscription Facility and Revolving Credit Facility (the “Credit Facilities”) to fund these investments. For the year ended December 31, 2023 and for the period from April 5, 2022 (Inception) through December 31, 2022, we had $4.8 million and $1.5 million, of unrealized losses, respectively, on the translation of our non-U.S. dollar denominated debt into U.S. dollars; such amounts approximate the corresponding unrealized gains on the translation of our non-U.S. dollar denominated investments into U.S. dollars. See Note 2 for additional disclosure regarding our accounting for foreign currency. See Note 6 for additional disclosure regarding the amounts of outstanding debt denominated in each foreign currency at December 31, 2023. See our consolidated schedule of investments for additional disclosure regarding the foreign currency amounts (in both par and fair value) of our non-U.S. dollar denominated investments.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121"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54" w:lineRule="exact"/>
        <w:rPr>
          <w:sz w:val="20"/>
          <w:szCs w:val="20"/>
          <w:color w:val="auto"/>
        </w:rPr>
      </w:pPr>
    </w:p>
    <w:p>
      <w:pPr>
        <w:ind w:left="520" w:hanging="257"/>
        <w:spacing w:after="0"/>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portfolio companies and other investments and to comply with certain portfolio diversification requirements;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operations (including paying our Adviser);</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repayment, and other financing costs;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dividends to the holders of our shares.</w:t>
      </w:r>
    </w:p>
    <w:p>
      <w:pPr>
        <w:spacing w:after="0" w:line="225"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shares if immediately after the borrowing or issuance our ratio of total assets (less total liabilities other than indebtedness) to total indebtedness plus preferred shares, is at least 150%. For more information, see “</w:t>
      </w:r>
      <w:r>
        <w:rPr>
          <w:rFonts w:ascii="Times New Roman" w:cs="Times New Roman" w:eastAsia="Times New Roman" w:hAnsi="Times New Roman"/>
          <w:sz w:val="18"/>
          <w:szCs w:val="18"/>
          <w:i w:val="1"/>
          <w:iCs w:val="1"/>
          <w:color w:val="auto"/>
        </w:rPr>
        <w:t>Key Components of Our Results of Operations —Leverage</w:t>
      </w:r>
      <w:r>
        <w:rPr>
          <w:rFonts w:ascii="Times New Roman" w:cs="Times New Roman" w:eastAsia="Times New Roman" w:hAnsi="Times New Roman"/>
          <w:sz w:val="18"/>
          <w:szCs w:val="18"/>
          <w:color w:val="auto"/>
        </w:rPr>
        <w:t>” above. As of December 31, 2023 and December 31, 2022, our asset coverage ratio was 245.6% and 201.6%, respectively. We carefully consider our unfunded commitments for the purpose of planning our capital resources and ongoing liquidity including our financial leverage. Further, we maintain sufficient borrowing capacity within the 150% asset coverage limitation under the 1940 Act and the asset coverage limitation under our Credit Facilities to cover any outstanding unfunded commitments we are required to fund.</w:t>
      </w:r>
    </w:p>
    <w:p>
      <w:pPr>
        <w:spacing w:after="0" w:line="188"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Cash and cash equivalents as of December 31, 2023, taken together with cash available under our Credit Facilities and cash available from undrawn Capital Commitments, is expected to be sufficient for our investing activities and to conduct our operations in the near term. As of December 31, 2023, we had approximately $445.3 million and $526.2 million of availability on our Subscription Facility and Revolving Credit Facility, respectively, subject to asset coverage limitations.</w:t>
      </w:r>
    </w:p>
    <w:p>
      <w:pPr>
        <w:spacing w:after="0" w:line="180"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8"/>
          <w:szCs w:val="18"/>
          <w:color w:val="auto"/>
        </w:rPr>
        <w:t>As of December 31, 2023, we had $8.8 million in cash and cash equivalents. During the year ended December 31, 2023, we used $2,091.8 million in cash from operating activities primarily attributable to funding portfolio investments of $2,286.0 million and net change in unrealized gains on investments of $61.6 million, which was offset by repayments on investments of $80.1 million and other net operating activities of $175.5 million. Cash provided by financing activities was $1,826.0 million during the period due to borrowings of $2,886.7 million and proceeds from the capital calls of $1,150.0 million, which were partially offset by paydowns on debt of $2,181.5 million and other financing activities of $29.2 million.</w:t>
      </w:r>
    </w:p>
    <w:p>
      <w:pPr>
        <w:spacing w:after="0" w:line="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71" w:name="page72"/>
    <w:bookmarkEnd w:id="71"/>
    <w:p>
      <w:pPr>
        <w:ind w:right="140" w:firstLine="255"/>
        <w:spacing w:after="0" w:line="258" w:lineRule="auto"/>
        <w:rPr>
          <w:sz w:val="20"/>
          <w:szCs w:val="20"/>
          <w:color w:val="auto"/>
        </w:rPr>
      </w:pPr>
      <w:r>
        <w:rPr>
          <w:rFonts w:ascii="Times New Roman" w:cs="Times New Roman" w:eastAsia="Times New Roman" w:hAnsi="Times New Roman"/>
          <w:sz w:val="18"/>
          <w:szCs w:val="18"/>
          <w:color w:val="auto"/>
        </w:rPr>
        <w:t>As of December 31, 2022, we had $274.6 million in cash and cash equivalents. During the year ended December 31, 2022, we used $800.4 million in cash from operating activities as a result of purchases and originations of investments of $808.3 million which was partially offset by an increase in net assets resulting from operations of $3.8 million and other operating activity of $4.1 million. Lastly, cash provided by financing activities was $1,075.0 million during the period, consisting of borrowings of $816.5 million and proceeds from the issuance of Common Shares of $542.9 million which was partially offset by repayments on debt and deferred financing costs of $284.4 million.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w:t>
      </w:r>
    </w:p>
    <w:p>
      <w:pPr>
        <w:spacing w:after="0" w:line="229"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the Company entered into Subscription Agreements with investors providing for the private placement of the Company’s Common Shares. Under the terms of the Subscription Agreements, investors are required to fund drawdowns to purchase the Company’s Common Shares up to the amount of their respective Capital Commitment on an as-needed basis each time the Company delivers a drawdown notice to its investors. As of December 31, 2023, the Company had received Capital Commitments totaling $7.4 billion ($5.7 billion remaining undrawn). As of December 31, 2022, the Company had received Capital Commitments totaling $2.7 billion ($2.1 billion remaining undrawn).</w:t>
      </w:r>
    </w:p>
    <w:p>
      <w:pPr>
        <w:spacing w:after="0" w:line="183" w:lineRule="exact"/>
        <w:rPr>
          <w:sz w:val="20"/>
          <w:szCs w:val="20"/>
          <w:color w:val="auto"/>
        </w:rPr>
      </w:pPr>
    </w:p>
    <w:p>
      <w:pPr>
        <w:ind w:right="320" w:firstLine="255"/>
        <w:spacing w:after="0" w:line="266" w:lineRule="auto"/>
        <w:rPr>
          <w:sz w:val="20"/>
          <w:szCs w:val="20"/>
          <w:color w:val="auto"/>
        </w:rPr>
      </w:pPr>
      <w:r>
        <w:rPr>
          <w:rFonts w:ascii="Times New Roman" w:cs="Times New Roman" w:eastAsia="Times New Roman" w:hAnsi="Times New Roman"/>
          <w:sz w:val="18"/>
          <w:szCs w:val="18"/>
          <w:color w:val="auto"/>
        </w:rPr>
        <w:t>The following tables summarize the total Common Shares issued and proceeds received related to the Company's initial capitalization and capital drawdowns delivered pursuant to subscription agreements (the “Subscription Agreements”) for the years ended December 31, 2023 and December 31, 2022.</w:t>
      </w:r>
    </w:p>
    <w:p>
      <w:pPr>
        <w:spacing w:after="0" w:line="170"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 Share Issuance Date</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Common Shares</w:t>
            </w:r>
          </w:p>
        </w:tc>
        <w:tc>
          <w:tcPr>
            <w:tcW w:w="120" w:type="dxa"/>
            <w:vAlign w:val="bottom"/>
          </w:tcPr>
          <w:p>
            <w:pPr>
              <w:spacing w:after="0"/>
              <w:rPr>
                <w:sz w:val="13"/>
                <w:szCs w:val="13"/>
                <w:color w:val="auto"/>
              </w:rPr>
            </w:pPr>
          </w:p>
        </w:tc>
        <w:tc>
          <w:tcPr>
            <w:tcW w:w="216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Proceeds Received ($ in millions)</w:t>
            </w:r>
          </w:p>
        </w:tc>
        <w:tc>
          <w:tcPr>
            <w:tcW w:w="100" w:type="dxa"/>
            <w:vAlign w:val="bottom"/>
            <w:vMerge w:val="restart"/>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490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721"/>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260" w:type="dxa"/>
            <w:vAlign w:val="bottom"/>
            <w:gridSpan w:val="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March 21, 2023</w:t>
            </w:r>
          </w:p>
        </w:tc>
        <w:tc>
          <w:tcPr>
            <w:tcW w:w="21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9,643,813</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Borders>
              <w:right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28, 2023</w:t>
            </w:r>
          </w:p>
        </w:tc>
        <w:tc>
          <w:tcPr>
            <w:tcW w:w="2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2,798,480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September 26, 2023</w:t>
            </w:r>
          </w:p>
        </w:tc>
        <w:tc>
          <w:tcPr>
            <w:tcW w:w="21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5,387,887</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right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21, 2023</w:t>
            </w:r>
          </w:p>
        </w:tc>
        <w:tc>
          <w:tcPr>
            <w:tcW w:w="2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14,401,634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22, 2023</w:t>
            </w:r>
          </w:p>
        </w:tc>
        <w:tc>
          <w:tcPr>
            <w:tcW w:w="160" w:type="dxa"/>
            <w:vAlign w:val="bottom"/>
            <w:tcBorders>
              <w:bottom w:val="single" w:sz="8" w:color="CFF0FC"/>
            </w:tcBorders>
            <w:shd w:val="clear" w:color="auto" w:fill="CFF0FC"/>
          </w:tcPr>
          <w:p>
            <w:pPr>
              <w:spacing w:after="0"/>
              <w:rPr>
                <w:sz w:val="21"/>
                <w:szCs w:val="21"/>
                <w:color w:val="auto"/>
              </w:rPr>
            </w:pPr>
          </w:p>
        </w:tc>
        <w:tc>
          <w:tcPr>
            <w:tcW w:w="19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9,725,830</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tcBorders>
              <w:bottom w:val="single" w:sz="8" w:color="CFF0FC"/>
              <w:right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41,957,644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4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Common Share Issuance Date</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Number of Common Shares</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Proceeds Received ($ in millions)</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94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tcBorders>
              <w:bottom w:val="single" w:sz="8" w:color="auto"/>
            </w:tcBorders>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20" w:type="dxa"/>
            <w:vAlign w:val="bottom"/>
            <w:tcBorders>
              <w:bottom w:val="single" w:sz="8" w:color="auto"/>
            </w:tcBorders>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940" w:type="dxa"/>
            <w:vAlign w:val="bottom"/>
            <w:gridSpan w:val="2"/>
            <w:shd w:val="clear" w:color="auto" w:fill="CFF0FC"/>
          </w:tcPr>
          <w:p>
            <w:pPr>
              <w:spacing w:after="0" w:line="236" w:lineRule="exact"/>
              <w:rPr>
                <w:sz w:val="20"/>
                <w:szCs w:val="20"/>
                <w:color w:val="auto"/>
              </w:rPr>
            </w:pPr>
            <w:r>
              <w:rPr>
                <w:rFonts w:ascii="Times New Roman" w:cs="Times New Roman" w:eastAsia="Times New Roman" w:hAnsi="Times New Roman"/>
                <w:sz w:val="18"/>
                <w:szCs w:val="18"/>
                <w:color w:val="auto"/>
              </w:rPr>
              <w:t xml:space="preserve">June 24, 2022 </w:t>
            </w:r>
            <w:r>
              <w:rPr>
                <w:rFonts w:ascii="Times New Roman" w:cs="Times New Roman" w:eastAsia="Times New Roman" w:hAnsi="Times New Roman"/>
                <w:sz w:val="24"/>
                <w:szCs w:val="24"/>
                <w:color w:val="auto"/>
                <w:vertAlign w:val="superscript"/>
              </w:rPr>
              <w:t>(1)</w:t>
            </w:r>
          </w:p>
        </w:tc>
        <w:tc>
          <w:tcPr>
            <w:tcW w:w="226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1,200</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31, 2022</w:t>
            </w:r>
          </w:p>
        </w:tc>
        <w:tc>
          <w:tcPr>
            <w:tcW w:w="22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2,205,694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28, 2022</w:t>
            </w:r>
          </w:p>
        </w:tc>
        <w:tc>
          <w:tcPr>
            <w:tcW w:w="226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5,080,906</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38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125.5</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27, 2022</w:t>
            </w:r>
          </w:p>
        </w:tc>
        <w:tc>
          <w:tcPr>
            <w:tcW w:w="22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7,598,252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187.3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13, 2022</w:t>
            </w:r>
          </w:p>
        </w:tc>
        <w:tc>
          <w:tcPr>
            <w:tcW w:w="226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3,998,385</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38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28, 2022</w:t>
            </w:r>
          </w:p>
        </w:tc>
        <w:tc>
          <w:tcPr>
            <w:tcW w:w="420" w:type="dxa"/>
            <w:vAlign w:val="bottom"/>
            <w:gridSpan w:val="3"/>
          </w:tcPr>
          <w:p>
            <w:pPr>
              <w:spacing w:after="0"/>
              <w:rPr>
                <w:sz w:val="20"/>
                <w:szCs w:val="20"/>
                <w:color w:val="auto"/>
              </w:rPr>
            </w:pPr>
          </w:p>
        </w:tc>
        <w:tc>
          <w:tcPr>
            <w:tcW w:w="1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2,997,591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0" w:type="dxa"/>
            <w:vAlign w:val="bottom"/>
            <w:tcBorders>
              <w:bottom w:val="single" w:sz="8" w:color="CFF0FC"/>
            </w:tcBorders>
            <w:shd w:val="clear" w:color="auto" w:fill="CFF0FC"/>
          </w:tcPr>
          <w:p>
            <w:pPr>
              <w:spacing w:after="0"/>
              <w:rPr>
                <w:sz w:val="24"/>
                <w:szCs w:val="24"/>
                <w:color w:val="auto"/>
              </w:rPr>
            </w:pPr>
          </w:p>
        </w:tc>
        <w:tc>
          <w:tcPr>
            <w:tcW w:w="490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CFF0FC"/>
            </w:tcBorders>
            <w:gridSpan w:val="3"/>
            <w:shd w:val="clear" w:color="auto" w:fill="CFF0FC"/>
          </w:tcPr>
          <w:p>
            <w:pPr>
              <w:spacing w:after="0"/>
              <w:rPr>
                <w:sz w:val="24"/>
                <w:szCs w:val="24"/>
                <w:color w:val="auto"/>
              </w:rPr>
            </w:pPr>
          </w:p>
        </w:tc>
        <w:tc>
          <w:tcPr>
            <w:tcW w:w="18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21,882,028</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542.9</w:t>
            </w:r>
          </w:p>
        </w:tc>
        <w:tc>
          <w:tcPr>
            <w:tcW w:w="6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-1653540</wp:posOffset>
            </wp:positionV>
            <wp:extent cx="60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-1653540</wp:posOffset>
            </wp:positionV>
            <wp:extent cx="596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603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-24765</wp:posOffset>
            </wp:positionV>
            <wp:extent cx="596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-7620</wp:posOffset>
            </wp:positionV>
            <wp:extent cx="596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left="520" w:hanging="512"/>
        <w:spacing w:after="0"/>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round to less than $0.1 million</w:t>
      </w:r>
    </w:p>
    <w:p>
      <w:pPr>
        <w:spacing w:after="0" w:line="200" w:lineRule="exact"/>
        <w:rPr>
          <w:sz w:val="20"/>
          <w:szCs w:val="20"/>
          <w:color w:val="auto"/>
        </w:rPr>
      </w:pPr>
    </w:p>
    <w:p>
      <w:pPr>
        <w:spacing w:after="0" w:line="241"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we also issued 1,639,103 shares to investors who have not opted out of our dividend reinvestment plan for proceeds of $43.4 million.</w:t>
      </w:r>
    </w:p>
    <w:p>
      <w:pPr>
        <w:spacing w:after="0" w:line="200" w:lineRule="exact"/>
        <w:rPr>
          <w:sz w:val="20"/>
          <w:szCs w:val="20"/>
          <w:color w:val="auto"/>
        </w:rPr>
      </w:pPr>
    </w:p>
    <w:p>
      <w:pPr>
        <w:spacing w:after="0" w:line="2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Facility</w:t>
      </w:r>
    </w:p>
    <w:p>
      <w:pPr>
        <w:spacing w:after="0" w:line="119" w:lineRule="exact"/>
        <w:rPr>
          <w:sz w:val="20"/>
          <w:szCs w:val="20"/>
          <w:color w:val="auto"/>
        </w:rPr>
      </w:pPr>
    </w:p>
    <w:p>
      <w:pPr>
        <w:ind w:right="240" w:firstLine="255"/>
        <w:spacing w:after="0" w:line="266" w:lineRule="auto"/>
        <w:rPr>
          <w:sz w:val="20"/>
          <w:szCs w:val="20"/>
          <w:color w:val="auto"/>
        </w:rPr>
      </w:pPr>
      <w:r>
        <w:rPr>
          <w:rFonts w:ascii="Times New Roman" w:cs="Times New Roman" w:eastAsia="Times New Roman" w:hAnsi="Times New Roman"/>
          <w:sz w:val="18"/>
          <w:szCs w:val="18"/>
          <w:color w:val="auto"/>
        </w:rPr>
        <w:t>On September 1, 2022, (the “Closing Date”), we entered into a revolving credit agreement (the “Subscription Facility”) with Wells Fargo Bank, National Association, as administrative agent (the “Administrative Agent”), letter of credit issuer, lead arranger, as a lender, and aggregate commitments under the facility were $400 million.</w:t>
      </w:r>
    </w:p>
    <w:p>
      <w:pPr>
        <w:spacing w:after="0" w:line="68" w:lineRule="exact"/>
        <w:rPr>
          <w:sz w:val="20"/>
          <w:szCs w:val="20"/>
          <w:color w:val="auto"/>
        </w:rPr>
      </w:pPr>
    </w:p>
    <w:p>
      <w:pPr>
        <w:ind w:right="100" w:firstLine="255"/>
        <w:spacing w:after="0" w:line="255" w:lineRule="auto"/>
        <w:rPr>
          <w:sz w:val="20"/>
          <w:szCs w:val="20"/>
          <w:color w:val="auto"/>
        </w:rPr>
      </w:pPr>
      <w:r>
        <w:rPr>
          <w:rFonts w:ascii="Times New Roman" w:cs="Times New Roman" w:eastAsia="Times New Roman" w:hAnsi="Times New Roman"/>
          <w:sz w:val="18"/>
          <w:szCs w:val="18"/>
          <w:color w:val="auto"/>
        </w:rPr>
        <w:t>Pursuant to an amendment to the Subscription Facility dated as of December 21, 2022 (the “Subscription Facility First Amendment”), the aggregate commitments under the Subscription Facility were upsized to $700 million, subject to availability under the borrowing base, which is based on unfunded capital commitments. Pursuant to lender joinder agreements dated January 18, 2023 and January 27, 2023, aggregate commitments under the Subscription Facility were upsized to $800 million and $850 million, respectively. Pursuant to lender joinder agreements dated March 28, 2023, the aggregate commitments under the Subscription Facility were upsized to $1.3 billion. Pursuant to a lender joinder agreement dated April 27, 2023, the aggregate commitments under the Subscription Facility were upsized to $1.4 billion. Pursuant to a lender joinder agreement dated December 1, 2023 the aggregate commitments under the Subscription Facility were upsized to $1.5 billion (the “Maximum Commitment”).</w:t>
      </w:r>
    </w:p>
    <w:p>
      <w:pPr>
        <w:spacing w:after="0" w:line="81"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The Subscription Facility will mature upon the earliest of: (i) August 30, 2024 (the “Subscription Facility Stated Maturity Date”); (ii) the date upon which the Administrative Agent declares the obligations under the Subscription Facility due and payable after the occurrence of an event of default; (iii) forty-five (45) days prior to the date on which our ability to call capital commitments for purposes of repaying the obligations under the Subscription Facility is terminated; and (iv) the date we terminate the commitments pursuant to the Subscription Facility. At our option, the Subscription Facility Stated Maturity Date may be extended by up to 364 days, subject to satisfaction of customary conditions.</w:t>
      </w:r>
    </w:p>
    <w:p>
      <w:pPr>
        <w:spacing w:after="0" w:line="75"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Borrowings under the Subscription Facility bear interest, at our election at the time of drawdown, at a rate per annum equal to (i) in the case of loans denominated in dollars, at our option (a) an adjusted Daily Simple SOFR rate plus 1.95%, (b) an adjusted Term SOFR rate for the applicable interest period plus 1.95% and (c) in the case of reference rate loans, 0.95% plus the greatest of (1) a prime rate, (2) the federal funds rate plus 0.50% and (3) the adjusted Daily Simple SOFR plus 1.00%, (ii) in the case of loans denominated in euros or other alternative currencies (other than sterling), the adjusted Eurocurrency Rate for the applicable interest period plus 1.95% or (iii) in the case of loans denominated in sterling, the adjusted SONIA rate plus 1.95%. SOFR loans are subject to a credit spread adjustment ranging from 0.10% to 0.25% and SONIA loans are subject to a credit spread adjustment of 0.0326%. Loans denominated in dollars may be converted from one rate applicable to dollar denominated loans to another at any time at our election, subject to certain conditions. We also will pay an unused commitment fee of 0.25% per annum on the unused commitments.</w:t>
      </w:r>
    </w:p>
    <w:p>
      <w:pPr>
        <w:spacing w:after="0" w:line="84" w:lineRule="exact"/>
        <w:rPr>
          <w:sz w:val="20"/>
          <w:szCs w:val="20"/>
          <w:color w:val="auto"/>
        </w:rPr>
      </w:pPr>
    </w:p>
    <w:p>
      <w:pPr>
        <w:ind w:right="140" w:firstLine="255"/>
        <w:spacing w:after="0" w:line="261" w:lineRule="auto"/>
        <w:rPr>
          <w:sz w:val="20"/>
          <w:szCs w:val="20"/>
          <w:color w:val="auto"/>
        </w:rPr>
      </w:pPr>
      <w:r>
        <w:rPr>
          <w:rFonts w:ascii="Times New Roman" w:cs="Times New Roman" w:eastAsia="Times New Roman" w:hAnsi="Times New Roman"/>
          <w:sz w:val="18"/>
          <w:szCs w:val="18"/>
          <w:color w:val="auto"/>
        </w:rPr>
        <w:t>We may borrow amounts in U.S. dollars or certain other permitted currencies. As of December 31, 2023, we had outstanding debt denominated in British pounds (GBP) of 10.3 million, and Euros (EUR) of 13.4 million on our Subscription Facility, included in the Outstanding Principal amount in the table below. As of December 31, 2022 we had outstanding debt denominated in British pounds (GBP) of 10.3 million, and Euro (EUR) of 13.4 million on the Subscription Facility included in the outstanding principal amount in the table below.</w:t>
      </w:r>
    </w:p>
    <w:p>
      <w:pPr>
        <w:spacing w:after="0" w:line="72" w:lineRule="exact"/>
        <w:rPr>
          <w:sz w:val="20"/>
          <w:szCs w:val="20"/>
          <w:color w:val="auto"/>
        </w:rPr>
      </w:pPr>
    </w:p>
    <w:p>
      <w:pPr>
        <w:ind w:right="360" w:firstLine="255"/>
        <w:spacing w:after="0" w:line="266" w:lineRule="auto"/>
        <w:rPr>
          <w:sz w:val="20"/>
          <w:szCs w:val="20"/>
          <w:color w:val="auto"/>
        </w:rPr>
      </w:pPr>
      <w:r>
        <w:rPr>
          <w:rFonts w:ascii="Times New Roman" w:cs="Times New Roman" w:eastAsia="Times New Roman" w:hAnsi="Times New Roman"/>
          <w:sz w:val="18"/>
          <w:szCs w:val="18"/>
          <w:color w:val="auto"/>
        </w:rPr>
        <w:t>The Subscription Facility also provides for the issuance of letters of credit up to an aggregate amount of 10% of the Maximum Commitment. As of December 31, 2023, we had no outstanding letters of credit issued through the Subscription Facility. The amount available for borrowing under the Subscription Facility is reduced by any letters of credit issued through the Subscription Facility.</w:t>
      </w:r>
    </w:p>
    <w:p>
      <w:pPr>
        <w:spacing w:after="0" w:line="68" w:lineRule="exact"/>
        <w:rPr>
          <w:sz w:val="20"/>
          <w:szCs w:val="20"/>
          <w:color w:val="auto"/>
        </w:rPr>
      </w:pPr>
    </w:p>
    <w:p>
      <w:pPr>
        <w:ind w:right="480" w:firstLine="255"/>
        <w:spacing w:after="0" w:line="282" w:lineRule="auto"/>
        <w:rPr>
          <w:sz w:val="20"/>
          <w:szCs w:val="20"/>
          <w:color w:val="auto"/>
        </w:rPr>
      </w:pPr>
      <w:r>
        <w:rPr>
          <w:rFonts w:ascii="Times New Roman" w:cs="Times New Roman" w:eastAsia="Times New Roman" w:hAnsi="Times New Roman"/>
          <w:sz w:val="18"/>
          <w:szCs w:val="18"/>
          <w:color w:val="auto"/>
        </w:rPr>
        <w:t>The Subscription Facility includes customary events of default, as well as customary covenants, including restrictions on certain distributions and financial covenants.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On January 19, 2023 (the “Revolving Credit Facility Closing Date”), we entered into a senior secured revolving credit agreement (the “Revolving Credit Facility”) with Truist Bank, as administrative agent, JPMorgan Chase Bank, N.A., Royal Bank of Canada, State Street Bank and Trust Company and Wells Fargo Bank, N.A., as joint lead arrangers, and certain other lenders.</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aggregate commitments under the facility were $600 million and included an uncommitted accordion feature that allows us, under certain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circumstances, to increase the size of the facility up to $1 billion. On February 28, 2023, the aggregate commitments under the facility were upsized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$700 million. On July 27, 2023, the aggregate commitments under the facility were upsized to $725 million. The Revolving Credit Facility will mature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19, 2028 (the “Revolving Credit Facility Maturity Date”).</w:t>
      </w:r>
    </w:p>
    <w:p>
      <w:pPr>
        <w:spacing w:after="0" w:line="207" w:lineRule="exact"/>
        <w:rPr>
          <w:sz w:val="20"/>
          <w:szCs w:val="20"/>
          <w:color w:val="auto"/>
        </w:rPr>
      </w:pPr>
    </w:p>
    <w:p>
      <w:pPr>
        <w:ind w:right="140" w:firstLine="255"/>
        <w:spacing w:after="0" w:line="261" w:lineRule="auto"/>
        <w:rPr>
          <w:sz w:val="20"/>
          <w:szCs w:val="20"/>
          <w:color w:val="auto"/>
        </w:rPr>
      </w:pPr>
      <w:r>
        <w:rPr>
          <w:rFonts w:ascii="Times New Roman" w:cs="Times New Roman" w:eastAsia="Times New Roman" w:hAnsi="Times New Roman"/>
          <w:sz w:val="18"/>
          <w:szCs w:val="18"/>
          <w:color w:val="auto"/>
        </w:rPr>
        <w:t>Subsequent to the year ended December 31, 2023, pursuant to an amendment to the Revolving Credit Facility dated February 8, 2024 (the “Revolving Credit Facility First Amendment”), the aggregate commitments under the Revolving Credit Facility were upsized to $1.0 billion and the stated maturity date was extended to February 8, 2029. The facility includes an uncommitted accordion feature that allows the Company, under certain circumstances, to increase the size of the facility to up to $1.75 billion.</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73" w:name="page74"/>
    <w:bookmarkEnd w:id="73"/>
    <w:p>
      <w:pPr>
        <w:ind w:right="60" w:firstLine="255"/>
        <w:spacing w:after="0" w:line="256" w:lineRule="auto"/>
        <w:rPr>
          <w:sz w:val="20"/>
          <w:szCs w:val="20"/>
          <w:color w:val="auto"/>
        </w:rPr>
      </w:pPr>
      <w:r>
        <w:rPr>
          <w:rFonts w:ascii="Times New Roman" w:cs="Times New Roman" w:eastAsia="Times New Roman" w:hAnsi="Times New Roman"/>
          <w:sz w:val="18"/>
          <w:szCs w:val="18"/>
          <w:color w:val="auto"/>
        </w:rPr>
        <w:t>Borrowings under the Revolving Credit Facility, including amounts drawn in respect of letters of credit, bear interest, at our election at the time of drawdown, at a rate per annum equal to (i) in the case of loans denominated in dollars, at our option (a) adjusted Term SOFR plus 1.75% or 2.00%, based on certain borrowing base conditions and (b) an alternative base rate plus 1.75% or 2.00%, based on certain borrowing base conditions, (ii) in the case of loans denominated in other permitted currencies at the relevant rate specified plus 1.75% or 2.00%, based on certain borrowing base conditions, plus in the case of amounts denominated in certain other permitted currencies, an adjustment. We also will pay an unused commitment fee of 0.375% per annum on the unused commitments.</w:t>
      </w:r>
    </w:p>
    <w:p>
      <w:pPr>
        <w:spacing w:after="0" w:line="79"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The Revolving Credit Facility is guaranteed by Sixth Street LP Holding II, LLC and SSLP Lending, LLC.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68" w:lineRule="exact"/>
        <w:rPr>
          <w:sz w:val="20"/>
          <w:szCs w:val="20"/>
          <w:color w:val="auto"/>
        </w:rPr>
      </w:pPr>
    </w:p>
    <w:p>
      <w:pPr>
        <w:ind w:right="160" w:firstLine="255"/>
        <w:spacing w:after="0" w:line="266" w:lineRule="auto"/>
        <w:rPr>
          <w:sz w:val="20"/>
          <w:szCs w:val="20"/>
          <w:color w:val="auto"/>
        </w:rPr>
      </w:pPr>
      <w:r>
        <w:rPr>
          <w:rFonts w:ascii="Times New Roman" w:cs="Times New Roman" w:eastAsia="Times New Roman" w:hAnsi="Times New Roman"/>
          <w:sz w:val="18"/>
          <w:szCs w:val="18"/>
          <w:color w:val="auto"/>
        </w:rPr>
        <w:t>We may borrow amounts in U.S. dollars or certain other permitted currencies. As of December 31, 2023, we had outstanding debt denominated in British pounds (GBP) of 68.7 million and Euros (EUR) 95.7 million on our Revolving Credit Facility, included in the outstanding principal amount in the table below.</w:t>
      </w:r>
    </w:p>
    <w:p>
      <w:pPr>
        <w:spacing w:after="0" w:line="68" w:lineRule="exact"/>
        <w:rPr>
          <w:sz w:val="20"/>
          <w:szCs w:val="20"/>
          <w:color w:val="auto"/>
        </w:rPr>
      </w:pPr>
    </w:p>
    <w:p>
      <w:pPr>
        <w:ind w:right="180" w:firstLine="255"/>
        <w:spacing w:after="0" w:line="261" w:lineRule="auto"/>
        <w:rPr>
          <w:sz w:val="20"/>
          <w:szCs w:val="20"/>
          <w:color w:val="auto"/>
        </w:rPr>
      </w:pPr>
      <w:r>
        <w:rPr>
          <w:rFonts w:ascii="Times New Roman" w:cs="Times New Roman" w:eastAsia="Times New Roman" w:hAnsi="Times New Roman"/>
          <w:sz w:val="18"/>
          <w:szCs w:val="18"/>
          <w:color w:val="auto"/>
        </w:rPr>
        <w:t>The Revolving Credit Facility also provides for the issuance of letters of credit up to an aggregate amount of $175 million. As of December 31, 2023, we had $5.5 million in outstanding letters of credit issued through the Revolving Credit Facility. As of December 31, 2022, there were no outstanding letters of credit issued through the Revolving Credit Facility. The amount available for borrowing under the Revolving Credit Facility is reduced by any letters of credit issued through the Revolving Credit Facility.</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Revolving Credit Facility includes customary events of default (with customary care and notice provisions).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 further details, see Note 6 "Debt - Revolving Credit Facility" to our consolidated financial statements included in this Annual Report.</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Debt obligations consisted of the following as of December 31, 2023 and December 31, 2022:</w:t>
      </w:r>
    </w:p>
    <w:p>
      <w:pPr>
        <w:spacing w:after="0" w:line="340"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9"/>
        </w:trPr>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right"/>
              <w:ind w:right="137"/>
              <w:spacing w:after="0" w:line="139" w:lineRule="exact"/>
              <w:rPr>
                <w:sz w:val="20"/>
                <w:szCs w:val="20"/>
                <w:color w:val="auto"/>
              </w:rPr>
            </w:pPr>
            <w:r>
              <w:rPr>
                <w:rFonts w:ascii="Times New Roman" w:cs="Times New Roman" w:eastAsia="Times New Roman" w:hAnsi="Times New Roman"/>
                <w:sz w:val="14"/>
                <w:szCs w:val="14"/>
                <w:b w:val="1"/>
                <w:bCs w:val="1"/>
                <w:color w:val="auto"/>
              </w:rPr>
              <w:t>Aggregate Principal</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ind w:right="259"/>
              <w:spacing w:after="0" w:line="13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ind w:right="377"/>
              <w:spacing w:after="0" w:line="13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right"/>
              <w:ind w:right="317"/>
              <w:spacing w:after="0" w:line="13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r>
      <w:tr>
        <w:trPr>
          <w:trHeight w:val="206"/>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Amount Committed</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57"/>
              <w:spacing w:after="0" w:line="206" w:lineRule="exact"/>
              <w:rPr>
                <w:sz w:val="20"/>
                <w:szCs w:val="20"/>
                <w:color w:val="auto"/>
              </w:rPr>
            </w:pPr>
            <w:r>
              <w:rPr>
                <w:rFonts w:ascii="Times New Roman" w:cs="Times New Roman" w:eastAsia="Times New Roman" w:hAnsi="Times New Roman"/>
                <w:sz w:val="14"/>
                <w:szCs w:val="14"/>
                <w:b w:val="1"/>
                <w:bCs w:val="1"/>
                <w:color w:val="auto"/>
                <w:w w:val="98"/>
              </w:rPr>
              <w:t xml:space="preserve">Available </w:t>
            </w:r>
            <w:r>
              <w:rPr>
                <w:rFonts w:ascii="Times New Roman" w:cs="Times New Roman" w:eastAsia="Times New Roman" w:hAnsi="Times New Roman"/>
                <w:sz w:val="19"/>
                <w:szCs w:val="19"/>
                <w:b w:val="1"/>
                <w:bCs w:val="1"/>
                <w:color w:val="auto"/>
                <w:w w:val="98"/>
                <w:vertAlign w:val="superscript"/>
              </w:rPr>
              <w:t>(1)</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37"/>
              <w:spacing w:after="0" w:line="206" w:lineRule="exact"/>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19"/>
                <w:szCs w:val="19"/>
                <w:b w:val="1"/>
                <w:bCs w:val="1"/>
                <w:color w:val="auto"/>
                <w:vertAlign w:val="superscript"/>
              </w:rPr>
              <w:t>(2)</w:t>
            </w:r>
          </w:p>
        </w:tc>
        <w:tc>
          <w:tcPr>
            <w:tcW w:w="100" w:type="dxa"/>
            <w:vAlign w:val="bottom"/>
          </w:tcPr>
          <w:p>
            <w:pPr>
              <w:spacing w:after="0"/>
              <w:rPr>
                <w:sz w:val="17"/>
                <w:szCs w:val="17"/>
                <w:color w:val="auto"/>
              </w:rPr>
            </w:pPr>
          </w:p>
        </w:tc>
      </w:tr>
      <w:tr>
        <w:trPr>
          <w:trHeight w:val="23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 Facility</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1,054.7</w:t>
            </w:r>
          </w:p>
        </w:tc>
        <w:tc>
          <w:tcPr>
            <w:tcW w:w="5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1,051.0</w:t>
            </w:r>
          </w:p>
        </w:tc>
        <w:tc>
          <w:tcPr>
            <w:tcW w:w="100" w:type="dxa"/>
            <w:vAlign w:val="bottom"/>
            <w:shd w:val="clear" w:color="auto" w:fill="CFF0FC"/>
          </w:tcPr>
          <w:p>
            <w:pPr>
              <w:spacing w:after="0"/>
              <w:rPr>
                <w:sz w:val="20"/>
                <w:szCs w:val="20"/>
                <w:color w:val="auto"/>
              </w:rPr>
            </w:pPr>
          </w:p>
        </w:tc>
      </w:tr>
      <w:tr>
        <w:trPr>
          <w:trHeight w:val="23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00" w:type="dxa"/>
            <w:vAlign w:val="bottom"/>
          </w:tcPr>
          <w:p>
            <w:pPr>
              <w:spacing w:after="0"/>
              <w:rPr>
                <w:sz w:val="20"/>
                <w:szCs w:val="20"/>
                <w:color w:val="auto"/>
              </w:rPr>
            </w:pPr>
          </w:p>
        </w:tc>
      </w:tr>
      <w:tr>
        <w:trPr>
          <w:trHeight w:val="279"/>
        </w:trPr>
        <w:tc>
          <w:tcPr>
            <w:tcW w:w="34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2,225.0</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1,248.0</w:t>
            </w:r>
          </w:p>
        </w:tc>
        <w:tc>
          <w:tcPr>
            <w:tcW w:w="2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971.5</w:t>
            </w:r>
          </w:p>
        </w:tc>
        <w:tc>
          <w:tcPr>
            <w:tcW w:w="2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-24765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-24765</wp:posOffset>
            </wp:positionV>
            <wp:extent cx="596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-7620</wp:posOffset>
            </wp:positionV>
            <wp:extent cx="596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-24765</wp:posOffset>
            </wp:positionV>
            <wp:extent cx="60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03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hanging="512"/>
        <w:spacing w:after="0" w:line="261" w:lineRule="auto"/>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may be subject to limitations related to the borrowing base under the Subscription Facility, Revolving Credit Facility and asset coverage requirements.</w:t>
      </w:r>
    </w:p>
    <w:p>
      <w:pPr>
        <w:ind w:left="520" w:right="260" w:hanging="512"/>
        <w:spacing w:after="0" w:line="260" w:lineRule="auto"/>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Subscription Facility and Revolving Credit Facility are presented net deferred financing costs of $3.7 million and $4.5 million, respectively.</w:t>
      </w:r>
    </w:p>
    <w:p>
      <w:pPr>
        <w:spacing w:after="0" w:line="188" w:lineRule="exact"/>
        <w:rPr>
          <w:sz w:val="20"/>
          <w:szCs w:val="20"/>
          <w:color w:val="auto"/>
        </w:rPr>
      </w:pPr>
    </w:p>
    <w:tbl>
      <w:tblPr>
        <w:tblLayout w:type="fixed"/>
        <w:tblInd w:w="680" w:type="dxa"/>
        <w:tblCellMar>
          <w:top w:w="0" w:type="dxa"/>
          <w:left w:w="0" w:type="dxa"/>
          <w:bottom w:w="0" w:type="dxa"/>
          <w:right w:w="0" w:type="dxa"/>
        </w:tblCellMar>
      </w:tblPr>
      <w:tr>
        <w:trPr>
          <w:trHeight w:val="187"/>
        </w:trPr>
        <w:tc>
          <w:tcPr>
            <w:tcW w:w="3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39"/>
        </w:trPr>
        <w:tc>
          <w:tcPr>
            <w:tcW w:w="3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right"/>
              <w:ind w:right="79"/>
              <w:spacing w:after="0" w:line="139" w:lineRule="exact"/>
              <w:rPr>
                <w:sz w:val="20"/>
                <w:szCs w:val="20"/>
                <w:color w:val="auto"/>
              </w:rPr>
            </w:pPr>
            <w:r>
              <w:rPr>
                <w:rFonts w:ascii="Times New Roman" w:cs="Times New Roman" w:eastAsia="Times New Roman" w:hAnsi="Times New Roman"/>
                <w:sz w:val="14"/>
                <w:szCs w:val="14"/>
                <w:b w:val="1"/>
                <w:bCs w:val="1"/>
                <w:color w:val="auto"/>
              </w:rPr>
              <w:t>Aggregate Principal</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ind w:right="241"/>
              <w:spacing w:after="0" w:line="13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ind w:right="359"/>
              <w:spacing w:after="0" w:line="13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right"/>
              <w:ind w:right="299"/>
              <w:spacing w:after="0" w:line="13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80" w:type="dxa"/>
            <w:vAlign w:val="bottom"/>
          </w:tcPr>
          <w:p>
            <w:pPr>
              <w:spacing w:after="0"/>
              <w:rPr>
                <w:sz w:val="12"/>
                <w:szCs w:val="12"/>
                <w:color w:val="auto"/>
              </w:rPr>
            </w:pPr>
          </w:p>
        </w:tc>
      </w:tr>
      <w:tr>
        <w:trPr>
          <w:trHeight w:val="206"/>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Amount Committed</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39"/>
              <w:spacing w:after="0" w:line="206" w:lineRule="exact"/>
              <w:rPr>
                <w:sz w:val="20"/>
                <w:szCs w:val="20"/>
                <w:color w:val="auto"/>
              </w:rPr>
            </w:pPr>
            <w:r>
              <w:rPr>
                <w:rFonts w:ascii="Times New Roman" w:cs="Times New Roman" w:eastAsia="Times New Roman" w:hAnsi="Times New Roman"/>
                <w:sz w:val="14"/>
                <w:szCs w:val="14"/>
                <w:b w:val="1"/>
                <w:bCs w:val="1"/>
                <w:color w:val="auto"/>
                <w:w w:val="93"/>
              </w:rPr>
              <w:t xml:space="preserve">Available </w:t>
            </w:r>
            <w:r>
              <w:rPr>
                <w:rFonts w:ascii="Times New Roman" w:cs="Times New Roman" w:eastAsia="Times New Roman" w:hAnsi="Times New Roman"/>
                <w:sz w:val="19"/>
                <w:szCs w:val="19"/>
                <w:b w:val="1"/>
                <w:bCs w:val="1"/>
                <w:color w:val="auto"/>
                <w:w w:val="93"/>
                <w:vertAlign w:val="superscript"/>
              </w:rPr>
              <w:t>(1)</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39"/>
              <w:spacing w:after="0" w:line="206" w:lineRule="exact"/>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19"/>
                <w:szCs w:val="19"/>
                <w:b w:val="1"/>
                <w:bCs w:val="1"/>
                <w:color w:val="auto"/>
                <w:vertAlign w:val="superscript"/>
              </w:rPr>
              <w:t>(2)</w:t>
            </w:r>
          </w:p>
        </w:tc>
        <w:tc>
          <w:tcPr>
            <w:tcW w:w="80" w:type="dxa"/>
            <w:vAlign w:val="bottom"/>
          </w:tcPr>
          <w:p>
            <w:pPr>
              <w:spacing w:after="0"/>
              <w:rPr>
                <w:sz w:val="17"/>
                <w:szCs w:val="17"/>
                <w:color w:val="auto"/>
              </w:rPr>
            </w:pPr>
          </w:p>
        </w:tc>
      </w:tr>
      <w:tr>
        <w:trPr>
          <w:trHeight w:val="237"/>
        </w:trPr>
        <w:tc>
          <w:tcPr>
            <w:tcW w:w="3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Subscription Facility</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538.0</w:t>
            </w:r>
          </w:p>
        </w:tc>
        <w:tc>
          <w:tcPr>
            <w:tcW w:w="2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36"/>
        </w:trPr>
        <w:tc>
          <w:tcPr>
            <w:tcW w:w="34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538.0</w:t>
            </w:r>
          </w:p>
        </w:tc>
        <w:tc>
          <w:tcPr>
            <w:tcW w:w="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80" w:type="dxa"/>
            <w:vAlign w:val="bottom"/>
          </w:tcPr>
          <w:p>
            <w:pPr>
              <w:spacing w:after="0"/>
              <w:rPr>
                <w:sz w:val="20"/>
                <w:szCs w:val="20"/>
                <w:color w:val="auto"/>
              </w:rPr>
            </w:pPr>
          </w:p>
        </w:tc>
      </w:tr>
      <w:tr>
        <w:trPr>
          <w:trHeight w:val="20"/>
        </w:trPr>
        <w:tc>
          <w:tcPr>
            <w:tcW w:w="3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-187960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-187960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-187960</wp:posOffset>
            </wp:positionV>
            <wp:extent cx="603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-187960</wp:posOffset>
            </wp:positionV>
            <wp:extent cx="596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left="520" w:hanging="512"/>
        <w:spacing w:after="0"/>
        <w:tabs>
          <w:tab w:leader="none" w:pos="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may be subject to limitations related to the borrowing base under the Subscription Facility and asset coverage requirements.</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 of the Subscription Facility is presented net deferred financing costs of $3.9 million.</w:t>
      </w:r>
    </w:p>
    <w:p>
      <w:pPr>
        <w:spacing w:after="0" w:line="207" w:lineRule="exact"/>
        <w:rPr>
          <w:sz w:val="20"/>
          <w:szCs w:val="20"/>
          <w:color w:val="auto"/>
        </w:rPr>
      </w:pPr>
    </w:p>
    <w:p>
      <w:pPr>
        <w:ind w:right="20" w:firstLine="255"/>
        <w:spacing w:after="0" w:line="282" w:lineRule="auto"/>
        <w:rPr>
          <w:sz w:val="20"/>
          <w:szCs w:val="20"/>
          <w:color w:val="auto"/>
        </w:rPr>
      </w:pPr>
      <w:r>
        <w:rPr>
          <w:rFonts w:ascii="Times New Roman" w:cs="Times New Roman" w:eastAsia="Times New Roman" w:hAnsi="Times New Roman"/>
          <w:sz w:val="18"/>
          <w:szCs w:val="18"/>
          <w:color w:val="auto"/>
        </w:rPr>
        <w:t>As of December 31, 2023 and December 31, 2022, we were in compliance with the terms of our debt arrangements. We intend to continue to utilize our credit facility to fund investments and for other general corporate purposes.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Company Commitments</w:t>
      </w:r>
    </w:p>
    <w:p>
      <w:pPr>
        <w:spacing w:after="0" w:line="121" w:lineRule="exact"/>
        <w:rPr>
          <w:sz w:val="20"/>
          <w:szCs w:val="20"/>
          <w:color w:val="auto"/>
        </w:rPr>
      </w:pPr>
    </w:p>
    <w:p>
      <w:pPr>
        <w:ind w:right="120" w:firstLine="255"/>
        <w:spacing w:after="0" w:line="258" w:lineRule="auto"/>
        <w:rPr>
          <w:sz w:val="20"/>
          <w:szCs w:val="20"/>
          <w:color w:val="auto"/>
        </w:rPr>
      </w:pPr>
      <w:r>
        <w:rPr>
          <w:rFonts w:ascii="Times New Roman" w:cs="Times New Roman" w:eastAsia="Times New Roman" w:hAnsi="Times New Roman"/>
          <w:sz w:val="18"/>
          <w:szCs w:val="18"/>
          <w:color w:val="auto"/>
        </w:rPr>
        <w:t>From time to time, we may enter into commitments to fund investments. We incorporate these commitments into our assessment of our liquidity position. Our senior secured revolving loan commitments are generally available on a borrower’s demand and may remain outstanding until the maturity date of the applicable loan. Our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4" w:name="page75"/>
    <w:bookmarkEnd w:id="74"/>
    <w:p>
      <w:pPr>
        <w:ind w:right="500"/>
        <w:spacing w:after="0" w:line="282" w:lineRule="auto"/>
        <w:rPr>
          <w:sz w:val="20"/>
          <w:szCs w:val="20"/>
          <w:color w:val="auto"/>
        </w:rPr>
      </w:pPr>
      <w:r>
        <w:rPr>
          <w:rFonts w:ascii="Times New Roman" w:cs="Times New Roman" w:eastAsia="Times New Roman" w:hAnsi="Times New Roman"/>
          <w:sz w:val="18"/>
          <w:szCs w:val="18"/>
          <w:color w:val="auto"/>
        </w:rPr>
        <w:t>the associated loan agreement. As of December 31, 2023 and December 31, 2022, we had the following commitments to fund investments in current portfolio companies: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187"/>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r>
      <w:tr>
        <w:trPr>
          <w:trHeight w:val="237"/>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Alaska Bidco Oy - Delayed Draw &amp; Revolver</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5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Arrow Buyer, Inc. - Delayed Draw</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Artisan Bidco, Inc - Revolver</w:t>
            </w: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Avalara, Inc. - Revolver</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0"/>
                <w:szCs w:val="20"/>
                <w:color w:val="auto"/>
              </w:rPr>
            </w:pPr>
          </w:p>
        </w:tc>
      </w:tr>
      <w:tr>
        <w:trPr>
          <w:trHeight w:val="247"/>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Banyan Software Holdings, LLC - Delayed Draw</w:t>
            </w: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BCTO Bluebill Buyer, Inc. - Delayed Draw</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BTRS Holdings, Inc. - Delayed Draw &amp; Revolver</w:t>
            </w: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FF0FC"/>
          </w:tcPr>
          <w:p>
            <w:pPr>
              <w:spacing w:after="0"/>
              <w:rPr>
                <w:sz w:val="21"/>
                <w:szCs w:val="21"/>
                <w:color w:val="auto"/>
              </w:rPr>
            </w:pPr>
          </w:p>
        </w:tc>
      </w:tr>
      <w:tr>
        <w:trPr>
          <w:trHeight w:val="23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Coupa Holdings, LLC - Delayed Draw &amp; Revolver</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Crewline Buyer, Inc. - Revolver &amp; Partnership Interest</w:t>
            </w: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 Parent, Inc. - Revolver</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Edge Bidco B.V. - Delayed Draw &amp; Revolver</w:t>
            </w: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Erling Lux Bidco SARL - Delayed Draw &amp; Revolver</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0"/>
                <w:szCs w:val="20"/>
                <w:color w:val="auto"/>
              </w:rPr>
            </w:pPr>
          </w:p>
        </w:tc>
      </w:tr>
      <w:tr>
        <w:trPr>
          <w:trHeight w:val="247"/>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Fullsteam Operations, LLC - Delayed Draw &amp; Revolver</w:t>
            </w: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Galileo Parent, Inc. - Revolver</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Hirevue, Inc. - Revolver</w:t>
            </w: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Hornetsecurity Holding GmbH - Delayed Draw &amp; Revolver</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r>
      <w:tr>
        <w:trPr>
          <w:trHeight w:val="247"/>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Kangaroo Bidco AS - Delayed Draw</w:t>
            </w: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Laramie Energy, LLC - Delayed Draw</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OutSystems Luxco SARL - Delayed Draw</w:t>
            </w: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21"/>
                <w:szCs w:val="21"/>
                <w:color w:val="auto"/>
              </w:rPr>
            </w:pPr>
          </w:p>
        </w:tc>
      </w:tr>
      <w:tr>
        <w:trPr>
          <w:trHeight w:val="23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Ping Identity Holding Corp. - Revolver</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0"/>
                <w:szCs w:val="20"/>
                <w:color w:val="auto"/>
              </w:rPr>
            </w:pPr>
          </w:p>
        </w:tc>
      </w:tr>
      <w:tr>
        <w:trPr>
          <w:trHeight w:val="247"/>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Rapid Data GmbH Unternehmensberatung - Delayed Draw &amp; Revolver</w:t>
            </w: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Skylark UK DebtCo - Delayed Draw</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SL Buyer Corp - Delayed Draw</w:t>
            </w: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Wrangler TopCo, LLC - Revolver</w:t>
            </w: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76"/>
        </w:trPr>
        <w:tc>
          <w:tcPr>
            <w:tcW w:w="6400" w:type="dxa"/>
            <w:vAlign w:val="bottom"/>
            <w:tcBorders>
              <w:bottom w:val="single" w:sz="8" w:color="CFF0FC"/>
            </w:tcBorders>
            <w:shd w:val="clear" w:color="auto" w:fill="CFF0FC"/>
          </w:tcPr>
          <w:p>
            <w:pPr>
              <w:ind w:left="200"/>
              <w:spacing w:after="0" w:line="236" w:lineRule="exact"/>
              <w:rPr>
                <w:sz w:val="20"/>
                <w:szCs w:val="20"/>
                <w:color w:val="auto"/>
              </w:rPr>
            </w:pPr>
            <w:r>
              <w:rPr>
                <w:rFonts w:ascii="Times New Roman" w:cs="Times New Roman" w:eastAsia="Times New Roman" w:hAnsi="Times New Roman"/>
                <w:sz w:val="18"/>
                <w:szCs w:val="18"/>
                <w:b w:val="1"/>
                <w:bCs w:val="1"/>
                <w:color w:val="auto"/>
              </w:rPr>
              <w:t xml:space="preserve">Total Portfolio Company Commitments </w:t>
            </w:r>
            <w:r>
              <w:rPr>
                <w:rFonts w:ascii="Times New Roman" w:cs="Times New Roman" w:eastAsia="Times New Roman" w:hAnsi="Times New Roman"/>
                <w:sz w:val="24"/>
                <w:szCs w:val="24"/>
                <w:b w:val="1"/>
                <w:bCs w:val="1"/>
                <w:color w:val="auto"/>
                <w:vertAlign w:val="superscript"/>
              </w:rPr>
              <w:t>(1)(2)</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3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-24765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-24765</wp:posOffset>
            </wp:positionV>
            <wp:extent cx="596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-7620</wp:posOffset>
            </wp:positionV>
            <wp:extent cx="596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45" w:lineRule="exact"/>
        <w:rPr>
          <w:sz w:val="20"/>
          <w:szCs w:val="20"/>
          <w:color w:val="auto"/>
        </w:rPr>
      </w:pPr>
    </w:p>
    <w:p>
      <w:pPr>
        <w:jc w:val="both"/>
        <w:ind w:left="520" w:right="280" w:hanging="512"/>
        <w:spacing w:after="0" w:line="266" w:lineRule="auto"/>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w:t>
      </w:r>
    </w:p>
    <w:p>
      <w:pPr>
        <w:ind w:left="520" w:right="680" w:hanging="512"/>
        <w:spacing w:after="0" w:line="282" w:lineRule="auto"/>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 of the fair value of the current investments in these portfolio companies includes an analysis of the fair value of any unfunded commitments.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121" w:lineRule="exact"/>
        <w:rPr>
          <w:sz w:val="20"/>
          <w:szCs w:val="20"/>
          <w:color w:val="auto"/>
        </w:rPr>
      </w:pPr>
    </w:p>
    <w:p>
      <w:pPr>
        <w:ind w:right="300" w:firstLine="255"/>
        <w:spacing w:after="0" w:line="282" w:lineRule="auto"/>
        <w:rPr>
          <w:sz w:val="20"/>
          <w:szCs w:val="20"/>
          <w:color w:val="auto"/>
        </w:rPr>
      </w:pPr>
      <w:r>
        <w:rPr>
          <w:rFonts w:ascii="Times New Roman" w:cs="Times New Roman" w:eastAsia="Times New Roman" w:hAnsi="Times New Roman"/>
          <w:sz w:val="18"/>
          <w:szCs w:val="18"/>
          <w:color w:val="auto"/>
        </w:rPr>
        <w:t>As of December 31, 2023 and December 31, 2022, we did not have any unfunded commitments to fund investments to new borrowers that were not current portfolio companies as of such date.</w:t>
      </w:r>
    </w:p>
    <w:p>
      <w:pPr>
        <w:spacing w:after="0" w:line="54" w:lineRule="exact"/>
        <w:rPr>
          <w:sz w:val="20"/>
          <w:szCs w:val="20"/>
          <w:color w:val="auto"/>
        </w:rPr>
      </w:pPr>
    </w:p>
    <w:p>
      <w:pPr>
        <w:ind w:right="280" w:firstLine="255"/>
        <w:spacing w:after="0" w:line="282" w:lineRule="auto"/>
        <w:rPr>
          <w:sz w:val="20"/>
          <w:szCs w:val="20"/>
          <w:color w:val="auto"/>
        </w:rPr>
      </w:pPr>
      <w:r>
        <w:rPr>
          <w:rFonts w:ascii="Times New Roman" w:cs="Times New Roman" w:eastAsia="Times New Roman" w:hAnsi="Times New Roman"/>
          <w:sz w:val="18"/>
          <w:szCs w:val="18"/>
          <w:color w:val="auto"/>
        </w:rPr>
        <w:t>From time to time, we may become a party to certain legal proceedings incidental to the normal course of our business. As of December 31, 2023, management was not aware of any material pending or threatened litigation that would require accounting recognition or financial statement disclosure.</w:t>
      </w:r>
    </w:p>
    <w:p>
      <w:pPr>
        <w:spacing w:after="0" w:line="54"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54" w:lineRule="exact"/>
        <w:rPr>
          <w:sz w:val="20"/>
          <w:szCs w:val="20"/>
          <w:color w:val="auto"/>
        </w:rPr>
      </w:pPr>
    </w:p>
    <w:p>
      <w:pPr>
        <w:ind w:right="20" w:firstLine="255"/>
        <w:spacing w:after="0" w:line="253" w:lineRule="auto"/>
        <w:rPr>
          <w:sz w:val="20"/>
          <w:szCs w:val="20"/>
          <w:color w:val="auto"/>
        </w:rPr>
      </w:pPr>
      <w:r>
        <w:rPr>
          <w:rFonts w:ascii="Times New Roman" w:cs="Times New Roman" w:eastAsia="Times New Roman" w:hAnsi="Times New Roman"/>
          <w:sz w:val="18"/>
          <w:szCs w:val="18"/>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or its affiliates for the allocable portion (subject to the review and approval of our Board) of expenses incurred by it in performing its obligations under the Administration Agreement, and the fees and expenses associated with performing compliance functions. Such reimbursable amounts include the allocable portion of the compensation of our Chief Compliance Officer, Chief Financial Officer and other professionals who provide operational and administrative services to us pursuant to the Administration Agreement. We reimburse the Adviser (or its affiliates) for the allocable portion of the compensation paid by the Adviser (or its affiliates) to such individuals based on a percentage of time those individuals devote, on an estimated basis, to our business and affairs. We may also reimburse the Adviser or its affiliates for the allocable portion of overhead expenses (including rent, office equipment and utilities) attributable thereto. Our Adviser also offers on our behalf significant managerial assistance to those portfolio companies to which we are required to offer to provide such assistance.</w:t>
      </w:r>
    </w:p>
    <w:p>
      <w:pPr>
        <w:spacing w:after="0" w:line="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5" w:name="page76"/>
    <w:bookmarkEnd w:id="75"/>
    <w:p>
      <w:pPr>
        <w:ind w:left="2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 summary of our contractual payment obligations as of December 31, 2023 is as follows:</w:t>
      </w:r>
    </w:p>
    <w:p>
      <w:pPr>
        <w:spacing w:after="0" w:line="232" w:lineRule="exact"/>
        <w:rPr>
          <w:sz w:val="20"/>
          <w:szCs w:val="20"/>
          <w:color w:val="auto"/>
        </w:rPr>
      </w:pPr>
    </w:p>
    <w:tbl>
      <w:tblPr>
        <w:tblLayout w:type="fixed"/>
        <w:tblInd w:w="420" w:type="dxa"/>
        <w:tblCellMar>
          <w:top w:w="0" w:type="dxa"/>
          <w:left w:w="0" w:type="dxa"/>
          <w:bottom w:w="0" w:type="dxa"/>
          <w:right w:w="0" w:type="dxa"/>
        </w:tblCellMar>
      </w:tblPr>
      <w:tr>
        <w:trPr>
          <w:trHeight w:val="187"/>
        </w:trPr>
        <w:tc>
          <w:tcPr>
            <w:tcW w:w="4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58"/>
        </w:trPr>
        <w:tc>
          <w:tcPr>
            <w:tcW w:w="4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ind w:right="159"/>
              <w:spacing w:after="0" w:line="158"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7"/>
        </w:trPr>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After 5 years</w:t>
            </w:r>
          </w:p>
        </w:tc>
        <w:tc>
          <w:tcPr>
            <w:tcW w:w="80" w:type="dxa"/>
            <w:vAlign w:val="bottom"/>
          </w:tcPr>
          <w:p>
            <w:pPr>
              <w:spacing w:after="0"/>
              <w:rPr>
                <w:sz w:val="16"/>
                <w:szCs w:val="16"/>
                <w:color w:val="auto"/>
              </w:rPr>
            </w:pPr>
          </w:p>
        </w:tc>
      </w:tr>
      <w:tr>
        <w:trPr>
          <w:trHeight w:val="237"/>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 Facility</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1,054.7</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1,054.7</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0"/>
                <w:szCs w:val="20"/>
                <w:color w:val="auto"/>
              </w:rPr>
            </w:pPr>
          </w:p>
        </w:tc>
      </w:tr>
      <w:tr>
        <w:trPr>
          <w:trHeight w:val="281"/>
        </w:trPr>
        <w:tc>
          <w:tcPr>
            <w:tcW w:w="41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 Contractual Obligations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1,248.0</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1,054.7</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-25400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-8255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-25400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-8255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-25400</wp:posOffset>
            </wp:positionV>
            <wp:extent cx="603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-8255</wp:posOffset>
            </wp:positionV>
            <wp:extent cx="603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603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6032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-25400</wp:posOffset>
            </wp:positionV>
            <wp:extent cx="596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-8255</wp:posOffset>
            </wp:positionV>
            <wp:extent cx="596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Distributions</w:t>
      </w:r>
    </w:p>
    <w:p>
      <w:pPr>
        <w:spacing w:after="0" w:line="119" w:lineRule="exact"/>
        <w:rPr>
          <w:sz w:val="20"/>
          <w:szCs w:val="20"/>
          <w:color w:val="auto"/>
        </w:rPr>
      </w:pPr>
    </w:p>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We have elected and qualified to be treated for U.S. federal income tax purposes as a RIC under subchapter M of the Code. To maintain RIC status, we must distribute (or be treated as distributing) in each taxable year dividends for tax purposes equal to at least 90 percent of the sum of our:</w:t>
      </w:r>
    </w:p>
    <w:p>
      <w:pPr>
        <w:spacing w:after="0" w:line="54" w:lineRule="exact"/>
        <w:rPr>
          <w:sz w:val="20"/>
          <w:szCs w:val="20"/>
          <w:color w:val="auto"/>
        </w:rPr>
      </w:pPr>
    </w:p>
    <w:p>
      <w:pPr>
        <w:ind w:left="520" w:right="180" w:hanging="257"/>
        <w:spacing w:after="0" w:line="282" w:lineRule="auto"/>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53" w:lineRule="exact"/>
        <w:rPr>
          <w:rFonts w:ascii="Times New Roman" w:cs="Times New Roman" w:eastAsia="Times New Roman" w:hAnsi="Times New Roman"/>
          <w:sz w:val="18"/>
          <w:szCs w:val="18"/>
          <w:color w:val="auto"/>
        </w:rPr>
      </w:pPr>
    </w:p>
    <w:p>
      <w:pPr>
        <w:ind w:left="520" w:right="240" w:hanging="257"/>
        <w:spacing w:after="0" w:line="282" w:lineRule="auto"/>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tax-exempt interest income (which is the excess of our gross tax-exempt interest income over certain disallowed deductions) for such taxable year.</w:t>
      </w:r>
    </w:p>
    <w:p>
      <w:pPr>
        <w:spacing w:after="0" w:line="162" w:lineRule="exact"/>
        <w:rPr>
          <w:sz w:val="20"/>
          <w:szCs w:val="20"/>
          <w:color w:val="auto"/>
        </w:rPr>
      </w:pPr>
    </w:p>
    <w:p>
      <w:pPr>
        <w:ind w:right="20" w:firstLine="255"/>
        <w:spacing w:after="0" w:line="282" w:lineRule="auto"/>
        <w:rPr>
          <w:sz w:val="20"/>
          <w:szCs w:val="20"/>
          <w:color w:val="auto"/>
        </w:rPr>
      </w:pPr>
      <w:r>
        <w:rPr>
          <w:rFonts w:ascii="Times New Roman" w:cs="Times New Roman" w:eastAsia="Times New Roman" w:hAnsi="Times New Roman"/>
          <w:sz w:val="18"/>
          <w:szCs w:val="18"/>
          <w:color w:val="auto"/>
        </w:rPr>
        <w:t>As a RIC, we (but not our shareholders) generally will not be subject to U.S. federal income tax on investment company taxable income and net capital gains that we distribute to our shareholders.</w:t>
      </w:r>
    </w:p>
    <w:p>
      <w:pPr>
        <w:spacing w:after="0" w:line="162" w:lineRule="exact"/>
        <w:rPr>
          <w:sz w:val="20"/>
          <w:szCs w:val="20"/>
          <w:color w:val="auto"/>
        </w:rPr>
      </w:pPr>
    </w:p>
    <w:p>
      <w:pPr>
        <w:jc w:val="both"/>
        <w:ind w:right="200" w:firstLine="255"/>
        <w:spacing w:after="0" w:line="266" w:lineRule="auto"/>
        <w:rPr>
          <w:sz w:val="20"/>
          <w:szCs w:val="20"/>
          <w:color w:val="auto"/>
        </w:rPr>
      </w:pPr>
      <w:r>
        <w:rPr>
          <w:rFonts w:ascii="Times New Roman" w:cs="Times New Roman" w:eastAsia="Times New Roman" w:hAnsi="Times New Roman"/>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76" w:lineRule="exact"/>
        <w:rPr>
          <w:sz w:val="20"/>
          <w:szCs w:val="20"/>
          <w:color w:val="auto"/>
        </w:rPr>
      </w:pPr>
    </w:p>
    <w:p>
      <w:pPr>
        <w:jc w:val="both"/>
        <w:ind w:right="100" w:firstLine="255"/>
        <w:spacing w:after="0" w:line="266" w:lineRule="auto"/>
        <w:rPr>
          <w:sz w:val="20"/>
          <w:szCs w:val="20"/>
          <w:color w:val="auto"/>
        </w:rPr>
      </w:pPr>
      <w:r>
        <w:rPr>
          <w:rFonts w:ascii="Times New Roman" w:cs="Times New Roman" w:eastAsia="Times New Roman" w:hAnsi="Times New Roman"/>
          <w:sz w:val="18"/>
          <w:szCs w:val="18"/>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68" w:lineRule="exact"/>
        <w:rPr>
          <w:sz w:val="20"/>
          <w:szCs w:val="20"/>
          <w:color w:val="auto"/>
        </w:rPr>
      </w:pPr>
    </w:p>
    <w:p>
      <w:pPr>
        <w:ind w:left="520" w:hanging="257"/>
        <w:spacing w:after="0"/>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or losses for that calendar year;</w:t>
      </w:r>
    </w:p>
    <w:p>
      <w:pPr>
        <w:spacing w:after="0" w:line="117" w:lineRule="exact"/>
        <w:rPr>
          <w:rFonts w:ascii="Times New Roman" w:cs="Times New Roman" w:eastAsia="Times New Roman" w:hAnsi="Times New Roman"/>
          <w:sz w:val="18"/>
          <w:szCs w:val="18"/>
          <w:color w:val="auto"/>
        </w:rPr>
      </w:pPr>
    </w:p>
    <w:p>
      <w:pPr>
        <w:ind w:left="520" w:right="100" w:hanging="257"/>
        <w:spacing w:after="0" w:line="282"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that calendar year; and</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any income or gains recognized, but not distributed, in preceding years.</w:t>
      </w:r>
    </w:p>
    <w:p>
      <w:pPr>
        <w:spacing w:after="0" w:line="225"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76" w:lineRule="exact"/>
        <w:rPr>
          <w:sz w:val="20"/>
          <w:szCs w:val="20"/>
          <w:color w:val="auto"/>
        </w:rPr>
      </w:pPr>
    </w:p>
    <w:p>
      <w:pPr>
        <w:jc w:val="both"/>
        <w:ind w:right="200" w:firstLine="255"/>
        <w:spacing w:after="0" w:line="266" w:lineRule="auto"/>
        <w:rPr>
          <w:sz w:val="20"/>
          <w:szCs w:val="20"/>
          <w:color w:val="auto"/>
        </w:rPr>
      </w:pPr>
      <w:r>
        <w:rPr>
          <w:rFonts w:ascii="Times New Roman" w:cs="Times New Roman" w:eastAsia="Times New Roman" w:hAnsi="Times New Roman"/>
          <w:sz w:val="18"/>
          <w:szCs w:val="18"/>
          <w:color w:val="auto"/>
        </w:rPr>
        <w:t>We intend to pay quarterly dividends to our shareholders out of assets legally available for distribution. All dividends will be paid at the discretion of our Board and will depend on our earnings, financial condition, maintenance of RIC status, compliance with applicable BDC regulations and such other factors as our Board may deem relevant from time to time.</w:t>
      </w:r>
    </w:p>
    <w:p>
      <w:pPr>
        <w:spacing w:after="0" w:line="176"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To the extent our current taxable earnings for a year fall below the total amount of our distributions for that year, a portion of those distributions may be deemed a return of capital to our shareholders for U.S. federal income tax purposes. Thus, the source of a distribution to our shareholders may be the original capital invested by the shareholder rather than our income or gains. Shareholders should read any written disclosure carefully and should not assume that the source of any distribution is our ordinary income or gains.</w:t>
      </w:r>
    </w:p>
    <w:p>
      <w:pPr>
        <w:spacing w:after="0" w:line="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76" w:name="page77"/>
    <w:bookmarkEnd w:id="76"/>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We have adopted an “opt out” dividend reinvestment plan for our common shareholders. As a result, if we declare a cash dividend or other distribution, each shareholder that has not “opted out” of our dividend reinvestment plan will have their dividends or distributions automatically reinvested in additional shares of our Common Shares rather than receiving cash dividends. Shareholders who receive distributions in the form of Common Shares will be subject to the same U.S. federal, state and local tax consequences as if they received cash distributions.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Related-Party Transactions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have entered into a number of business relationships with affiliated or related parties, including the following:</w:t>
      </w:r>
    </w:p>
    <w:p>
      <w:pPr>
        <w:spacing w:after="0" w:line="117" w:lineRule="exact"/>
        <w:rPr>
          <w:sz w:val="20"/>
          <w:szCs w:val="20"/>
          <w:color w:val="auto"/>
        </w:rPr>
      </w:pPr>
    </w:p>
    <w:p>
      <w:pPr>
        <w:ind w:left="520" w:hanging="257"/>
        <w:spacing w:after="0"/>
        <w:tabs>
          <w:tab w:leader="none" w:pos="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Advisory Agreement;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Administration Agreement.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 xml:space="preserve">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below. The critical accounting policies should be read in connection with our risk factors disclosed in </w:t>
      </w:r>
      <w:r>
        <w:rPr>
          <w:rFonts w:ascii="Times New Roman" w:cs="Times New Roman" w:eastAsia="Times New Roman" w:hAnsi="Times New Roman"/>
          <w:sz w:val="18"/>
          <w:szCs w:val="18"/>
          <w:i w:val="1"/>
          <w:iCs w:val="1"/>
          <w:color w:val="auto"/>
        </w:rPr>
        <w:t>"ITEM 1A. RISK FACTORS."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at Fair Value</w:t>
      </w:r>
    </w:p>
    <w:p>
      <w:pPr>
        <w:spacing w:after="0" w:line="121"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83"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Investments for which market quotations are readily available are typically valued at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our Board, based on, among other things, the input of the Adviser, our Audit Committee and independent third-party valuation firms engaged at the direction of the Board.</w:t>
      </w:r>
    </w:p>
    <w:p>
      <w:pPr>
        <w:spacing w:after="0" w:line="183" w:lineRule="exact"/>
        <w:rPr>
          <w:sz w:val="20"/>
          <w:szCs w:val="20"/>
          <w:color w:val="auto"/>
        </w:rPr>
      </w:pPr>
    </w:p>
    <w:p>
      <w:pPr>
        <w:ind w:right="620" w:firstLine="255"/>
        <w:spacing w:after="0" w:line="282" w:lineRule="auto"/>
        <w:rPr>
          <w:sz w:val="20"/>
          <w:szCs w:val="20"/>
          <w:color w:val="auto"/>
        </w:rPr>
      </w:pPr>
      <w:r>
        <w:rPr>
          <w:rFonts w:ascii="Times New Roman" w:cs="Times New Roman" w:eastAsia="Times New Roman" w:hAnsi="Times New Roman"/>
          <w:sz w:val="18"/>
          <w:szCs w:val="18"/>
          <w:color w:val="auto"/>
        </w:rPr>
        <w:t>As part of the valuation process, the Board takes into account relevant factors in determining the fair value of our investments, including and in combination of:</w:t>
      </w:r>
    </w:p>
    <w:p>
      <w:pPr>
        <w:spacing w:after="0" w:line="54" w:lineRule="exact"/>
        <w:rPr>
          <w:sz w:val="20"/>
          <w:szCs w:val="20"/>
          <w:color w:val="auto"/>
        </w:rPr>
      </w:pPr>
    </w:p>
    <w:p>
      <w:pPr>
        <w:ind w:left="520" w:hanging="257"/>
        <w:spacing w:after="0"/>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enterprise value of a portfolio company (that is, the total value of the portfolio company’s net debt and equity);</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and realizable value of any collateral;</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portfolio company’s ability to make payments based on its earnings and cash flow;</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the portfolio company does business;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comparison of the portfolio company’s securities to any similar publicly traded securities; and</w:t>
      </w:r>
    </w:p>
    <w:p>
      <w:pPr>
        <w:spacing w:after="0" w:line="117" w:lineRule="exact"/>
        <w:rPr>
          <w:rFonts w:ascii="Times New Roman" w:cs="Times New Roman" w:eastAsia="Times New Roman" w:hAnsi="Times New Roman"/>
          <w:sz w:val="18"/>
          <w:szCs w:val="18"/>
          <w:color w:val="auto"/>
        </w:rPr>
      </w:pPr>
    </w:p>
    <w:p>
      <w:pPr>
        <w:ind w:left="520" w:right="280" w:hanging="257"/>
        <w:spacing w:after="0" w:line="282" w:lineRule="auto"/>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changes in the interest rate environment and the credit markets that may affect the price at which similar investments may be made in the future.</w:t>
      </w:r>
    </w:p>
    <w:p>
      <w:pPr>
        <w:spacing w:after="0" w:line="162" w:lineRule="exact"/>
        <w:rPr>
          <w:sz w:val="20"/>
          <w:szCs w:val="20"/>
          <w:color w:val="auto"/>
        </w:rPr>
      </w:pPr>
    </w:p>
    <w:p>
      <w:pPr>
        <w:ind w:right="480" w:firstLine="255"/>
        <w:spacing w:after="0" w:line="282" w:lineRule="auto"/>
        <w:rPr>
          <w:sz w:val="20"/>
          <w:szCs w:val="20"/>
          <w:color w:val="auto"/>
        </w:rPr>
      </w:pPr>
      <w:r>
        <w:rPr>
          <w:rFonts w:ascii="Times New Roman" w:cs="Times New Roman" w:eastAsia="Times New Roman" w:hAnsi="Times New Roman"/>
          <w:sz w:val="18"/>
          <w:szCs w:val="18"/>
          <w:color w:val="auto"/>
        </w:rPr>
        <w:t>When an external event, such as a purchase transaction, public offering or subsequent equity sale occurs, the Board considers whether the pricing indicated by the external event corroborates our valuation.</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77" w:name="page78"/>
    <w:bookmarkEnd w:id="77"/>
    <w:p>
      <w:pPr>
        <w:ind w:left="260"/>
        <w:spacing w:after="0"/>
        <w:rPr>
          <w:sz w:val="20"/>
          <w:szCs w:val="20"/>
          <w:color w:val="auto"/>
        </w:rPr>
      </w:pPr>
      <w:r>
        <w:rPr>
          <w:rFonts w:ascii="Times New Roman" w:cs="Times New Roman" w:eastAsia="Times New Roman" w:hAnsi="Times New Roman"/>
          <w:sz w:val="18"/>
          <w:szCs w:val="18"/>
          <w:color w:val="auto"/>
        </w:rPr>
        <w:t>The Board undertakes a multi-step valuation process, which includes, among other procedures, the following:</w:t>
      </w:r>
    </w:p>
    <w:p>
      <w:pPr>
        <w:spacing w:after="0" w:line="117" w:lineRule="exact"/>
        <w:rPr>
          <w:sz w:val="20"/>
          <w:szCs w:val="20"/>
          <w:color w:val="auto"/>
        </w:rPr>
      </w:pPr>
    </w:p>
    <w:p>
      <w:pPr>
        <w:ind w:left="520" w:right="60" w:hanging="257"/>
        <w:spacing w:after="0" w:line="282" w:lineRule="auto"/>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53" w:lineRule="exact"/>
        <w:rPr>
          <w:rFonts w:ascii="Times New Roman" w:cs="Times New Roman" w:eastAsia="Times New Roman" w:hAnsi="Times New Roman"/>
          <w:sz w:val="18"/>
          <w:szCs w:val="18"/>
          <w:color w:val="auto"/>
        </w:rPr>
      </w:pPr>
    </w:p>
    <w:p>
      <w:pPr>
        <w:ind w:left="520" w:right="380" w:hanging="257"/>
        <w:spacing w:after="0" w:line="282" w:lineRule="auto"/>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management reviews the preliminary valuations with the investment professionals. Agreed-upon valuation recommendations are presented to the Audit Committee.</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reviews the valuations presented and recommends values for each investment to the Board.</w:t>
      </w:r>
    </w:p>
    <w:p>
      <w:pPr>
        <w:spacing w:after="0" w:line="117" w:lineRule="exact"/>
        <w:rPr>
          <w:rFonts w:ascii="Times New Roman" w:cs="Times New Roman" w:eastAsia="Times New Roman" w:hAnsi="Times New Roman"/>
          <w:sz w:val="18"/>
          <w:szCs w:val="18"/>
          <w:color w:val="auto"/>
        </w:rPr>
      </w:pPr>
    </w:p>
    <w:p>
      <w:pPr>
        <w:ind w:left="520" w:right="80" w:hanging="257"/>
        <w:spacing w:after="0" w:line="266" w:lineRule="auto"/>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 party valuation firms engaged at the direction of the Board.</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conduct this valuation process on a quarterly basis.</w:t>
      </w:r>
    </w:p>
    <w:p>
      <w:pPr>
        <w:spacing w:after="0" w:line="225"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8"/>
          <w:szCs w:val="18"/>
          <w:color w:val="auto"/>
        </w:rPr>
        <w:t>The Board has engaged independent third-party valuation firms to perform certain limited procedures that the Board has identified and requested them to perform in connection with the valuation process. At December 31, 2023, the independent third-party valuation firms performed their procedures over substantially all of our investments. Upon completion of such limited procedures, the third-party valuation firms determined that the fair value, as determined by the Board, of those investments subjected to their limited procedures, appeared reasonable.</w:t>
      </w:r>
    </w:p>
    <w:p>
      <w:pPr>
        <w:spacing w:after="0" w:line="178" w:lineRule="exact"/>
        <w:rPr>
          <w:sz w:val="20"/>
          <w:szCs w:val="20"/>
          <w:color w:val="auto"/>
        </w:rPr>
      </w:pPr>
    </w:p>
    <w:p>
      <w:pPr>
        <w:ind w:right="180" w:firstLine="255"/>
        <w:spacing w:after="0" w:line="255" w:lineRule="auto"/>
        <w:rPr>
          <w:sz w:val="20"/>
          <w:szCs w:val="20"/>
          <w:color w:val="auto"/>
        </w:rPr>
      </w:pPr>
      <w:r>
        <w:rPr>
          <w:rFonts w:ascii="Times New Roman" w:cs="Times New Roman" w:eastAsia="Times New Roman" w:hAnsi="Times New Roman"/>
          <w:sz w:val="18"/>
          <w:szCs w:val="18"/>
          <w:color w:val="auto"/>
        </w:rPr>
        <w:t xml:space="preserve">We apply Financial Accounting Standards Board Accounting Standards Codification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we consider our principal market to be the market that has the greatest volume and level of activity. ASC Topic 820 specifies a fair value hierarchy that prioritizes and ranks the level of observability of inputs used in determination of fair value. In accordance with ASC Topic 820, these levels are summarized below:</w:t>
      </w:r>
    </w:p>
    <w:p>
      <w:pPr>
        <w:spacing w:after="0" w:line="79" w:lineRule="exact"/>
        <w:rPr>
          <w:sz w:val="20"/>
          <w:szCs w:val="20"/>
          <w:color w:val="auto"/>
        </w:rPr>
      </w:pPr>
    </w:p>
    <w:p>
      <w:pPr>
        <w:ind w:left="520" w:hanging="257"/>
        <w:spacing w:after="0"/>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based on quoted prices in active markets for identical assets or liabilities that we have the ability to access.</w:t>
      </w:r>
    </w:p>
    <w:p>
      <w:pPr>
        <w:spacing w:after="0" w:line="117" w:lineRule="exact"/>
        <w:rPr>
          <w:rFonts w:ascii="Times New Roman" w:cs="Times New Roman" w:eastAsia="Times New Roman" w:hAnsi="Times New Roman"/>
          <w:sz w:val="18"/>
          <w:szCs w:val="18"/>
          <w:color w:val="auto"/>
        </w:rPr>
      </w:pPr>
    </w:p>
    <w:p>
      <w:pPr>
        <w:ind w:left="520" w:right="580" w:hanging="257"/>
        <w:spacing w:after="0" w:line="282" w:lineRule="auto"/>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based on quoted prices in markets that are not active or for which all significant inputs are observable, either directly or indirectly.</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Transfers between levels, if any, are recognized at the beginning of the quarter in which the transfers occur. In addition to using the above inputs in investment valuations, we apply the valuation policy approved by our Board that is consistent with ASC Topic 820. Consistent with the valuation policy, we evaluate the source of inputs, including any markets in which our investments are trading (or any markets in which securities with similar attributes are trading), in determining fair value. When a security is valued based on prices provided by reputable dealers or pricing services (that is, broker quotes), we subject those prices to various additional criteria in making the determination as to whether a particular investment would qualify for treatment as a Level 2 or Level 3 investment. For example, we review pricing and methodologies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92"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Our accounting policy on the fair value of our investments is critical because the determination of fair value involves subjective judgments and estimates. Accordingly, the notes to our consolidated financial statements express the uncertainty with respect to the possible effect of these valuations, and any change in these valuations, on the consolidated financial statements.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See Note 5 to our consolidated financial statements included in this Form 10-K for more information on the fair value of our investments.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Dividend Income Recognition</w:t>
      </w:r>
    </w:p>
    <w:p>
      <w:pPr>
        <w:spacing w:after="0" w:line="121"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8" w:name="page79"/>
    <w:bookmarkEnd w:id="78"/>
    <w:p>
      <w:pPr>
        <w:ind w:right="180" w:firstLine="255"/>
        <w:spacing w:after="0" w:line="282" w:lineRule="auto"/>
        <w:rPr>
          <w:sz w:val="20"/>
          <w:szCs w:val="20"/>
          <w:color w:val="auto"/>
        </w:rPr>
      </w:pPr>
      <w:r>
        <w:rPr>
          <w:rFonts w:ascii="Times New Roman" w:cs="Times New Roman" w:eastAsia="Times New Roman" w:hAnsi="Times New Roman"/>
          <w:sz w:val="18"/>
          <w:szCs w:val="18"/>
          <w:color w:val="auto"/>
        </w:rPr>
        <w:t>Unless providing services in connection with an investment, such as syndication, structuring or diligence, all or a portion of any loan fees received by us will be deferred and amortized over the investment’s life using the effective interest method.</w:t>
      </w:r>
    </w:p>
    <w:p>
      <w:pPr>
        <w:spacing w:after="0" w:line="162"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87"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76"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Our accounting policy on interest and dividend income recognition is critical because it involves the primary source of our revenue and accordingly is significant to the financial results as disclosed in our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Taxes</w:t>
      </w:r>
    </w:p>
    <w:p>
      <w:pPr>
        <w:spacing w:after="0" w:line="121"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8"/>
          <w:szCs w:val="18"/>
          <w:color w:val="auto"/>
        </w:rPr>
        <w:t>We have elected to be treated as a BDC under the 1940 Act. We have also elected to be treated as a RIC under the Code. So long as we maintain our status as a RIC, we will generally not pay corporate-level U.S. federal income or excise taxes on any ordinary income or capital gains that we distribute at least annually to our shareholders as dividends. As a result, any tax liability related to income earned and distributed by us represents obligations of our shareholders and will not be reflected in our consolidated financial statements.</w:t>
      </w:r>
    </w:p>
    <w:p>
      <w:pPr>
        <w:spacing w:after="0" w:line="180" w:lineRule="exact"/>
        <w:rPr>
          <w:sz w:val="20"/>
          <w:szCs w:val="20"/>
          <w:color w:val="auto"/>
        </w:rPr>
      </w:pPr>
    </w:p>
    <w:p>
      <w:pPr>
        <w:ind w:right="60" w:firstLine="255"/>
        <w:spacing w:after="0" w:line="255" w:lineRule="auto"/>
        <w:rPr>
          <w:sz w:val="20"/>
          <w:szCs w:val="20"/>
          <w:color w:val="auto"/>
        </w:rPr>
      </w:pPr>
      <w:r>
        <w:rPr>
          <w:rFonts w:ascii="Times New Roman" w:cs="Times New Roman" w:eastAsia="Times New Roman" w:hAnsi="Times New Roman"/>
          <w:sz w:val="18"/>
          <w:szCs w:val="18"/>
          <w:color w:val="auto"/>
        </w:rPr>
        <w:t>We evaluate tax positions taken or expected to be taken in the course of preparing our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 As of December 31, 2023, the Company did not have any uncertain tax positions that met the recognition or measurement criteria, nor did the Company have any unrecognized tax benefits. Our 2022 tax year return remains subject to examination by the relevant federal, state, and local tax authorities.</w:t>
      </w:r>
    </w:p>
    <w:p>
      <w:pPr>
        <w:spacing w:after="0" w:line="189"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Our accounting policy on income taxes is critical because if we are unable to maintain our status as a RIC, we would be required to record a provision for corporate-level U.S. federal income taxes which may be significant to our financial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are subject to financial market risks, including valuation risk, interest rate risk and currency risk.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Risk</w:t>
      </w:r>
    </w:p>
    <w:p>
      <w:pPr>
        <w:spacing w:after="0" w:line="121"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20" w:firstLine="255"/>
        <w:spacing w:after="0" w:line="289" w:lineRule="auto"/>
        <w:rPr>
          <w:sz w:val="20"/>
          <w:szCs w:val="20"/>
          <w:color w:val="auto"/>
        </w:rPr>
      </w:pPr>
      <w:r>
        <w:rPr>
          <w:rFonts w:ascii="Times New Roman" w:cs="Times New Roman" w:eastAsia="Times New Roman" w:hAnsi="Times New Roman"/>
          <w:sz w:val="17"/>
          <w:szCs w:val="17"/>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58" w:lineRule="exact"/>
        <w:rPr>
          <w:sz w:val="20"/>
          <w:szCs w:val="20"/>
          <w:color w:val="auto"/>
        </w:rPr>
      </w:pPr>
    </w:p>
    <w:p>
      <w:pPr>
        <w:ind w:right="520" w:firstLine="255"/>
        <w:spacing w:after="0" w:line="266" w:lineRule="auto"/>
        <w:rPr>
          <w:sz w:val="20"/>
          <w:szCs w:val="20"/>
          <w:color w:val="auto"/>
        </w:rPr>
      </w:pPr>
      <w:r>
        <w:rPr>
          <w:rFonts w:ascii="Times New Roman" w:cs="Times New Roman" w:eastAsia="Times New Roman" w:hAnsi="Times New Roman"/>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9" w:name="page80"/>
    <w:bookmarkEnd w:id="79"/>
    <w:p>
      <w:pPr>
        <w:ind w:right="540" w:firstLine="255"/>
        <w:spacing w:after="0" w:line="282" w:lineRule="auto"/>
        <w:rPr>
          <w:sz w:val="20"/>
          <w:szCs w:val="20"/>
          <w:color w:val="auto"/>
        </w:rPr>
      </w:pPr>
      <w:r>
        <w:rPr>
          <w:rFonts w:ascii="Times New Roman" w:cs="Times New Roman" w:eastAsia="Times New Roman" w:hAnsi="Times New Roman"/>
          <w:sz w:val="18"/>
          <w:szCs w:val="18"/>
          <w:color w:val="auto"/>
        </w:rPr>
        <w:t>As of December 31, 2023, 99.9% of our debt investments based on fair value in our portfolio bore interest at floating rates, with 100.0% of these subject to interest rate floors. Our Credit Facilities also bear interest at floating rates.</w:t>
      </w:r>
    </w:p>
    <w:p>
      <w:pPr>
        <w:spacing w:after="0" w:line="162"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Assuming that our consolidated balance sheet as of December 31, 2023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85" w:lineRule="exact"/>
        <w:rPr>
          <w:sz w:val="20"/>
          <w:szCs w:val="20"/>
          <w:color w:val="auto"/>
        </w:rPr>
      </w:pPr>
    </w:p>
    <w:tbl>
      <w:tblPr>
        <w:tblLayout w:type="fixed"/>
        <w:tblInd w:w="800" w:type="dxa"/>
        <w:tblCellMar>
          <w:top w:w="0" w:type="dxa"/>
          <w:left w:w="0" w:type="dxa"/>
          <w:bottom w:w="0" w:type="dxa"/>
          <w:right w:w="0" w:type="dxa"/>
        </w:tblCellMar>
      </w:tblPr>
      <w:tr>
        <w:trPr>
          <w:trHeight w:val="173"/>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Basis Point Change</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280" w:type="dxa"/>
            <w:vAlign w:val="bottom"/>
          </w:tcPr>
          <w:p>
            <w:pPr>
              <w:spacing w:after="0"/>
              <w:rPr>
                <w:sz w:val="16"/>
                <w:szCs w:val="16"/>
                <w:color w:val="auto"/>
              </w:rPr>
            </w:pPr>
          </w:p>
        </w:tc>
        <w:tc>
          <w:tcPr>
            <w:tcW w:w="1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Interest Income</w:t>
            </w:r>
          </w:p>
        </w:tc>
        <w:tc>
          <w:tcPr>
            <w:tcW w:w="100" w:type="dxa"/>
            <w:vAlign w:val="bottom"/>
          </w:tcPr>
          <w:p>
            <w:pPr>
              <w:spacing w:after="0"/>
              <w:rPr>
                <w:sz w:val="16"/>
                <w:szCs w:val="16"/>
                <w:color w:val="auto"/>
              </w:rPr>
            </w:pPr>
          </w:p>
        </w:tc>
      </w:tr>
      <w:tr>
        <w:trPr>
          <w:trHeight w:val="237"/>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Up 300 basis points</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shd w:val="clear" w:color="auto" w:fill="CFF0FC"/>
          </w:tcPr>
          <w:p>
            <w:pPr>
              <w:spacing w:after="0"/>
              <w:rPr>
                <w:sz w:val="20"/>
                <w:szCs w:val="20"/>
                <w:color w:val="auto"/>
              </w:rPr>
            </w:pPr>
          </w:p>
        </w:tc>
      </w:tr>
      <w:tr>
        <w:trPr>
          <w:trHeight w:val="23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 200 basis points</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20"/>
                <w:szCs w:val="20"/>
                <w:color w:val="auto"/>
              </w:rPr>
            </w:pPr>
          </w:p>
        </w:tc>
      </w:tr>
      <w:tr>
        <w:trPr>
          <w:trHeight w:val="247"/>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Up 100 basis points</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FF0FC"/>
          </w:tcPr>
          <w:p>
            <w:pPr>
              <w:spacing w:after="0"/>
              <w:rPr>
                <w:sz w:val="21"/>
                <w:szCs w:val="21"/>
                <w:color w:val="auto"/>
              </w:rPr>
            </w:pPr>
          </w:p>
        </w:tc>
      </w:tr>
      <w:tr>
        <w:trPr>
          <w:trHeight w:val="23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Down 25 basis points</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(3.1 )</w:t>
            </w: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(4.6 )</w:t>
            </w:r>
          </w:p>
        </w:tc>
      </w:tr>
      <w:tr>
        <w:trPr>
          <w:trHeight w:val="247"/>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Down 50 basis points</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(15.3 )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(6.2 )</w:t>
            </w:r>
          </w:p>
        </w:tc>
        <w:tc>
          <w:tcPr>
            <w:tcW w:w="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(9.1 )</w:t>
            </w:r>
          </w:p>
        </w:tc>
      </w:tr>
    </w:tbl>
    <w:p>
      <w:pPr>
        <w:spacing w:after="0" w:line="198"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76" w:lineRule="exact"/>
        <w:rPr>
          <w:sz w:val="20"/>
          <w:szCs w:val="20"/>
          <w:color w:val="auto"/>
        </w:rPr>
      </w:pPr>
    </w:p>
    <w:p>
      <w:pPr>
        <w:ind w:right="240" w:firstLine="255"/>
        <w:spacing w:after="0" w:line="261" w:lineRule="auto"/>
        <w:rPr>
          <w:sz w:val="20"/>
          <w:szCs w:val="20"/>
          <w:color w:val="auto"/>
        </w:rPr>
      </w:pPr>
      <w:r>
        <w:rPr>
          <w:rFonts w:ascii="Times New Roman" w:cs="Times New Roman" w:eastAsia="Times New Roman" w:hAnsi="Times New Roman"/>
          <w:sz w:val="18"/>
          <w:szCs w:val="18"/>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Risk</w:t>
      </w:r>
    </w:p>
    <w:p>
      <w:pPr>
        <w:spacing w:after="0" w:line="121"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Credit Facilities.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Credit Facilities, we may seek to utilize interest rate derivatives to hedge our exposure to changes in the associated rate.</w:t>
      </w: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ITEM 8. CONSOLIDATED FINANCIAL STATEMENTS AND SUPPLEMENTARY DATA</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178"/>
        </w:trPr>
        <w:tc>
          <w:tcPr>
            <w:tcW w:w="1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183"/>
        </w:trPr>
        <w:tc>
          <w:tcPr>
            <w:tcW w:w="4240" w:type="dxa"/>
            <w:vAlign w:val="bottom"/>
            <w:tcBorders>
              <w:bottom w:val="single" w:sz="8" w:color="0000FF"/>
            </w:tcBorders>
            <w:gridSpan w:val="4"/>
          </w:tcPr>
          <w:p>
            <w:pPr>
              <w:ind w:left="20"/>
              <w:spacing w:after="0" w:line="183"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5880" w:type="dxa"/>
            <w:vAlign w:val="bottom"/>
            <w:gridSpan w:val="6"/>
          </w:tcPr>
          <w:p>
            <w:pPr>
              <w:spacing w:after="0"/>
              <w:rPr>
                <w:sz w:val="15"/>
                <w:szCs w:val="15"/>
                <w:color w:val="auto"/>
              </w:rPr>
            </w:pPr>
          </w:p>
        </w:tc>
        <w:tc>
          <w:tcPr>
            <w:tcW w:w="1120" w:type="dxa"/>
            <w:vAlign w:val="bottom"/>
          </w:tcPr>
          <w:p>
            <w:pPr>
              <w:jc w:val="right"/>
              <w:spacing w:after="0" w:line="183" w:lineRule="exact"/>
              <w:rPr>
                <w:sz w:val="20"/>
                <w:szCs w:val="20"/>
                <w:color w:val="auto"/>
              </w:rPr>
            </w:pPr>
            <w:r>
              <w:rPr>
                <w:rFonts w:ascii="Times New Roman" w:cs="Times New Roman" w:eastAsia="Times New Roman" w:hAnsi="Times New Roman"/>
                <w:sz w:val="18"/>
                <w:szCs w:val="18"/>
                <w:color w:val="auto"/>
              </w:rPr>
              <w:t>F-2</w:t>
            </w:r>
          </w:p>
        </w:tc>
      </w:tr>
      <w:tr>
        <w:trPr>
          <w:trHeight w:val="372"/>
        </w:trPr>
        <w:tc>
          <w:tcPr>
            <w:tcW w:w="4600" w:type="dxa"/>
            <w:vAlign w:val="bottom"/>
            <w:tcBorders>
              <w:bottom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w w:val="99"/>
              </w:rPr>
              <w:t>Consolidated Balance Sheet as of December 31, 2023 and 2022</w:t>
            </w:r>
          </w:p>
        </w:tc>
        <w:tc>
          <w:tcPr>
            <w:tcW w:w="5520" w:type="dxa"/>
            <w:vAlign w:val="bottom"/>
            <w:gridSpan w:val="5"/>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r>
      <w:tr>
        <w:trPr>
          <w:trHeight w:val="372"/>
        </w:trPr>
        <w:tc>
          <w:tcPr>
            <w:tcW w:w="9820" w:type="dxa"/>
            <w:vAlign w:val="bottom"/>
            <w:tcBorders>
              <w:bottom w:val="single" w:sz="8" w:color="0000EE"/>
            </w:tcBorders>
            <w:gridSpan w:val="8"/>
          </w:tcPr>
          <w:p>
            <w:pPr>
              <w:ind w:left="20"/>
              <w:spacing w:after="0"/>
              <w:rPr>
                <w:sz w:val="20"/>
                <w:szCs w:val="20"/>
                <w:color w:val="auto"/>
              </w:rPr>
            </w:pPr>
            <w:r>
              <w:rPr>
                <w:rFonts w:ascii="Times New Roman" w:cs="Times New Roman" w:eastAsia="Times New Roman" w:hAnsi="Times New Roman"/>
                <w:sz w:val="18"/>
                <w:szCs w:val="18"/>
                <w:color w:val="0000FF"/>
              </w:rPr>
              <w:t>Consolidated Statement of Operations for the period from April 5, 2022 (Inception) through December 31, 2022 and for the Year ended</w:t>
            </w:r>
          </w:p>
        </w:tc>
        <w:tc>
          <w:tcPr>
            <w:tcW w:w="300" w:type="dxa"/>
            <w:vAlign w:val="bottom"/>
            <w:gridSpan w:val="2"/>
          </w:tcPr>
          <w:p>
            <w:pPr>
              <w:spacing w:after="0"/>
              <w:rPr>
                <w:sz w:val="24"/>
                <w:szCs w:val="24"/>
                <w:color w:val="auto"/>
              </w:rPr>
            </w:pPr>
          </w:p>
        </w:tc>
        <w:tc>
          <w:tcPr>
            <w:tcW w:w="1120" w:type="dxa"/>
            <w:vAlign w:val="bottom"/>
          </w:tcPr>
          <w:p>
            <w:pPr>
              <w:spacing w:after="0"/>
              <w:rPr>
                <w:sz w:val="24"/>
                <w:szCs w:val="24"/>
                <w:color w:val="auto"/>
              </w:rPr>
            </w:pPr>
          </w:p>
        </w:tc>
      </w:tr>
      <w:tr>
        <w:trPr>
          <w:trHeight w:val="196"/>
        </w:trPr>
        <w:tc>
          <w:tcPr>
            <w:tcW w:w="1440" w:type="dxa"/>
            <w:vAlign w:val="bottom"/>
            <w:tcBorders>
              <w:bottom w:val="single" w:sz="8" w:color="0000FF"/>
            </w:tcBorders>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December 31, 2023</w:t>
            </w:r>
          </w:p>
        </w:tc>
        <w:tc>
          <w:tcPr>
            <w:tcW w:w="8680" w:type="dxa"/>
            <w:vAlign w:val="bottom"/>
            <w:gridSpan w:val="9"/>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w:t>
            </w:r>
          </w:p>
        </w:tc>
      </w:tr>
      <w:tr>
        <w:trPr>
          <w:trHeight w:val="372"/>
        </w:trPr>
        <w:tc>
          <w:tcPr>
            <w:tcW w:w="6440" w:type="dxa"/>
            <w:vAlign w:val="bottom"/>
            <w:tcBorders>
              <w:bottom w:val="single" w:sz="8" w:color="0000EE"/>
            </w:tcBorders>
            <w:gridSpan w:val="6"/>
          </w:tcPr>
          <w:p>
            <w:pPr>
              <w:ind w:left="20"/>
              <w:spacing w:after="0"/>
              <w:rPr>
                <w:sz w:val="20"/>
                <w:szCs w:val="20"/>
                <w:color w:val="auto"/>
              </w:rPr>
            </w:pPr>
            <w:r>
              <w:rPr>
                <w:rFonts w:ascii="Times New Roman" w:cs="Times New Roman" w:eastAsia="Times New Roman" w:hAnsi="Times New Roman"/>
                <w:sz w:val="18"/>
                <w:szCs w:val="18"/>
                <w:color w:val="0000FF"/>
              </w:rPr>
              <w:t>Consolidated Schedule of Investments as of December 31, 2023 and December 31, 2022</w:t>
            </w:r>
          </w:p>
        </w:tc>
        <w:tc>
          <w:tcPr>
            <w:tcW w:w="3680" w:type="dxa"/>
            <w:vAlign w:val="bottom"/>
            <w:gridSpan w:val="4"/>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r>
      <w:tr>
        <w:trPr>
          <w:trHeight w:val="371"/>
        </w:trPr>
        <w:tc>
          <w:tcPr>
            <w:tcW w:w="980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rPr>
              <w:t>Consolidated Statement of Changes in Net Assets for the period from April 5, 2022 (Inception) through December 31, 2022 and for the</w:t>
            </w:r>
          </w:p>
        </w:tc>
        <w:tc>
          <w:tcPr>
            <w:tcW w:w="320" w:type="dxa"/>
            <w:vAlign w:val="bottom"/>
            <w:gridSpan w:val="3"/>
          </w:tcPr>
          <w:p>
            <w:pPr>
              <w:spacing w:after="0"/>
              <w:rPr>
                <w:sz w:val="24"/>
                <w:szCs w:val="24"/>
                <w:color w:val="auto"/>
              </w:rPr>
            </w:pPr>
          </w:p>
        </w:tc>
        <w:tc>
          <w:tcPr>
            <w:tcW w:w="1120" w:type="dxa"/>
            <w:vAlign w:val="bottom"/>
          </w:tcPr>
          <w:p>
            <w:pPr>
              <w:spacing w:after="0"/>
              <w:rPr>
                <w:sz w:val="24"/>
                <w:szCs w:val="24"/>
                <w:color w:val="auto"/>
              </w:rPr>
            </w:pPr>
          </w:p>
        </w:tc>
      </w:tr>
      <w:tr>
        <w:trPr>
          <w:trHeight w:val="196"/>
        </w:trPr>
        <w:tc>
          <w:tcPr>
            <w:tcW w:w="10120" w:type="dxa"/>
            <w:vAlign w:val="bottom"/>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FF"/>
              </w:rPr>
              <w:t>Year ended December 31, 2023</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F-10</w:t>
            </w:r>
          </w:p>
        </w:tc>
      </w:tr>
      <w:tr>
        <w:trPr>
          <w:trHeight w:val="20"/>
        </w:trPr>
        <w:tc>
          <w:tcPr>
            <w:tcW w:w="230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71"/>
        </w:trPr>
        <w:tc>
          <w:tcPr>
            <w:tcW w:w="9880" w:type="dxa"/>
            <w:vAlign w:val="bottom"/>
            <w:tcBorders>
              <w:bottom w:val="single" w:sz="8" w:color="0000EE"/>
            </w:tcBorders>
            <w:gridSpan w:val="9"/>
          </w:tcPr>
          <w:p>
            <w:pPr>
              <w:ind w:left="20"/>
              <w:spacing w:after="0"/>
              <w:rPr>
                <w:sz w:val="20"/>
                <w:szCs w:val="20"/>
                <w:color w:val="auto"/>
              </w:rPr>
            </w:pPr>
            <w:r>
              <w:rPr>
                <w:rFonts w:ascii="Times New Roman" w:cs="Times New Roman" w:eastAsia="Times New Roman" w:hAnsi="Times New Roman"/>
                <w:sz w:val="18"/>
                <w:szCs w:val="18"/>
                <w:color w:val="0000FF"/>
              </w:rPr>
              <w:t>Consolidated Statement of Cash Flows for the period from April 5, 2022 (Inception) through December 31, 2022 and for the Year ended</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6"/>
        </w:trPr>
        <w:tc>
          <w:tcPr>
            <w:tcW w:w="1440" w:type="dxa"/>
            <w:vAlign w:val="bottom"/>
            <w:tcBorders>
              <w:bottom w:val="single" w:sz="8" w:color="0000FF"/>
            </w:tcBorders>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December 31, 2023</w:t>
            </w:r>
          </w:p>
        </w:tc>
        <w:tc>
          <w:tcPr>
            <w:tcW w:w="8680" w:type="dxa"/>
            <w:vAlign w:val="bottom"/>
            <w:gridSpan w:val="9"/>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F-11</w:t>
            </w:r>
          </w:p>
        </w:tc>
      </w:tr>
      <w:tr>
        <w:trPr>
          <w:trHeight w:val="372"/>
        </w:trPr>
        <w:tc>
          <w:tcPr>
            <w:tcW w:w="1012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F-12</w:t>
            </w:r>
          </w:p>
        </w:tc>
      </w:tr>
      <w:tr>
        <w:trPr>
          <w:trHeight w:val="898"/>
        </w:trPr>
        <w:tc>
          <w:tcPr>
            <w:tcW w:w="144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520" w:type="dxa"/>
            <w:vAlign w:val="bottom"/>
            <w:gridSpan w:val="5"/>
          </w:tcPr>
          <w:p>
            <w:pPr>
              <w:ind w:left="900"/>
              <w:spacing w:after="0"/>
              <w:rPr>
                <w:sz w:val="20"/>
                <w:szCs w:val="20"/>
                <w:color w:val="auto"/>
              </w:rPr>
            </w:pPr>
            <w:r>
              <w:rPr>
                <w:rFonts w:ascii="Times New Roman" w:cs="Times New Roman" w:eastAsia="Times New Roman" w:hAnsi="Times New Roman"/>
                <w:sz w:val="18"/>
                <w:szCs w:val="18"/>
                <w:color w:val="auto"/>
              </w:rPr>
              <w:t>F-1</w:t>
            </w:r>
          </w:p>
        </w:tc>
        <w:tc>
          <w:tcPr>
            <w:tcW w:w="1120" w:type="dxa"/>
            <w:vAlign w:val="bottom"/>
          </w:tcPr>
          <w:p>
            <w:pPr>
              <w:spacing w:after="0"/>
              <w:rPr>
                <w:sz w:val="24"/>
                <w:szCs w:val="24"/>
                <w:color w:val="auto"/>
              </w:rPr>
            </w:pPr>
          </w:p>
        </w:tc>
      </w:tr>
      <w:tr>
        <w:trPr>
          <w:trHeight w:val="763"/>
        </w:trPr>
        <w:tc>
          <w:tcPr>
            <w:tcW w:w="14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Trustees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2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Sixth Street Lending Partners and subsidiaries (the Company), including the consolidated schedules of investments, as of December 31, 2023 and 2022, the related consolidated statements of operations, changes in net assets, and cash flows for the year ended December 31, 2023 and for the period from April 5, 2022 (inception) to December 31, 2022, and the related notes (collectively, the consolidated financial statements). In our opinion, the consolidated financial statements present fairly, in all material respects, the financial position of the Company as of December 31, 2023 and 2022, and the results of its operations, changes in its net assets, and its cash flows for the year ended December 31, 2023 and for the period from April 5, 2022 (inception) to December 31, 2022, in conformity with U.S. generally accepted accounting principles.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2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Such procedures also included confirmation of securities owned as of December 31, 2023 and 2022, by correspondence with custodians, agents, the underlying investees or by other appropriate auditing procedures.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16, 2024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82" w:name="page83"/>
    <w:bookmarkEnd w:id="8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at fair value</w:t>
            </w: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Non-controlled, non-affiliated investments (amortized cost of $3,037,826 and $809,029, respectively)</w:t>
            </w:r>
          </w:p>
        </w:tc>
        <w:tc>
          <w:tcPr>
            <w:tcW w:w="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3,099,151</w:t>
            </w:r>
          </w:p>
        </w:tc>
        <w:tc>
          <w:tcPr>
            <w:tcW w:w="5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808,801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8,813</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274,612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receivable</w:t>
            </w:r>
          </w:p>
        </w:tc>
        <w:tc>
          <w:tcPr>
            <w:tcW w:w="28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27,938</w:t>
            </w: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7,814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2,363</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3,138,265</w:t>
            </w:r>
          </w:p>
        </w:tc>
        <w:tc>
          <w:tcPr>
            <w:tcW w:w="5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1,091,712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320" w:type="dxa"/>
            <w:vAlign w:val="bottom"/>
            <w:tcBorders>
              <w:top w:val="single" w:sz="8" w:color="CFF0FC"/>
            </w:tcBorders>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28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280" w:type="dxa"/>
            <w:vAlign w:val="bottom"/>
            <w:tcBorders>
              <w:top w:val="single" w:sz="8" w:color="CFF0FC"/>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Debt (net of deferred financing costs of $8,153 and $3,911, respectively)</w:t>
            </w:r>
          </w:p>
        </w:tc>
        <w:tc>
          <w:tcPr>
            <w:tcW w:w="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1,239,862</w:t>
            </w:r>
          </w:p>
        </w:tc>
        <w:tc>
          <w:tcPr>
            <w:tcW w:w="5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534,080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Management fees payable to affiliate</w:t>
            </w:r>
          </w:p>
        </w:tc>
        <w:tc>
          <w:tcPr>
            <w:tcW w:w="2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2,895</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Incentive fees on net investment income payable to affiliate</w:t>
            </w:r>
          </w:p>
        </w:tc>
        <w:tc>
          <w:tcPr>
            <w:tcW w:w="28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7,183</w:t>
            </w: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Incentive fees on net capital gains accrued to affiliate</w:t>
            </w:r>
          </w:p>
        </w:tc>
        <w:tc>
          <w:tcPr>
            <w:tcW w:w="2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6,746</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payables to affiliate</w:t>
            </w:r>
          </w:p>
        </w:tc>
        <w:tc>
          <w:tcPr>
            <w:tcW w:w="28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2,406</w:t>
            </w: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4,062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payable</w:t>
            </w:r>
          </w:p>
        </w:tc>
        <w:tc>
          <w:tcPr>
            <w:tcW w:w="2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43,871</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8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18,235</w:t>
            </w:r>
          </w:p>
        </w:tc>
        <w:tc>
          <w:tcPr>
            <w:tcW w:w="28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5,182</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3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1,321,198</w:t>
            </w: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545,001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7)</w:t>
            </w:r>
          </w:p>
        </w:tc>
        <w:tc>
          <w:tcPr>
            <w:tcW w:w="28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3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shares, $0.001 par value; unlimited shares authorized, 65,478,775 and 21,882,028 shares issued and outstanding,</w:t>
            </w:r>
          </w:p>
        </w:tc>
        <w:tc>
          <w:tcPr>
            <w:tcW w:w="280" w:type="dxa"/>
            <w:vAlign w:val="bottom"/>
            <w:shd w:val="clear" w:color="auto" w:fill="CFF0FC"/>
          </w:tcPr>
          <w:p>
            <w:pPr>
              <w:spacing w:after="0"/>
              <w:rPr>
                <w:sz w:val="12"/>
                <w:szCs w:val="12"/>
                <w:color w:val="auto"/>
              </w:rPr>
            </w:pPr>
          </w:p>
        </w:tc>
        <w:tc>
          <w:tcPr>
            <w:tcW w:w="1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respectively</w:t>
            </w:r>
          </w:p>
        </w:tc>
        <w:tc>
          <w:tcPr>
            <w:tcW w:w="280" w:type="dxa"/>
            <w:vAlign w:val="bottom"/>
            <w:shd w:val="clear" w:color="auto" w:fill="CFF0FC"/>
          </w:tcPr>
          <w:p>
            <w:pPr>
              <w:spacing w:after="0"/>
              <w:rPr>
                <w:sz w:val="16"/>
                <w:szCs w:val="16"/>
                <w:color w:val="auto"/>
              </w:rPr>
            </w:pPr>
          </w:p>
        </w:tc>
        <w:tc>
          <w:tcPr>
            <w:tcW w:w="1460" w:type="dxa"/>
            <w:vAlign w:val="bottom"/>
            <w:vMerge w:val="continue"/>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1,734,426</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542,596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Distributable earnings</w:t>
            </w:r>
          </w:p>
        </w:tc>
        <w:tc>
          <w:tcPr>
            <w:tcW w:w="28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82,576</w:t>
            </w:r>
          </w:p>
        </w:tc>
        <w:tc>
          <w:tcPr>
            <w:tcW w:w="28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4,093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3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Total Net Assets</w:t>
            </w:r>
          </w:p>
        </w:tc>
        <w:tc>
          <w:tcPr>
            <w:tcW w:w="2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1,817,067</w:t>
            </w: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546,711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3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b w:val="1"/>
                <w:bCs w:val="1"/>
                <w:color w:val="auto"/>
              </w:rPr>
              <w:t>Total Liabilities and Net Assets</w:t>
            </w:r>
          </w:p>
        </w:tc>
        <w:tc>
          <w:tcPr>
            <w:tcW w:w="28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3,138,265</w:t>
            </w: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1,091,712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320" w:type="dxa"/>
            <w:vAlign w:val="bottom"/>
          </w:tcPr>
          <w:p>
            <w:pPr>
              <w:ind w:left="380"/>
              <w:spacing w:after="0" w:line="156" w:lineRule="exact"/>
              <w:rPr>
                <w:sz w:val="20"/>
                <w:szCs w:val="20"/>
                <w:color w:val="auto"/>
              </w:rPr>
            </w:pPr>
            <w:r>
              <w:rPr>
                <w:rFonts w:ascii="Times New Roman" w:cs="Times New Roman" w:eastAsia="Times New Roman" w:hAnsi="Times New Roman"/>
                <w:sz w:val="14"/>
                <w:szCs w:val="14"/>
                <w:b w:val="1"/>
                <w:bCs w:val="1"/>
                <w:color w:val="auto"/>
              </w:rPr>
              <w:t>Net Asset Value Per Share</w:t>
            </w:r>
          </w:p>
        </w:tc>
        <w:tc>
          <w:tcPr>
            <w:tcW w:w="280" w:type="dxa"/>
            <w:vAlign w:val="bottom"/>
          </w:tcPr>
          <w:p>
            <w:pPr>
              <w:jc w:val="right"/>
              <w:ind w:right="10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27.75</w:t>
            </w:r>
          </w:p>
        </w:tc>
        <w:tc>
          <w:tcPr>
            <w:tcW w:w="560" w:type="dxa"/>
            <w:vAlign w:val="bottom"/>
            <w:gridSpan w:val="2"/>
          </w:tcPr>
          <w:p>
            <w:pPr>
              <w:jc w:val="right"/>
              <w:ind w:right="10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24.98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-2099945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-2082800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-2099945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-2082800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-1182370</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-402590</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-402590</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-162560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-145415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3" w:name="page84"/>
    <w:bookmarkEnd w:id="83"/>
    <w:p>
      <w:pPr>
        <w:ind w:left="448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3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20" w:type="dxa"/>
            <w:vAlign w:val="bottom"/>
            <w:gridSpan w:val="2"/>
            <w:vMerge w:val="restart"/>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18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From April 5, 2022 (Inception)</w:t>
            </w:r>
          </w:p>
        </w:tc>
        <w:tc>
          <w:tcPr>
            <w:tcW w:w="0" w:type="dxa"/>
            <w:vAlign w:val="bottom"/>
          </w:tcPr>
          <w:p>
            <w:pPr>
              <w:spacing w:after="0"/>
              <w:rPr>
                <w:sz w:val="1"/>
                <w:szCs w:val="1"/>
                <w:color w:val="auto"/>
              </w:rPr>
            </w:pPr>
          </w:p>
        </w:tc>
      </w:tr>
      <w:tr>
        <w:trPr>
          <w:trHeight w:val="176"/>
        </w:trPr>
        <w:tc>
          <w:tcPr>
            <w:tcW w:w="6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gridSpan w:val="2"/>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87"/>
        </w:trPr>
        <w:tc>
          <w:tcPr>
            <w:tcW w:w="6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2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Pr>
          <w:p>
            <w:pPr>
              <w:spacing w:after="0"/>
              <w:rPr>
                <w:sz w:val="16"/>
                <w:szCs w:val="16"/>
                <w:color w:val="auto"/>
              </w:rPr>
            </w:pPr>
          </w:p>
        </w:tc>
        <w:tc>
          <w:tcPr>
            <w:tcW w:w="1900" w:type="dxa"/>
            <w:vAlign w:val="bottom"/>
            <w:gridSpan w:val="2"/>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69"/>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320" w:type="dxa"/>
            <w:vAlign w:val="bottom"/>
            <w:tcBorders>
              <w:top w:val="single" w:sz="8" w:color="auto"/>
            </w:tcBorders>
            <w:shd w:val="clear" w:color="auto" w:fill="CFF0FC"/>
          </w:tcPr>
          <w:p>
            <w:pPr>
              <w:spacing w:after="0"/>
              <w:rPr>
                <w:sz w:val="14"/>
                <w:szCs w:val="14"/>
                <w:color w:val="auto"/>
              </w:rPr>
            </w:pPr>
          </w:p>
        </w:tc>
        <w:tc>
          <w:tcPr>
            <w:tcW w:w="1980" w:type="dxa"/>
            <w:vAlign w:val="bottom"/>
            <w:tcBorders>
              <w:top w:val="single" w:sz="8" w:color="auto"/>
            </w:tcBorders>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18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income from non-controlled, non-affiliated investments:</w:t>
            </w:r>
          </w:p>
        </w:tc>
        <w:tc>
          <w:tcPr>
            <w:tcW w:w="3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Interest from investments</w:t>
            </w:r>
          </w:p>
        </w:tc>
        <w:tc>
          <w:tcPr>
            <w:tcW w:w="3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222,295</w:t>
            </w:r>
          </w:p>
        </w:tc>
        <w:tc>
          <w:tcPr>
            <w:tcW w:w="34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17,050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Paid-in-kind interest income</w:t>
            </w:r>
          </w:p>
        </w:tc>
        <w:tc>
          <w:tcPr>
            <w:tcW w:w="32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14,426</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6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income</w:t>
            </w:r>
          </w:p>
        </w:tc>
        <w:tc>
          <w:tcPr>
            <w:tcW w:w="320" w:type="dxa"/>
            <w:vAlign w:val="bottom"/>
            <w:tcBorders>
              <w:bottom w:val="single" w:sz="8" w:color="auto"/>
            </w:tcBorders>
            <w:shd w:val="clear" w:color="auto" w:fill="CFF0FC"/>
          </w:tcPr>
          <w:p>
            <w:pPr>
              <w:spacing w:after="0"/>
              <w:rPr>
                <w:sz w:val="15"/>
                <w:szCs w:val="15"/>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9,352</w:t>
            </w:r>
          </w:p>
        </w:tc>
        <w:tc>
          <w:tcPr>
            <w:tcW w:w="34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2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3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246,073</w:t>
            </w:r>
          </w:p>
        </w:tc>
        <w:tc>
          <w:tcPr>
            <w:tcW w:w="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20" w:type="dxa"/>
            <w:vAlign w:val="bottom"/>
            <w:shd w:val="clear" w:color="auto" w:fill="CFF0FC"/>
          </w:tcPr>
          <w:p>
            <w:pPr>
              <w:spacing w:after="0"/>
              <w:rPr>
                <w:sz w:val="14"/>
                <w:szCs w:val="14"/>
                <w:color w:val="auto"/>
              </w:rPr>
            </w:pPr>
          </w:p>
        </w:tc>
        <w:tc>
          <w:tcPr>
            <w:tcW w:w="19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32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72,356</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Management fees</w:t>
            </w:r>
          </w:p>
        </w:tc>
        <w:tc>
          <w:tcPr>
            <w:tcW w:w="320" w:type="dxa"/>
            <w:vAlign w:val="bottom"/>
            <w:shd w:val="clear" w:color="auto" w:fill="CFF0FC"/>
          </w:tcPr>
          <w:p>
            <w:pPr>
              <w:spacing w:after="0"/>
              <w:rPr>
                <w:sz w:val="15"/>
                <w:szCs w:val="15"/>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25,225</w:t>
            </w:r>
          </w:p>
        </w:tc>
        <w:tc>
          <w:tcPr>
            <w:tcW w:w="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2,668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Incentive fees on net investment income</w:t>
            </w:r>
          </w:p>
        </w:tc>
        <w:tc>
          <w:tcPr>
            <w:tcW w:w="32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19,289</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Incentive fees on net capital gains</w:t>
            </w:r>
          </w:p>
        </w:tc>
        <w:tc>
          <w:tcPr>
            <w:tcW w:w="320" w:type="dxa"/>
            <w:vAlign w:val="bottom"/>
            <w:shd w:val="clear" w:color="auto" w:fill="CFF0FC"/>
          </w:tcPr>
          <w:p>
            <w:pPr>
              <w:spacing w:after="0"/>
              <w:rPr>
                <w:sz w:val="15"/>
                <w:szCs w:val="15"/>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6,746</w:t>
            </w:r>
          </w:p>
        </w:tc>
        <w:tc>
          <w:tcPr>
            <w:tcW w:w="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9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Organizational expense</w:t>
            </w:r>
          </w:p>
        </w:tc>
        <w:tc>
          <w:tcPr>
            <w:tcW w:w="32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Offering expense</w:t>
            </w:r>
          </w:p>
        </w:tc>
        <w:tc>
          <w:tcPr>
            <w:tcW w:w="320" w:type="dxa"/>
            <w:vAlign w:val="bottom"/>
            <w:shd w:val="clear" w:color="auto" w:fill="CFF0FC"/>
          </w:tcPr>
          <w:p>
            <w:pPr>
              <w:spacing w:after="0"/>
              <w:rPr>
                <w:sz w:val="15"/>
                <w:szCs w:val="15"/>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1,079</w:t>
            </w:r>
          </w:p>
        </w:tc>
        <w:tc>
          <w:tcPr>
            <w:tcW w:w="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fees</w:t>
            </w:r>
          </w:p>
        </w:tc>
        <w:tc>
          <w:tcPr>
            <w:tcW w:w="32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3,245</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Trustees’ fees</w:t>
            </w:r>
          </w:p>
        </w:tc>
        <w:tc>
          <w:tcPr>
            <w:tcW w:w="320" w:type="dxa"/>
            <w:vAlign w:val="bottom"/>
            <w:shd w:val="clear" w:color="auto" w:fill="CFF0FC"/>
          </w:tcPr>
          <w:p>
            <w:pPr>
              <w:spacing w:after="0"/>
              <w:rPr>
                <w:sz w:val="15"/>
                <w:szCs w:val="15"/>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general and administrative</w:t>
            </w:r>
          </w:p>
        </w:tc>
        <w:tc>
          <w:tcPr>
            <w:tcW w:w="3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4,304</w:t>
            </w:r>
          </w:p>
        </w:tc>
        <w:tc>
          <w:tcPr>
            <w:tcW w:w="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expenses</w:t>
            </w:r>
          </w:p>
        </w:tc>
        <w:tc>
          <w:tcPr>
            <w:tcW w:w="320" w:type="dxa"/>
            <w:vAlign w:val="bottom"/>
            <w:tcBorders>
              <w:bottom w:val="single" w:sz="8" w:color="auto"/>
            </w:tcBorders>
            <w:shd w:val="clear" w:color="auto" w:fill="CFF0FC"/>
          </w:tcPr>
          <w:p>
            <w:pPr>
              <w:spacing w:after="0"/>
              <w:rPr>
                <w:sz w:val="14"/>
                <w:szCs w:val="14"/>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133,036</w:t>
            </w:r>
          </w:p>
        </w:tc>
        <w:tc>
          <w:tcPr>
            <w:tcW w:w="34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13,336</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Management fees waived (Note 3)</w:t>
            </w:r>
          </w:p>
        </w:tc>
        <w:tc>
          <w:tcPr>
            <w:tcW w:w="320" w:type="dxa"/>
            <w:vAlign w:val="bottom"/>
          </w:tcPr>
          <w:p>
            <w:pPr>
              <w:spacing w:after="0"/>
              <w:rPr>
                <w:sz w:val="14"/>
                <w:szCs w:val="14"/>
                <w:color w:val="auto"/>
              </w:rPr>
            </w:pPr>
          </w:p>
        </w:tc>
        <w:tc>
          <w:tcPr>
            <w:tcW w:w="23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(16,742 )</w:t>
            </w:r>
          </w:p>
        </w:tc>
        <w:tc>
          <w:tcPr>
            <w:tcW w:w="28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(1,992 )</w:t>
            </w:r>
          </w:p>
        </w:tc>
        <w:tc>
          <w:tcPr>
            <w:tcW w:w="0" w:type="dxa"/>
            <w:vAlign w:val="bottom"/>
          </w:tcPr>
          <w:p>
            <w:pPr>
              <w:spacing w:after="0"/>
              <w:rPr>
                <w:sz w:val="1"/>
                <w:szCs w:val="1"/>
                <w:color w:val="auto"/>
              </w:rPr>
            </w:pPr>
          </w:p>
        </w:tc>
      </w:tr>
      <w:tr>
        <w:trPr>
          <w:trHeight w:val="169"/>
        </w:trPr>
        <w:tc>
          <w:tcPr>
            <w:tcW w:w="64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4"/>
                <w:szCs w:val="14"/>
                <w:b w:val="1"/>
                <w:bCs w:val="1"/>
                <w:color w:val="auto"/>
              </w:rPr>
              <w:t>Net Expenses</w:t>
            </w:r>
          </w:p>
        </w:tc>
        <w:tc>
          <w:tcPr>
            <w:tcW w:w="320" w:type="dxa"/>
            <w:vAlign w:val="bottom"/>
            <w:tcBorders>
              <w:top w:val="single" w:sz="8" w:color="auto"/>
              <w:bottom w:val="single" w:sz="8" w:color="auto"/>
            </w:tcBorders>
            <w:shd w:val="clear" w:color="auto" w:fill="CFF0FC"/>
          </w:tcPr>
          <w:p>
            <w:pPr>
              <w:spacing w:after="0"/>
              <w:rPr>
                <w:sz w:val="14"/>
                <w:szCs w:val="14"/>
                <w:color w:val="auto"/>
              </w:rPr>
            </w:pP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116,294</w:t>
            </w:r>
          </w:p>
        </w:tc>
        <w:tc>
          <w:tcPr>
            <w:tcW w:w="34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11,344</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Investment Income Before Income Taxes</w:t>
            </w:r>
          </w:p>
        </w:tc>
        <w:tc>
          <w:tcPr>
            <w:tcW w:w="32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129,779</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taxes, including excise taxes</w:t>
            </w:r>
          </w:p>
        </w:tc>
        <w:tc>
          <w:tcPr>
            <w:tcW w:w="320" w:type="dxa"/>
            <w:vAlign w:val="bottom"/>
            <w:tcBorders>
              <w:bottom w:val="single" w:sz="8" w:color="auto"/>
            </w:tcBorders>
            <w:shd w:val="clear" w:color="auto" w:fill="CFF0FC"/>
          </w:tcPr>
          <w:p>
            <w:pPr>
              <w:spacing w:after="0"/>
              <w:rPr>
                <w:sz w:val="15"/>
                <w:szCs w:val="15"/>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3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32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128,279</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and Realized Gains (Losses)</w:t>
            </w:r>
          </w:p>
        </w:tc>
        <w:tc>
          <w:tcPr>
            <w:tcW w:w="320" w:type="dxa"/>
            <w:vAlign w:val="bottom"/>
            <w:shd w:val="clear" w:color="auto" w:fill="CFF0FC"/>
          </w:tcPr>
          <w:p>
            <w:pPr>
              <w:spacing w:after="0"/>
              <w:rPr>
                <w:sz w:val="15"/>
                <w:szCs w:val="15"/>
                <w:color w:val="auto"/>
              </w:rPr>
            </w:pPr>
          </w:p>
        </w:tc>
        <w:tc>
          <w:tcPr>
            <w:tcW w:w="19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unrealized gains (losses):</w:t>
            </w:r>
          </w:p>
        </w:tc>
        <w:tc>
          <w:tcPr>
            <w:tcW w:w="3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Non-controlled, non-affiliated investments</w:t>
            </w:r>
          </w:p>
        </w:tc>
        <w:tc>
          <w:tcPr>
            <w:tcW w:w="320" w:type="dxa"/>
            <w:vAlign w:val="bottom"/>
            <w:shd w:val="clear" w:color="auto" w:fill="CFF0FC"/>
          </w:tcPr>
          <w:p>
            <w:pPr>
              <w:spacing w:after="0"/>
              <w:rPr>
                <w:sz w:val="15"/>
                <w:szCs w:val="15"/>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61,554</w:t>
            </w:r>
          </w:p>
        </w:tc>
        <w:tc>
          <w:tcPr>
            <w:tcW w:w="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(229 )</w:t>
            </w:r>
          </w:p>
        </w:tc>
        <w:tc>
          <w:tcPr>
            <w:tcW w:w="0" w:type="dxa"/>
            <w:vAlign w:val="bottom"/>
          </w:tcPr>
          <w:p>
            <w:pPr>
              <w:spacing w:after="0"/>
              <w:rPr>
                <w:sz w:val="1"/>
                <w:szCs w:val="1"/>
                <w:color w:val="auto"/>
              </w:rPr>
            </w:pPr>
          </w:p>
        </w:tc>
      </w:tr>
      <w:tr>
        <w:trPr>
          <w:trHeight w:val="175"/>
        </w:trPr>
        <w:tc>
          <w:tcPr>
            <w:tcW w:w="64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Translation of other assets and liabilities in foreign currencies</w:t>
            </w:r>
          </w:p>
        </w:tc>
        <w:tc>
          <w:tcPr>
            <w:tcW w:w="320" w:type="dxa"/>
            <w:vAlign w:val="bottom"/>
          </w:tcPr>
          <w:p>
            <w:pPr>
              <w:spacing w:after="0"/>
              <w:rPr>
                <w:sz w:val="15"/>
                <w:szCs w:val="15"/>
                <w:color w:val="auto"/>
              </w:rPr>
            </w:pPr>
          </w:p>
        </w:tc>
        <w:tc>
          <w:tcPr>
            <w:tcW w:w="23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(4,799 )</w:t>
            </w:r>
          </w:p>
        </w:tc>
        <w:tc>
          <w:tcPr>
            <w:tcW w:w="280" w:type="dxa"/>
            <w:vAlign w:val="bottom"/>
          </w:tcPr>
          <w:p>
            <w:pPr>
              <w:spacing w:after="0"/>
              <w:rPr>
                <w:sz w:val="15"/>
                <w:szCs w:val="15"/>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(1,434 )</w:t>
            </w:r>
          </w:p>
        </w:tc>
        <w:tc>
          <w:tcPr>
            <w:tcW w:w="0" w:type="dxa"/>
            <w:vAlign w:val="bottom"/>
          </w:tcPr>
          <w:p>
            <w:pPr>
              <w:spacing w:after="0"/>
              <w:rPr>
                <w:sz w:val="1"/>
                <w:szCs w:val="1"/>
                <w:color w:val="auto"/>
              </w:rPr>
            </w:pPr>
          </w:p>
        </w:tc>
      </w:tr>
      <w:tr>
        <w:trPr>
          <w:trHeight w:val="169"/>
        </w:trPr>
        <w:tc>
          <w:tcPr>
            <w:tcW w:w="6420" w:type="dxa"/>
            <w:vAlign w:val="bottom"/>
            <w:tcBorders>
              <w:top w:val="single" w:sz="8" w:color="CFF0FC"/>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Total net change in unrealized gains (losses)</w:t>
            </w:r>
          </w:p>
        </w:tc>
        <w:tc>
          <w:tcPr>
            <w:tcW w:w="320" w:type="dxa"/>
            <w:vAlign w:val="bottom"/>
            <w:tcBorders>
              <w:top w:val="single" w:sz="8" w:color="auto"/>
              <w:bottom w:val="single" w:sz="8" w:color="auto"/>
            </w:tcBorders>
            <w:shd w:val="clear" w:color="auto" w:fill="CFF0FC"/>
          </w:tcPr>
          <w:p>
            <w:pPr>
              <w:spacing w:after="0"/>
              <w:rPr>
                <w:sz w:val="14"/>
                <w:szCs w:val="14"/>
                <w:color w:val="auto"/>
              </w:rPr>
            </w:pP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56,755</w:t>
            </w:r>
          </w:p>
        </w:tc>
        <w:tc>
          <w:tcPr>
            <w:tcW w:w="340" w:type="dxa"/>
            <w:vAlign w:val="bottom"/>
            <w:tcBorders>
              <w:top w:val="single" w:sz="8" w:color="CFF0FC"/>
              <w:bottom w:val="single" w:sz="8" w:color="CFF0FC"/>
            </w:tcBorders>
            <w:shd w:val="clear" w:color="auto" w:fill="CFF0FC"/>
          </w:tcPr>
          <w:p>
            <w:pPr>
              <w:spacing w:after="0"/>
              <w:rPr>
                <w:sz w:val="14"/>
                <w:szCs w:val="14"/>
                <w:color w:val="auto"/>
              </w:rPr>
            </w:pP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(1,663</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69"/>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Realized gains (losses):</w:t>
            </w:r>
          </w:p>
        </w:tc>
        <w:tc>
          <w:tcPr>
            <w:tcW w:w="3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Foreign currency transactions</w:t>
            </w:r>
          </w:p>
        </w:tc>
        <w:tc>
          <w:tcPr>
            <w:tcW w:w="320" w:type="dxa"/>
            <w:vAlign w:val="bottom"/>
            <w:shd w:val="clear" w:color="auto" w:fill="CFF0FC"/>
          </w:tcPr>
          <w:p>
            <w:pPr>
              <w:spacing w:after="0"/>
              <w:rPr>
                <w:sz w:val="15"/>
                <w:szCs w:val="15"/>
                <w:color w:val="auto"/>
              </w:rPr>
            </w:pPr>
          </w:p>
        </w:tc>
        <w:tc>
          <w:tcPr>
            <w:tcW w:w="2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(1,045 )</w:t>
            </w:r>
          </w:p>
        </w:tc>
        <w:tc>
          <w:tcPr>
            <w:tcW w:w="280" w:type="dxa"/>
            <w:vAlign w:val="bottom"/>
            <w:shd w:val="clear" w:color="auto" w:fill="CFF0FC"/>
          </w:tcPr>
          <w:p>
            <w:pPr>
              <w:spacing w:after="0"/>
              <w:rPr>
                <w:sz w:val="15"/>
                <w:szCs w:val="15"/>
                <w:color w:val="auto"/>
              </w:rPr>
            </w:pP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0" w:type="dxa"/>
            <w:vAlign w:val="bottom"/>
          </w:tcPr>
          <w:p>
            <w:pPr>
              <w:spacing w:after="0"/>
              <w:rPr>
                <w:sz w:val="1"/>
                <w:szCs w:val="1"/>
                <w:color w:val="auto"/>
              </w:rPr>
            </w:pPr>
          </w:p>
        </w:tc>
      </w:tr>
      <w:tr>
        <w:trPr>
          <w:trHeight w:val="20"/>
        </w:trPr>
        <w:tc>
          <w:tcPr>
            <w:tcW w:w="64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4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Total net realized gains (losses)</w:t>
            </w:r>
          </w:p>
        </w:tc>
        <w:tc>
          <w:tcPr>
            <w:tcW w:w="320" w:type="dxa"/>
            <w:vAlign w:val="bottom"/>
          </w:tcPr>
          <w:p>
            <w:pPr>
              <w:spacing w:after="0"/>
              <w:rPr>
                <w:sz w:val="14"/>
                <w:szCs w:val="14"/>
                <w:color w:val="auto"/>
              </w:rPr>
            </w:pPr>
          </w:p>
        </w:tc>
        <w:tc>
          <w:tcPr>
            <w:tcW w:w="23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(1,045 )</w:t>
            </w:r>
          </w:p>
        </w:tc>
        <w:tc>
          <w:tcPr>
            <w:tcW w:w="28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4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b w:val="1"/>
                <w:bCs w:val="1"/>
                <w:color w:val="auto"/>
              </w:rPr>
              <w:t>Total Net Unrealized and Realized Gains (Losses)</w:t>
            </w:r>
          </w:p>
        </w:tc>
        <w:tc>
          <w:tcPr>
            <w:tcW w:w="320" w:type="dxa"/>
            <w:vAlign w:val="bottom"/>
            <w:shd w:val="clear" w:color="auto" w:fill="CFF0FC"/>
          </w:tcPr>
          <w:p>
            <w:pPr>
              <w:spacing w:after="0"/>
              <w:rPr>
                <w:sz w:val="14"/>
                <w:szCs w:val="14"/>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55,710</w:t>
            </w:r>
          </w:p>
        </w:tc>
        <w:tc>
          <w:tcPr>
            <w:tcW w:w="3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(1,743 )</w:t>
            </w:r>
          </w:p>
        </w:tc>
        <w:tc>
          <w:tcPr>
            <w:tcW w:w="0" w:type="dxa"/>
            <w:vAlign w:val="bottom"/>
          </w:tcPr>
          <w:p>
            <w:pPr>
              <w:spacing w:after="0"/>
              <w:rPr>
                <w:sz w:val="1"/>
                <w:szCs w:val="1"/>
                <w:color w:val="auto"/>
              </w:rPr>
            </w:pPr>
          </w:p>
        </w:tc>
      </w:tr>
      <w:tr>
        <w:trPr>
          <w:trHeight w:val="169"/>
        </w:trPr>
        <w:tc>
          <w:tcPr>
            <w:tcW w:w="6420" w:type="dxa"/>
            <w:vAlign w:val="bottom"/>
            <w:tcBorders>
              <w:top w:val="single" w:sz="8" w:color="CFF0FC"/>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Increase (Decrease) in Net Assets Resulting from Operations</w:t>
            </w: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183,989</w:t>
            </w:r>
          </w:p>
        </w:tc>
        <w:tc>
          <w:tcPr>
            <w:tcW w:w="340" w:type="dxa"/>
            <w:vAlign w:val="bottom"/>
            <w:tcBorders>
              <w:top w:val="single" w:sz="8" w:color="CFF0FC"/>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3,847</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20" w:type="dxa"/>
            <w:vAlign w:val="bottom"/>
            <w:tcBorders>
              <w:bottom w:val="single" w:sz="8" w:color="CFF0FC"/>
            </w:tcBorders>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Earnings per common share—basic and diluted</w:t>
            </w:r>
          </w:p>
        </w:tc>
        <w:tc>
          <w:tcPr>
            <w:tcW w:w="320" w:type="dxa"/>
            <w:vAlign w:val="bottom"/>
            <w:tcBorders>
              <w:bottom w:val="single" w:sz="8" w:color="auto"/>
            </w:tcBorders>
            <w:shd w:val="clear" w:color="auto" w:fill="CFF0FC"/>
          </w:tcPr>
          <w:p>
            <w:pPr>
              <w:jc w:val="right"/>
              <w:ind w:right="16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5.30</w:t>
            </w:r>
          </w:p>
        </w:tc>
        <w:tc>
          <w:tcPr>
            <w:tcW w:w="34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ind w:right="10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80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0.55</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shares of common shares outstanding—basic and diluted</w:t>
            </w:r>
          </w:p>
        </w:tc>
        <w:tc>
          <w:tcPr>
            <w:tcW w:w="3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34,746,777</w:t>
            </w:r>
          </w:p>
        </w:tc>
        <w:tc>
          <w:tcPr>
            <w:tcW w:w="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4"/>
                <w:szCs w:val="14"/>
                <w:color w:val="auto"/>
              </w:rPr>
              <w:t xml:space="preserve">7,034,869 </w:t>
            </w:r>
            <w:r>
              <w:rPr>
                <w:rFonts w:ascii="Times New Roman" w:cs="Times New Roman" w:eastAsia="Times New Roman" w:hAnsi="Times New Roman"/>
                <w:sz w:val="19"/>
                <w:szCs w:val="19"/>
                <w:color w:val="auto"/>
                <w:vertAlign w:val="superscript"/>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5530215</wp:posOffset>
            </wp:positionH>
            <wp:positionV relativeFrom="paragraph">
              <wp:posOffset>-3389630</wp:posOffset>
            </wp:positionV>
            <wp:extent cx="93980" cy="1543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-3389630</wp:posOffset>
            </wp:positionV>
            <wp:extent cx="93980" cy="1543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-2014220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-2014220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-1773555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-1773555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-1542415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-1542415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5530215</wp:posOffset>
            </wp:positionH>
            <wp:positionV relativeFrom="paragraph">
              <wp:posOffset>-989330</wp:posOffset>
            </wp:positionV>
            <wp:extent cx="93980" cy="1543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-989330</wp:posOffset>
            </wp:positionV>
            <wp:extent cx="93980" cy="1543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-624840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-385445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-128270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left="520" w:hanging="512"/>
        <w:spacing w:after="0"/>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shares of Common Shares outstanding are calculated from the Commencement of Operations through December 31, 2022.</w:t>
      </w:r>
    </w:p>
    <w:p>
      <w:pPr>
        <w:spacing w:after="0" w:line="225" w:lineRule="exact"/>
        <w:rPr>
          <w:rFonts w:ascii="Times New Roman" w:cs="Times New Roman" w:eastAsia="Times New Roman" w:hAnsi="Times New Roman"/>
          <w:sz w:val="18"/>
          <w:szCs w:val="18"/>
          <w:color w:val="auto"/>
        </w:rPr>
      </w:pPr>
    </w:p>
    <w:p>
      <w:pPr>
        <w:ind w:left="2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4" w:name="page85"/>
    <w:bookmarkEnd w:id="8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as of December 31, 2023</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20" w:type="dxa"/>
            <w:vAlign w:val="bottom"/>
          </w:tcPr>
          <w:p>
            <w:pPr>
              <w:spacing w:after="0"/>
              <w:rPr>
                <w:sz w:val="12"/>
                <w:szCs w:val="12"/>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Company </w:t>
            </w:r>
            <w:r>
              <w:rPr>
                <w:rFonts w:ascii="Times New Roman" w:cs="Times New Roman" w:eastAsia="Times New Roman" w:hAnsi="Times New Roman"/>
                <w:sz w:val="16"/>
                <w:szCs w:val="16"/>
                <w:b w:val="1"/>
                <w:bCs w:val="1"/>
                <w:color w:val="auto"/>
                <w:vertAlign w:val="superscript"/>
              </w:rPr>
              <w:t>(1)(9)</w:t>
            </w:r>
          </w:p>
        </w:tc>
        <w:tc>
          <w:tcPr>
            <w:tcW w:w="1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4"/>
              </w:rPr>
              <w:t>Acquisition</w:t>
            </w:r>
          </w:p>
        </w:tc>
        <w:tc>
          <w:tcPr>
            <w:tcW w:w="120" w:type="dxa"/>
            <w:vAlign w:val="bottom"/>
          </w:tcPr>
          <w:p>
            <w:pPr>
              <w:spacing w:after="0"/>
              <w:rPr>
                <w:sz w:val="11"/>
                <w:szCs w:val="11"/>
                <w:color w:val="auto"/>
              </w:rPr>
            </w:pPr>
          </w:p>
        </w:tc>
        <w:tc>
          <w:tcPr>
            <w:tcW w:w="122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ind w:right="138"/>
              <w:spacing w:after="0" w:line="12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vMerge w:val="restart"/>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 xml:space="preserve">Fair Value </w:t>
            </w:r>
            <w:r>
              <w:rPr>
                <w:rFonts w:ascii="Times New Roman" w:cs="Times New Roman" w:eastAsia="Times New Roman" w:hAnsi="Times New Roman"/>
                <w:sz w:val="16"/>
                <w:szCs w:val="16"/>
                <w:b w:val="1"/>
                <w:bCs w:val="1"/>
                <w:color w:val="auto"/>
                <w:vertAlign w:val="superscript"/>
              </w:rPr>
              <w:t>(6)</w:t>
            </w:r>
          </w:p>
        </w:tc>
        <w:tc>
          <w:tcPr>
            <w:tcW w:w="220" w:type="dxa"/>
            <w:vAlign w:val="bottom"/>
          </w:tcPr>
          <w:p>
            <w:pPr>
              <w:spacing w:after="0"/>
              <w:rPr>
                <w:sz w:val="11"/>
                <w:szCs w:val="11"/>
                <w:color w:val="auto"/>
              </w:rPr>
            </w:pPr>
          </w:p>
        </w:tc>
        <w:tc>
          <w:tcPr>
            <w:tcW w:w="960" w:type="dxa"/>
            <w:vAlign w:val="bottom"/>
            <w:gridSpan w:val="3"/>
          </w:tcPr>
          <w:p>
            <w:pPr>
              <w:jc w:val="center"/>
              <w:ind w:right="140"/>
              <w:spacing w:after="0" w:line="128" w:lineRule="exact"/>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76"/>
        </w:trPr>
        <w:tc>
          <w:tcPr>
            <w:tcW w:w="1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tcPr>
          <w:p>
            <w:pPr>
              <w:ind w:left="94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2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12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Spread</w:t>
            </w:r>
          </w:p>
        </w:tc>
        <w:tc>
          <w:tcPr>
            <w:tcW w:w="1180" w:type="dxa"/>
            <w:vAlign w:val="bottom"/>
            <w:gridSpan w:val="3"/>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w w:val="99"/>
              </w:rPr>
              <w:t>Interest Rate</w:t>
            </w:r>
          </w:p>
        </w:tc>
        <w:tc>
          <w:tcPr>
            <w:tcW w:w="840" w:type="dxa"/>
            <w:vAlign w:val="bottom"/>
          </w:tcPr>
          <w:p>
            <w:pPr>
              <w:jc w:val="right"/>
              <w:ind w:right="178"/>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Cost</w:t>
            </w:r>
            <w:r>
              <w:rPr>
                <w:rFonts w:ascii="Times New Roman" w:cs="Times New Roman" w:eastAsia="Times New Roman" w:hAnsi="Times New Roman"/>
                <w:sz w:val="8"/>
                <w:szCs w:val="8"/>
                <w:b w:val="1"/>
                <w:bCs w:val="1"/>
                <w:color w:val="auto"/>
              </w:rPr>
              <w:t xml:space="preserve"> (2) (7)</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of Net Assets</w:t>
            </w:r>
          </w:p>
        </w:tc>
        <w:tc>
          <w:tcPr>
            <w:tcW w:w="0" w:type="dxa"/>
            <w:vAlign w:val="bottom"/>
          </w:tcPr>
          <w:p>
            <w:pPr>
              <w:spacing w:after="0"/>
              <w:rPr>
                <w:sz w:val="1"/>
                <w:szCs w:val="1"/>
                <w:color w:val="auto"/>
              </w:rPr>
            </w:pPr>
          </w:p>
        </w:tc>
      </w:tr>
      <w:tr>
        <w:trPr>
          <w:trHeight w:val="155"/>
        </w:trPr>
        <w:tc>
          <w:tcPr>
            <w:tcW w:w="15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Debt Investments</w:t>
            </w:r>
          </w:p>
        </w:tc>
        <w:tc>
          <w:tcPr>
            <w:tcW w:w="120" w:type="dxa"/>
            <w:vAlign w:val="bottom"/>
            <w:shd w:val="clear" w:color="auto" w:fill="CFF0FC"/>
          </w:tcPr>
          <w:p>
            <w:pPr>
              <w:spacing w:after="0"/>
              <w:rPr>
                <w:sz w:val="13"/>
                <w:szCs w:val="13"/>
                <w:color w:val="auto"/>
              </w:rPr>
            </w:pPr>
          </w:p>
        </w:tc>
        <w:tc>
          <w:tcPr>
            <w:tcW w:w="248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122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Automotive</w:t>
            </w:r>
          </w:p>
        </w:tc>
        <w:tc>
          <w:tcPr>
            <w:tcW w:w="1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Bestpass, Inc. </w:t>
            </w:r>
            <w:r>
              <w:rPr>
                <w:rFonts w:ascii="Times New Roman" w:cs="Times New Roman" w:eastAsia="Times New Roman" w:hAnsi="Times New Roman"/>
                <w:sz w:val="16"/>
                <w:szCs w:val="16"/>
                <w:color w:val="auto"/>
                <w:vertAlign w:val="superscript"/>
              </w:rPr>
              <w:t>(3)(5)</w:t>
            </w:r>
          </w:p>
        </w:tc>
        <w:tc>
          <w:tcPr>
            <w:tcW w:w="120" w:type="dxa"/>
            <w:vAlign w:val="bottom"/>
            <w:shd w:val="clear" w:color="auto" w:fill="CFF0FC"/>
          </w:tcPr>
          <w:p>
            <w:pPr>
              <w:spacing w:after="0"/>
              <w:rPr>
                <w:sz w:val="14"/>
                <w:szCs w:val="14"/>
                <w:color w:val="auto"/>
              </w:rPr>
            </w:pPr>
          </w:p>
        </w:tc>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First-lien loan ($59,950 par, due 5/2029)</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5/26/2023</w:t>
            </w:r>
          </w:p>
        </w:tc>
        <w:tc>
          <w:tcPr>
            <w:tcW w:w="1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SOFR + 5.75%</w:t>
            </w:r>
          </w:p>
        </w:tc>
        <w:tc>
          <w:tcPr>
            <w:tcW w:w="11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11.11 %  $</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57,781</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59,201</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Business Services</w:t>
            </w:r>
          </w:p>
        </w:tc>
        <w:tc>
          <w:tcPr>
            <w:tcW w:w="1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3"/>
                <w:szCs w:val="13"/>
                <w:color w:val="auto"/>
              </w:rPr>
              <w:t>Artisan Bidco, Inc.</w:t>
            </w:r>
            <w:r>
              <w:rPr>
                <w:rFonts w:ascii="Times New Roman" w:cs="Times New Roman" w:eastAsia="Times New Roman" w:hAnsi="Times New Roman"/>
                <w:sz w:val="16"/>
                <w:szCs w:val="16"/>
                <w:color w:val="auto"/>
                <w:vertAlign w:val="superscript"/>
              </w:rPr>
              <w:t>(3)</w:t>
            </w:r>
          </w:p>
        </w:tc>
        <w:tc>
          <w:tcPr>
            <w:tcW w:w="120" w:type="dxa"/>
            <w:vAlign w:val="bottom"/>
            <w:shd w:val="clear" w:color="auto" w:fill="CFF0FC"/>
          </w:tcPr>
          <w:p>
            <w:pPr>
              <w:spacing w:after="0"/>
              <w:rPr>
                <w:sz w:val="14"/>
                <w:szCs w:val="14"/>
                <w:color w:val="auto"/>
              </w:rPr>
            </w:pPr>
          </w:p>
        </w:tc>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First-lien loan ($141,889 par, due 11/2029)</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11/7/2023</w:t>
            </w:r>
          </w:p>
        </w:tc>
        <w:tc>
          <w:tcPr>
            <w:tcW w:w="1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SOFR + 7.00%</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12.38 %</w:t>
            </w: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138,686</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139,850</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8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First-lien loan (EUR 66,029 par, due 11/2029)</w:t>
            </w:r>
          </w:p>
        </w:tc>
        <w:tc>
          <w:tcPr>
            <w:tcW w:w="88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11/7/2023</w:t>
            </w:r>
          </w:p>
        </w:tc>
        <w:tc>
          <w:tcPr>
            <w:tcW w:w="120" w:type="dxa"/>
            <w:vAlign w:val="bottom"/>
          </w:tcPr>
          <w:p>
            <w:pPr>
              <w:spacing w:after="0"/>
              <w:rPr>
                <w:sz w:val="11"/>
                <w:szCs w:val="11"/>
                <w:color w:val="auto"/>
              </w:rPr>
            </w:pPr>
          </w:p>
        </w:tc>
        <w:tc>
          <w:tcPr>
            <w:tcW w:w="1220" w:type="dxa"/>
            <w:vAlign w:val="bottom"/>
            <w:gridSpan w:val="2"/>
          </w:tcPr>
          <w:p>
            <w:pPr>
              <w:jc w:val="right"/>
              <w:ind w:right="260"/>
              <w:spacing w:after="0" w:line="131" w:lineRule="exact"/>
              <w:rPr>
                <w:sz w:val="20"/>
                <w:szCs w:val="20"/>
                <w:color w:val="auto"/>
              </w:rPr>
            </w:pPr>
            <w:r>
              <w:rPr>
                <w:rFonts w:ascii="Times New Roman" w:cs="Times New Roman" w:eastAsia="Times New Roman" w:hAnsi="Times New Roman"/>
                <w:sz w:val="13"/>
                <w:szCs w:val="13"/>
                <w:color w:val="auto"/>
              </w:rPr>
              <w:t>E + 7.00%</w:t>
            </w:r>
          </w:p>
        </w:tc>
        <w:tc>
          <w:tcPr>
            <w:tcW w:w="1040" w:type="dxa"/>
            <w:vAlign w:val="bottom"/>
            <w:gridSpan w:val="2"/>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10.96 %</w:t>
            </w:r>
          </w:p>
        </w:tc>
        <w:tc>
          <w:tcPr>
            <w:tcW w:w="140" w:type="dxa"/>
            <w:vAlign w:val="bottom"/>
          </w:tcPr>
          <w:p>
            <w:pPr>
              <w:spacing w:after="0"/>
              <w:rPr>
                <w:sz w:val="11"/>
                <w:szCs w:val="11"/>
                <w:color w:val="auto"/>
              </w:rPr>
            </w:pPr>
          </w:p>
        </w:tc>
        <w:tc>
          <w:tcPr>
            <w:tcW w:w="84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69,552</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72,027</w:t>
            </w:r>
          </w:p>
        </w:tc>
        <w:tc>
          <w:tcPr>
            <w:tcW w:w="116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3"/>
                <w:szCs w:val="13"/>
                <w:color w:val="auto"/>
              </w:rPr>
              <w:t>4.0 %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65,203)</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580" w:type="dxa"/>
            <w:vAlign w:val="bottom"/>
            <w:shd w:val="clear" w:color="auto" w:fill="CFF0FC"/>
          </w:tcPr>
          <w:p>
            <w:pPr>
              <w:ind w:left="20"/>
              <w:spacing w:after="0" w:line="124" w:lineRule="exact"/>
              <w:rPr>
                <w:sz w:val="20"/>
                <w:szCs w:val="20"/>
                <w:color w:val="auto"/>
              </w:rPr>
            </w:pPr>
            <w:r>
              <w:rPr>
                <w:rFonts w:ascii="Times New Roman" w:cs="Times New Roman" w:eastAsia="Times New Roman" w:hAnsi="Times New Roman"/>
                <w:sz w:val="13"/>
                <w:szCs w:val="13"/>
                <w:color w:val="auto"/>
              </w:rPr>
              <w:t>BCTO Ignition Purchaser,</w:t>
            </w:r>
          </w:p>
        </w:tc>
        <w:tc>
          <w:tcPr>
            <w:tcW w:w="120" w:type="dxa"/>
            <w:vAlign w:val="bottom"/>
            <w:shd w:val="clear" w:color="auto" w:fill="CFF0FC"/>
          </w:tcPr>
          <w:p>
            <w:pPr>
              <w:spacing w:after="0"/>
              <w:rPr>
                <w:sz w:val="10"/>
                <w:szCs w:val="10"/>
                <w:color w:val="auto"/>
              </w:rPr>
            </w:pPr>
          </w:p>
        </w:tc>
        <w:tc>
          <w:tcPr>
            <w:tcW w:w="2480" w:type="dxa"/>
            <w:vAlign w:val="bottom"/>
            <w:shd w:val="clear" w:color="auto" w:fill="CFF0FC"/>
          </w:tcPr>
          <w:p>
            <w:pPr>
              <w:spacing w:after="0" w:line="124" w:lineRule="exact"/>
              <w:rPr>
                <w:sz w:val="20"/>
                <w:szCs w:val="20"/>
                <w:color w:val="auto"/>
              </w:rPr>
            </w:pPr>
            <w:r>
              <w:rPr>
                <w:rFonts w:ascii="Times New Roman" w:cs="Times New Roman" w:eastAsia="Times New Roman" w:hAnsi="Times New Roman"/>
                <w:sz w:val="13"/>
                <w:szCs w:val="13"/>
                <w:color w:val="auto"/>
              </w:rPr>
              <w:t>First-lien holdco loan ($106,450 par, due</w:t>
            </w:r>
          </w:p>
        </w:tc>
        <w:tc>
          <w:tcPr>
            <w:tcW w:w="880" w:type="dxa"/>
            <w:vAlign w:val="bottom"/>
            <w:gridSpan w:val="2"/>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4/18/2023</w:t>
            </w:r>
          </w:p>
        </w:tc>
        <w:tc>
          <w:tcPr>
            <w:tcW w:w="120" w:type="dxa"/>
            <w:vAlign w:val="bottom"/>
            <w:shd w:val="clear" w:color="auto" w:fill="CFF0FC"/>
          </w:tcPr>
          <w:p>
            <w:pPr>
              <w:spacing w:after="0"/>
              <w:rPr>
                <w:sz w:val="10"/>
                <w:szCs w:val="10"/>
                <w:color w:val="auto"/>
              </w:rPr>
            </w:pPr>
          </w:p>
        </w:tc>
        <w:tc>
          <w:tcPr>
            <w:tcW w:w="1220" w:type="dxa"/>
            <w:vAlign w:val="bottom"/>
            <w:gridSpan w:val="2"/>
            <w:shd w:val="clear" w:color="auto" w:fill="CFF0FC"/>
          </w:tcPr>
          <w:p>
            <w:pPr>
              <w:jc w:val="right"/>
              <w:ind w:right="260"/>
              <w:spacing w:after="0" w:line="124" w:lineRule="exact"/>
              <w:rPr>
                <w:sz w:val="20"/>
                <w:szCs w:val="20"/>
                <w:color w:val="auto"/>
              </w:rPr>
            </w:pPr>
            <w:r>
              <w:rPr>
                <w:rFonts w:ascii="Times New Roman" w:cs="Times New Roman" w:eastAsia="Times New Roman" w:hAnsi="Times New Roman"/>
                <w:sz w:val="13"/>
                <w:szCs w:val="13"/>
                <w:color w:val="auto"/>
              </w:rPr>
              <w:t>SOFR + 9.00%</w:t>
            </w:r>
          </w:p>
        </w:tc>
        <w:tc>
          <w:tcPr>
            <w:tcW w:w="1180" w:type="dxa"/>
            <w:vAlign w:val="bottom"/>
            <w:gridSpan w:val="3"/>
            <w:shd w:val="clear" w:color="auto" w:fill="CFF0FC"/>
          </w:tcPr>
          <w:p>
            <w:pPr>
              <w:jc w:val="right"/>
              <w:ind w:right="380"/>
              <w:spacing w:after="0" w:line="124" w:lineRule="exact"/>
              <w:rPr>
                <w:sz w:val="20"/>
                <w:szCs w:val="20"/>
                <w:color w:val="auto"/>
              </w:rPr>
            </w:pPr>
            <w:r>
              <w:rPr>
                <w:rFonts w:ascii="Times New Roman" w:cs="Times New Roman" w:eastAsia="Times New Roman" w:hAnsi="Times New Roman"/>
                <w:sz w:val="13"/>
                <w:szCs w:val="13"/>
                <w:color w:val="auto"/>
              </w:rPr>
              <w:t>14.40% PIK</w:t>
            </w:r>
          </w:p>
        </w:tc>
        <w:tc>
          <w:tcPr>
            <w:tcW w:w="84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103,719</w:t>
            </w: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2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105,918</w:t>
            </w:r>
          </w:p>
        </w:tc>
        <w:tc>
          <w:tcPr>
            <w:tcW w:w="1160" w:type="dxa"/>
            <w:vAlign w:val="bottom"/>
            <w:gridSpan w:val="3"/>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5.9 %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58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3"/>
                <w:szCs w:val="13"/>
                <w:color w:val="auto"/>
              </w:rPr>
              <w:t xml:space="preserve">Inc. </w:t>
            </w:r>
            <w:r>
              <w:rPr>
                <w:rFonts w:ascii="Times New Roman" w:cs="Times New Roman" w:eastAsia="Times New Roman" w:hAnsi="Times New Roman"/>
                <w:sz w:val="16"/>
                <w:szCs w:val="16"/>
                <w:color w:val="auto"/>
                <w:vertAlign w:val="superscript"/>
              </w:rPr>
              <w:t>(3)</w:t>
            </w:r>
          </w:p>
        </w:tc>
        <w:tc>
          <w:tcPr>
            <w:tcW w:w="26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10/2030)</w:t>
            </w: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8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Crewline Buyer, Inc. </w:t>
            </w:r>
            <w:r>
              <w:rPr>
                <w:rFonts w:ascii="Times New Roman" w:cs="Times New Roman" w:eastAsia="Times New Roman" w:hAnsi="Times New Roman"/>
                <w:sz w:val="16"/>
                <w:szCs w:val="16"/>
                <w:color w:val="auto"/>
                <w:vertAlign w:val="superscript"/>
              </w:rPr>
              <w:t>(3)</w:t>
            </w:r>
          </w:p>
        </w:tc>
        <w:tc>
          <w:tcPr>
            <w:tcW w:w="12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3"/>
                <w:szCs w:val="13"/>
                <w:color w:val="auto"/>
              </w:rPr>
              <w:t>First-lien loan ($190,636 par, due 11/2030)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11/8/2023</w:t>
            </w:r>
          </w:p>
        </w:tc>
        <w:tc>
          <w:tcPr>
            <w:tcW w:w="12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SOFR + 6.75%</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12.10 %</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185,410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186,952</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10.3 %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Galileo Parent, Inc. </w:t>
            </w:r>
            <w:r>
              <w:rPr>
                <w:rFonts w:ascii="Times New Roman" w:cs="Times New Roman" w:eastAsia="Times New Roman" w:hAnsi="Times New Roman"/>
                <w:sz w:val="16"/>
                <w:szCs w:val="16"/>
                <w:color w:val="auto"/>
                <w:vertAlign w:val="superscript"/>
              </w:rPr>
              <w:t>(3)</w:t>
            </w:r>
          </w:p>
        </w:tc>
        <w:tc>
          <w:tcPr>
            <w:tcW w:w="120" w:type="dxa"/>
            <w:vAlign w:val="bottom"/>
            <w:shd w:val="clear" w:color="auto" w:fill="CFF0FC"/>
          </w:tcPr>
          <w:p>
            <w:pPr>
              <w:spacing w:after="0"/>
              <w:rPr>
                <w:sz w:val="14"/>
                <w:szCs w:val="14"/>
                <w:color w:val="auto"/>
              </w:rPr>
            </w:pPr>
          </w:p>
        </w:tc>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First-lien loan ($151,064 par, due 5/2030)</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5/3/2023</w:t>
            </w:r>
          </w:p>
        </w:tc>
        <w:tc>
          <w:tcPr>
            <w:tcW w:w="1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SOFR + 7.25%</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12.60 %</w:t>
            </w: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146,963</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148,798</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8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First-lien revolving loan ($7,740 par, due</w:t>
            </w:r>
          </w:p>
        </w:tc>
        <w:tc>
          <w:tcPr>
            <w:tcW w:w="88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5/3/2023</w:t>
            </w:r>
          </w:p>
        </w:tc>
        <w:tc>
          <w:tcPr>
            <w:tcW w:w="120" w:type="dxa"/>
            <w:vAlign w:val="bottom"/>
          </w:tcPr>
          <w:p>
            <w:pPr>
              <w:spacing w:after="0"/>
              <w:rPr>
                <w:sz w:val="11"/>
                <w:szCs w:val="11"/>
                <w:color w:val="auto"/>
              </w:rPr>
            </w:pPr>
          </w:p>
        </w:tc>
        <w:tc>
          <w:tcPr>
            <w:tcW w:w="1220" w:type="dxa"/>
            <w:vAlign w:val="bottom"/>
            <w:gridSpan w:val="2"/>
          </w:tcPr>
          <w:p>
            <w:pPr>
              <w:jc w:val="right"/>
              <w:ind w:right="260"/>
              <w:spacing w:after="0" w:line="131" w:lineRule="exact"/>
              <w:rPr>
                <w:sz w:val="20"/>
                <w:szCs w:val="20"/>
                <w:color w:val="auto"/>
              </w:rPr>
            </w:pPr>
            <w:r>
              <w:rPr>
                <w:rFonts w:ascii="Times New Roman" w:cs="Times New Roman" w:eastAsia="Times New Roman" w:hAnsi="Times New Roman"/>
                <w:sz w:val="13"/>
                <w:szCs w:val="13"/>
                <w:color w:val="auto"/>
              </w:rPr>
              <w:t>SOFR + 7.25%</w:t>
            </w:r>
          </w:p>
        </w:tc>
        <w:tc>
          <w:tcPr>
            <w:tcW w:w="1040" w:type="dxa"/>
            <w:vAlign w:val="bottom"/>
            <w:gridSpan w:val="2"/>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12.60 %</w:t>
            </w:r>
          </w:p>
        </w:tc>
        <w:tc>
          <w:tcPr>
            <w:tcW w:w="140" w:type="dxa"/>
            <w:vAlign w:val="bottom"/>
          </w:tcPr>
          <w:p>
            <w:pPr>
              <w:spacing w:after="0"/>
              <w:rPr>
                <w:sz w:val="11"/>
                <w:szCs w:val="11"/>
                <w:color w:val="auto"/>
              </w:rPr>
            </w:pPr>
          </w:p>
        </w:tc>
        <w:tc>
          <w:tcPr>
            <w:tcW w:w="84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7,112</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7,387</w:t>
            </w:r>
          </w:p>
        </w:tc>
        <w:tc>
          <w:tcPr>
            <w:tcW w:w="116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3"/>
                <w:szCs w:val="13"/>
                <w:color w:val="auto"/>
              </w:rPr>
              <w:t>0.4 %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80" w:type="dxa"/>
            <w:vAlign w:val="bottom"/>
          </w:tcPr>
          <w:p>
            <w:pPr>
              <w:spacing w:after="0"/>
              <w:rPr>
                <w:sz w:val="14"/>
                <w:szCs w:val="14"/>
                <w:color w:val="auto"/>
              </w:rPr>
            </w:pPr>
          </w:p>
        </w:tc>
        <w:tc>
          <w:tcPr>
            <w:tcW w:w="26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5/2029)</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580" w:type="dxa"/>
            <w:vAlign w:val="bottom"/>
            <w:shd w:val="clear" w:color="auto" w:fill="CFF0FC"/>
          </w:tcPr>
          <w:p>
            <w:pPr>
              <w:ind w:left="20"/>
              <w:spacing w:after="0" w:line="124" w:lineRule="exact"/>
              <w:rPr>
                <w:sz w:val="20"/>
                <w:szCs w:val="20"/>
                <w:color w:val="auto"/>
              </w:rPr>
            </w:pPr>
            <w:r>
              <w:rPr>
                <w:rFonts w:ascii="Times New Roman" w:cs="Times New Roman" w:eastAsia="Times New Roman" w:hAnsi="Times New Roman"/>
                <w:sz w:val="13"/>
                <w:szCs w:val="13"/>
                <w:color w:val="auto"/>
              </w:rPr>
              <w:t>Hornetsecurity Holding</w:t>
            </w:r>
          </w:p>
        </w:tc>
        <w:tc>
          <w:tcPr>
            <w:tcW w:w="120" w:type="dxa"/>
            <w:vAlign w:val="bottom"/>
            <w:shd w:val="clear" w:color="auto" w:fill="CFF0FC"/>
          </w:tcPr>
          <w:p>
            <w:pPr>
              <w:spacing w:after="0"/>
              <w:rPr>
                <w:sz w:val="10"/>
                <w:szCs w:val="10"/>
                <w:color w:val="auto"/>
              </w:rPr>
            </w:pPr>
          </w:p>
        </w:tc>
        <w:tc>
          <w:tcPr>
            <w:tcW w:w="2480" w:type="dxa"/>
            <w:vAlign w:val="bottom"/>
            <w:shd w:val="clear" w:color="auto" w:fill="CFF0FC"/>
          </w:tcPr>
          <w:p>
            <w:pPr>
              <w:spacing w:after="0" w:line="124" w:lineRule="exact"/>
              <w:rPr>
                <w:sz w:val="20"/>
                <w:szCs w:val="20"/>
                <w:color w:val="auto"/>
              </w:rPr>
            </w:pPr>
            <w:r>
              <w:rPr>
                <w:rFonts w:ascii="Times New Roman" w:cs="Times New Roman" w:eastAsia="Times New Roman" w:hAnsi="Times New Roman"/>
                <w:sz w:val="13"/>
                <w:szCs w:val="13"/>
                <w:color w:val="auto"/>
              </w:rPr>
              <w:t>First-lien loan (EUR 3,150 par, due 11/2029)</w:t>
            </w:r>
          </w:p>
        </w:tc>
        <w:tc>
          <w:tcPr>
            <w:tcW w:w="880" w:type="dxa"/>
            <w:vAlign w:val="bottom"/>
            <w:gridSpan w:val="2"/>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11/14/2022</w:t>
            </w:r>
          </w:p>
        </w:tc>
        <w:tc>
          <w:tcPr>
            <w:tcW w:w="120" w:type="dxa"/>
            <w:vAlign w:val="bottom"/>
            <w:shd w:val="clear" w:color="auto" w:fill="CFF0FC"/>
          </w:tcPr>
          <w:p>
            <w:pPr>
              <w:spacing w:after="0"/>
              <w:rPr>
                <w:sz w:val="10"/>
                <w:szCs w:val="10"/>
                <w:color w:val="auto"/>
              </w:rPr>
            </w:pPr>
          </w:p>
        </w:tc>
        <w:tc>
          <w:tcPr>
            <w:tcW w:w="1220" w:type="dxa"/>
            <w:vAlign w:val="bottom"/>
            <w:gridSpan w:val="2"/>
            <w:shd w:val="clear" w:color="auto" w:fill="CFF0FC"/>
          </w:tcPr>
          <w:p>
            <w:pPr>
              <w:jc w:val="right"/>
              <w:ind w:right="260"/>
              <w:spacing w:after="0" w:line="124" w:lineRule="exact"/>
              <w:rPr>
                <w:sz w:val="20"/>
                <w:szCs w:val="20"/>
                <w:color w:val="auto"/>
              </w:rPr>
            </w:pPr>
            <w:r>
              <w:rPr>
                <w:rFonts w:ascii="Times New Roman" w:cs="Times New Roman" w:eastAsia="Times New Roman" w:hAnsi="Times New Roman"/>
                <w:sz w:val="13"/>
                <w:szCs w:val="13"/>
                <w:color w:val="auto"/>
              </w:rPr>
              <w:t>E + 6.50%</w:t>
            </w:r>
          </w:p>
        </w:tc>
        <w:tc>
          <w:tcPr>
            <w:tcW w:w="1040" w:type="dxa"/>
            <w:vAlign w:val="bottom"/>
            <w:gridSpan w:val="2"/>
            <w:shd w:val="clear" w:color="auto" w:fill="CFF0FC"/>
          </w:tcPr>
          <w:p>
            <w:pPr>
              <w:jc w:val="right"/>
              <w:ind w:right="120"/>
              <w:spacing w:after="0" w:line="124" w:lineRule="exact"/>
              <w:rPr>
                <w:sz w:val="20"/>
                <w:szCs w:val="20"/>
                <w:color w:val="auto"/>
              </w:rPr>
            </w:pPr>
            <w:r>
              <w:rPr>
                <w:rFonts w:ascii="Times New Roman" w:cs="Times New Roman" w:eastAsia="Times New Roman" w:hAnsi="Times New Roman"/>
                <w:sz w:val="13"/>
                <w:szCs w:val="13"/>
                <w:color w:val="auto"/>
              </w:rPr>
              <w:t>10.50 %</w:t>
            </w:r>
          </w:p>
        </w:tc>
        <w:tc>
          <w:tcPr>
            <w:tcW w:w="14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3,158</w:t>
            </w: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2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3,536</w:t>
            </w:r>
          </w:p>
        </w:tc>
        <w:tc>
          <w:tcPr>
            <w:tcW w:w="1160" w:type="dxa"/>
            <w:vAlign w:val="bottom"/>
            <w:gridSpan w:val="3"/>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0.2 %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580" w:type="dxa"/>
            <w:vAlign w:val="bottom"/>
            <w:shd w:val="clear" w:color="auto" w:fill="CFF0FC"/>
          </w:tcPr>
          <w:p>
            <w:pPr>
              <w:ind w:left="20"/>
              <w:spacing w:after="0" w:line="176" w:lineRule="exact"/>
              <w:rPr>
                <w:sz w:val="20"/>
                <w:szCs w:val="20"/>
                <w:color w:val="auto"/>
              </w:rPr>
            </w:pPr>
            <w:r>
              <w:rPr>
                <w:rFonts w:ascii="Times New Roman" w:cs="Times New Roman" w:eastAsia="Times New Roman" w:hAnsi="Times New Roman"/>
                <w:sz w:val="20"/>
                <w:szCs w:val="20"/>
                <w:color w:val="auto"/>
                <w:vertAlign w:val="subscript"/>
              </w:rPr>
              <w:t>GmbH</w:t>
            </w:r>
            <w:r>
              <w:rPr>
                <w:rFonts w:ascii="Times New Roman" w:cs="Times New Roman" w:eastAsia="Times New Roman" w:hAnsi="Times New Roman"/>
                <w:sz w:val="8"/>
                <w:szCs w:val="8"/>
                <w:color w:val="auto"/>
              </w:rPr>
              <w:t xml:space="preserve"> (3)(4)</w:t>
            </w:r>
          </w:p>
        </w:tc>
        <w:tc>
          <w:tcPr>
            <w:tcW w:w="120" w:type="dxa"/>
            <w:vAlign w:val="bottom"/>
            <w:shd w:val="clear" w:color="auto" w:fill="CFF0FC"/>
          </w:tcPr>
          <w:p>
            <w:pPr>
              <w:spacing w:after="0"/>
              <w:rPr>
                <w:sz w:val="15"/>
                <w:szCs w:val="15"/>
                <w:color w:val="auto"/>
              </w:rPr>
            </w:pPr>
          </w:p>
        </w:tc>
        <w:tc>
          <w:tcPr>
            <w:tcW w:w="2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3,201)</w:t>
            </w: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5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OutSystems Luxco SARL</w:t>
            </w:r>
            <w:r>
              <w:rPr>
                <w:rFonts w:ascii="Times New Roman" w:cs="Times New Roman" w:eastAsia="Times New Roman" w:hAnsi="Times New Roman"/>
                <w:sz w:val="14"/>
                <w:szCs w:val="14"/>
                <w:color w:val="auto"/>
                <w:vertAlign w:val="superscript"/>
              </w:rPr>
              <w:t>(3)(4)</w:t>
            </w:r>
          </w:p>
        </w:tc>
        <w:tc>
          <w:tcPr>
            <w:tcW w:w="120" w:type="dxa"/>
            <w:vAlign w:val="bottom"/>
          </w:tcPr>
          <w:p>
            <w:pPr>
              <w:spacing w:after="0"/>
              <w:rPr>
                <w:sz w:val="10"/>
                <w:szCs w:val="10"/>
                <w:color w:val="auto"/>
              </w:rPr>
            </w:pPr>
          </w:p>
        </w:tc>
        <w:tc>
          <w:tcPr>
            <w:tcW w:w="248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First-lien loan (EUR 3,004 par, due 12/2028)</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12/8/2022</w:t>
            </w:r>
          </w:p>
        </w:tc>
        <w:tc>
          <w:tcPr>
            <w:tcW w:w="120" w:type="dxa"/>
            <w:vAlign w:val="bottom"/>
          </w:tcPr>
          <w:p>
            <w:pPr>
              <w:spacing w:after="0"/>
              <w:rPr>
                <w:sz w:val="10"/>
                <w:szCs w:val="10"/>
                <w:color w:val="auto"/>
              </w:rPr>
            </w:pPr>
          </w:p>
        </w:tc>
        <w:tc>
          <w:tcPr>
            <w:tcW w:w="122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3"/>
                <w:szCs w:val="13"/>
                <w:color w:val="auto"/>
              </w:rPr>
              <w:t>E + 5.75%</w:t>
            </w:r>
          </w:p>
        </w:tc>
        <w:tc>
          <w:tcPr>
            <w:tcW w:w="10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3"/>
                <w:szCs w:val="13"/>
                <w:color w:val="auto"/>
              </w:rPr>
              <w:t>9.59 %</w:t>
            </w:r>
          </w:p>
        </w:tc>
        <w:tc>
          <w:tcPr>
            <w:tcW w:w="14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3,094</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3,332</w:t>
            </w:r>
          </w:p>
        </w:tc>
        <w:tc>
          <w:tcPr>
            <w:tcW w:w="11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3"/>
                <w:szCs w:val="13"/>
                <w:color w:val="auto"/>
              </w:rPr>
              <w:t>0.2 %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580" w:type="dxa"/>
            <w:vAlign w:val="bottom"/>
          </w:tcPr>
          <w:p>
            <w:pPr>
              <w:ind w:left="20"/>
              <w:spacing w:after="0"/>
              <w:rPr>
                <w:sz w:val="20"/>
                <w:szCs w:val="20"/>
                <w:color w:val="auto"/>
              </w:rPr>
            </w:pPr>
            <w:r>
              <w:rPr>
                <w:rFonts w:ascii="Times New Roman" w:cs="Times New Roman" w:eastAsia="Times New Roman" w:hAnsi="Times New Roman"/>
                <w:sz w:val="8"/>
                <w:szCs w:val="8"/>
                <w:color w:val="auto"/>
              </w:rPr>
              <w:t>(5)</w:t>
            </w:r>
          </w:p>
        </w:tc>
        <w:tc>
          <w:tcPr>
            <w:tcW w:w="1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(EUR 3,016)</w:t>
            </w: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158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2"/>
                <w:szCs w:val="12"/>
                <w:color w:val="auto"/>
              </w:rPr>
              <w:t xml:space="preserve">Price Fx Inc. </w:t>
            </w:r>
            <w:r>
              <w:rPr>
                <w:rFonts w:ascii="Times New Roman" w:cs="Times New Roman" w:eastAsia="Times New Roman" w:hAnsi="Times New Roman"/>
                <w:sz w:val="15"/>
                <w:szCs w:val="15"/>
                <w:color w:val="auto"/>
                <w:vertAlign w:val="superscript"/>
              </w:rPr>
              <w:t>(3)(4)</w:t>
            </w:r>
          </w:p>
        </w:tc>
        <w:tc>
          <w:tcPr>
            <w:tcW w:w="120" w:type="dxa"/>
            <w:vAlign w:val="bottom"/>
            <w:shd w:val="clear" w:color="auto" w:fill="CFF0FC"/>
          </w:tcPr>
          <w:p>
            <w:pPr>
              <w:spacing w:after="0"/>
              <w:rPr>
                <w:sz w:val="11"/>
                <w:szCs w:val="11"/>
                <w:color w:val="auto"/>
              </w:rPr>
            </w:pPr>
          </w:p>
        </w:tc>
        <w:tc>
          <w:tcPr>
            <w:tcW w:w="248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3"/>
                <w:szCs w:val="13"/>
                <w:color w:val="auto"/>
              </w:rPr>
              <w:t>First-lien loan (EUR 910 par, due 10/2029)</w:t>
            </w:r>
          </w:p>
        </w:tc>
        <w:tc>
          <w:tcPr>
            <w:tcW w:w="88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10/27/2023</w:t>
            </w:r>
          </w:p>
        </w:tc>
        <w:tc>
          <w:tcPr>
            <w:tcW w:w="12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260"/>
              <w:spacing w:after="0" w:line="133" w:lineRule="exact"/>
              <w:rPr>
                <w:sz w:val="20"/>
                <w:szCs w:val="20"/>
                <w:color w:val="auto"/>
              </w:rPr>
            </w:pPr>
            <w:r>
              <w:rPr>
                <w:rFonts w:ascii="Times New Roman" w:cs="Times New Roman" w:eastAsia="Times New Roman" w:hAnsi="Times New Roman"/>
                <w:sz w:val="13"/>
                <w:szCs w:val="13"/>
                <w:color w:val="auto"/>
              </w:rPr>
              <w:t>E + 7.00%</w:t>
            </w:r>
          </w:p>
        </w:tc>
        <w:tc>
          <w:tcPr>
            <w:tcW w:w="1040" w:type="dxa"/>
            <w:vAlign w:val="bottom"/>
            <w:gridSpan w:val="2"/>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10.94 %</w:t>
            </w:r>
          </w:p>
        </w:tc>
        <w:tc>
          <w:tcPr>
            <w:tcW w:w="14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962</w:t>
            </w: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983</w:t>
            </w:r>
          </w:p>
        </w:tc>
        <w:tc>
          <w:tcPr>
            <w:tcW w:w="1160" w:type="dxa"/>
            <w:vAlign w:val="bottom"/>
            <w:gridSpan w:val="3"/>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0.1 %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890)</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Wrangler TopCo, LLC </w:t>
            </w:r>
            <w:r>
              <w:rPr>
                <w:rFonts w:ascii="Times New Roman" w:cs="Times New Roman" w:eastAsia="Times New Roman" w:hAnsi="Times New Roman"/>
                <w:sz w:val="16"/>
                <w:szCs w:val="16"/>
                <w:color w:val="auto"/>
                <w:vertAlign w:val="superscript"/>
              </w:rPr>
              <w:t>(3)</w:t>
            </w:r>
          </w:p>
        </w:tc>
        <w:tc>
          <w:tcPr>
            <w:tcW w:w="12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3"/>
                <w:szCs w:val="13"/>
                <w:color w:val="auto"/>
              </w:rPr>
              <w:t>First-lien loan ($93,847 par, due 7/2029)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7/7/2023</w:t>
            </w:r>
          </w:p>
        </w:tc>
        <w:tc>
          <w:tcPr>
            <w:tcW w:w="12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SOFR + 7.50%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12.88 %</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91,386</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93,072</w:t>
            </w:r>
          </w:p>
        </w:tc>
        <w:tc>
          <w:tcPr>
            <w:tcW w:w="2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750,042</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761,855</w:t>
            </w:r>
          </w:p>
        </w:tc>
        <w:tc>
          <w:tcPr>
            <w:tcW w:w="2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42.1 %</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Chemicals</w:t>
            </w:r>
          </w:p>
        </w:tc>
        <w:tc>
          <w:tcPr>
            <w:tcW w:w="120" w:type="dxa"/>
            <w:vAlign w:val="bottom"/>
            <w:tcBorders>
              <w:top w:val="single" w:sz="8" w:color="CFF0FC"/>
            </w:tcBorders>
          </w:tcPr>
          <w:p>
            <w:pPr>
              <w:spacing w:after="0"/>
              <w:rPr>
                <w:sz w:val="13"/>
                <w:szCs w:val="13"/>
                <w:color w:val="auto"/>
              </w:rPr>
            </w:pPr>
          </w:p>
        </w:tc>
        <w:tc>
          <w:tcPr>
            <w:tcW w:w="248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76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980" w:type="dxa"/>
            <w:vAlign w:val="bottom"/>
            <w:tcBorders>
              <w:top w:val="single" w:sz="8" w:color="CFF0FC"/>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800" w:type="dxa"/>
            <w:vAlign w:val="bottom"/>
            <w:tcBorders>
              <w:top w:val="single" w:sz="8" w:color="CFF0FC"/>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58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2"/>
                <w:szCs w:val="12"/>
                <w:color w:val="auto"/>
              </w:rPr>
              <w:t xml:space="preserve">Erling Lux Bidco SARL </w:t>
            </w:r>
            <w:r>
              <w:rPr>
                <w:rFonts w:ascii="Times New Roman" w:cs="Times New Roman" w:eastAsia="Times New Roman" w:hAnsi="Times New Roman"/>
                <w:sz w:val="15"/>
                <w:szCs w:val="15"/>
                <w:color w:val="auto"/>
                <w:vertAlign w:val="superscript"/>
              </w:rPr>
              <w:t>(3)(4)</w:t>
            </w:r>
          </w:p>
        </w:tc>
        <w:tc>
          <w:tcPr>
            <w:tcW w:w="120" w:type="dxa"/>
            <w:vAlign w:val="bottom"/>
            <w:shd w:val="clear" w:color="auto" w:fill="CFF0FC"/>
          </w:tcPr>
          <w:p>
            <w:pPr>
              <w:spacing w:after="0"/>
              <w:rPr>
                <w:sz w:val="11"/>
                <w:szCs w:val="11"/>
                <w:color w:val="auto"/>
              </w:rPr>
            </w:pPr>
          </w:p>
        </w:tc>
        <w:tc>
          <w:tcPr>
            <w:tcW w:w="248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First-lien loan (EUR 7,239 par, due 9/2028)</w:t>
            </w:r>
          </w:p>
        </w:tc>
        <w:tc>
          <w:tcPr>
            <w:tcW w:w="880" w:type="dxa"/>
            <w:vAlign w:val="bottom"/>
            <w:gridSpan w:val="2"/>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9/6/2022</w:t>
            </w:r>
          </w:p>
        </w:tc>
        <w:tc>
          <w:tcPr>
            <w:tcW w:w="12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260"/>
              <w:spacing w:after="0" w:line="131" w:lineRule="exact"/>
              <w:rPr>
                <w:sz w:val="20"/>
                <w:szCs w:val="20"/>
                <w:color w:val="auto"/>
              </w:rPr>
            </w:pPr>
            <w:r>
              <w:rPr>
                <w:rFonts w:ascii="Times New Roman" w:cs="Times New Roman" w:eastAsia="Times New Roman" w:hAnsi="Times New Roman"/>
                <w:sz w:val="13"/>
                <w:szCs w:val="13"/>
                <w:color w:val="auto"/>
              </w:rPr>
              <w:t>E + 6.75%</w:t>
            </w:r>
          </w:p>
        </w:tc>
        <w:tc>
          <w:tcPr>
            <w:tcW w:w="1040" w:type="dxa"/>
            <w:vAlign w:val="bottom"/>
            <w:gridSpan w:val="2"/>
            <w:shd w:val="clear" w:color="auto" w:fill="CFF0FC"/>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10.70 %</w:t>
            </w:r>
          </w:p>
        </w:tc>
        <w:tc>
          <w:tcPr>
            <w:tcW w:w="14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6,965</w:t>
            </w: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8,053</w:t>
            </w:r>
          </w:p>
        </w:tc>
        <w:tc>
          <w:tcPr>
            <w:tcW w:w="1160" w:type="dxa"/>
            <w:vAlign w:val="bottom"/>
            <w:gridSpan w:val="3"/>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0.4 %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7,290)</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8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First-lien loan (GBP 12,287 par, due 9/2028)</w:t>
            </w:r>
          </w:p>
        </w:tc>
        <w:tc>
          <w:tcPr>
            <w:tcW w:w="88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9/6/2022</w:t>
            </w:r>
          </w:p>
        </w:tc>
        <w:tc>
          <w:tcPr>
            <w:tcW w:w="120" w:type="dxa"/>
            <w:vAlign w:val="bottom"/>
          </w:tcPr>
          <w:p>
            <w:pPr>
              <w:spacing w:after="0"/>
              <w:rPr>
                <w:sz w:val="11"/>
                <w:szCs w:val="11"/>
                <w:color w:val="auto"/>
              </w:rPr>
            </w:pPr>
          </w:p>
        </w:tc>
        <w:tc>
          <w:tcPr>
            <w:tcW w:w="1220" w:type="dxa"/>
            <w:vAlign w:val="bottom"/>
            <w:gridSpan w:val="2"/>
          </w:tcPr>
          <w:p>
            <w:pPr>
              <w:jc w:val="right"/>
              <w:ind w:right="260"/>
              <w:spacing w:after="0" w:line="131" w:lineRule="exact"/>
              <w:rPr>
                <w:sz w:val="20"/>
                <w:szCs w:val="20"/>
                <w:color w:val="auto"/>
              </w:rPr>
            </w:pPr>
            <w:r>
              <w:rPr>
                <w:rFonts w:ascii="Times New Roman" w:cs="Times New Roman" w:eastAsia="Times New Roman" w:hAnsi="Times New Roman"/>
                <w:sz w:val="13"/>
                <w:szCs w:val="13"/>
                <w:color w:val="auto"/>
              </w:rPr>
              <w:t>S + 6.75%</w:t>
            </w:r>
          </w:p>
        </w:tc>
        <w:tc>
          <w:tcPr>
            <w:tcW w:w="1040" w:type="dxa"/>
            <w:vAlign w:val="bottom"/>
            <w:gridSpan w:val="2"/>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11.98 %</w:t>
            </w:r>
          </w:p>
        </w:tc>
        <w:tc>
          <w:tcPr>
            <w:tcW w:w="140" w:type="dxa"/>
            <w:vAlign w:val="bottom"/>
          </w:tcPr>
          <w:p>
            <w:pPr>
              <w:spacing w:after="0"/>
              <w:rPr>
                <w:sz w:val="11"/>
                <w:szCs w:val="11"/>
                <w:color w:val="auto"/>
              </w:rPr>
            </w:pPr>
          </w:p>
        </w:tc>
        <w:tc>
          <w:tcPr>
            <w:tcW w:w="84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13,880</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15,741</w:t>
            </w:r>
          </w:p>
        </w:tc>
        <w:tc>
          <w:tcPr>
            <w:tcW w:w="116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3"/>
                <w:szCs w:val="13"/>
                <w:color w:val="auto"/>
              </w:rPr>
              <w:t>0.9 %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(GBP 12,349)</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48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3"/>
                <w:szCs w:val="13"/>
                <w:color w:val="auto"/>
              </w:rPr>
              <w:t>First-lien revolving loan (GBP 312 par, due</w:t>
            </w:r>
          </w:p>
        </w:tc>
        <w:tc>
          <w:tcPr>
            <w:tcW w:w="88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9/6/2022</w:t>
            </w:r>
          </w:p>
        </w:tc>
        <w:tc>
          <w:tcPr>
            <w:tcW w:w="12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260"/>
              <w:spacing w:after="0" w:line="133" w:lineRule="exact"/>
              <w:rPr>
                <w:sz w:val="20"/>
                <w:szCs w:val="20"/>
                <w:color w:val="auto"/>
              </w:rPr>
            </w:pPr>
            <w:r>
              <w:rPr>
                <w:rFonts w:ascii="Times New Roman" w:cs="Times New Roman" w:eastAsia="Times New Roman" w:hAnsi="Times New Roman"/>
                <w:sz w:val="13"/>
                <w:szCs w:val="13"/>
                <w:color w:val="auto"/>
              </w:rPr>
              <w:t>S + 6.75%</w:t>
            </w:r>
          </w:p>
        </w:tc>
        <w:tc>
          <w:tcPr>
            <w:tcW w:w="1040" w:type="dxa"/>
            <w:vAlign w:val="bottom"/>
            <w:gridSpan w:val="2"/>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11.98 %</w:t>
            </w:r>
          </w:p>
        </w:tc>
        <w:tc>
          <w:tcPr>
            <w:tcW w:w="14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400</w:t>
            </w: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399</w:t>
            </w:r>
          </w:p>
        </w:tc>
        <w:tc>
          <w:tcPr>
            <w:tcW w:w="1160" w:type="dxa"/>
            <w:vAlign w:val="bottom"/>
            <w:gridSpan w:val="3"/>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0.0 %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580" w:type="dxa"/>
            <w:vAlign w:val="bottom"/>
            <w:tcBorders>
              <w:bottom w:val="single" w:sz="8" w:color="CFF0FC"/>
            </w:tcBorders>
            <w:shd w:val="clear" w:color="auto" w:fill="CFF0FC"/>
          </w:tcPr>
          <w:p>
            <w:pPr>
              <w:spacing w:after="0"/>
              <w:rPr>
                <w:sz w:val="14"/>
                <w:szCs w:val="14"/>
                <w:color w:val="auto"/>
              </w:rPr>
            </w:pPr>
          </w:p>
        </w:tc>
        <w:tc>
          <w:tcPr>
            <w:tcW w:w="260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9/2028)</w:t>
            </w:r>
          </w:p>
        </w:tc>
        <w:tc>
          <w:tcPr>
            <w:tcW w:w="1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(GBP 313)</w:t>
            </w:r>
          </w:p>
        </w:tc>
        <w:tc>
          <w:tcPr>
            <w:tcW w:w="2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21,245</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24,193</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Communications</w:t>
            </w:r>
          </w:p>
        </w:tc>
        <w:tc>
          <w:tcPr>
            <w:tcW w:w="120" w:type="dxa"/>
            <w:vAlign w:val="bottom"/>
            <w:shd w:val="clear" w:color="auto" w:fill="CFF0FC"/>
          </w:tcPr>
          <w:p>
            <w:pPr>
              <w:spacing w:after="0"/>
              <w:rPr>
                <w:sz w:val="13"/>
                <w:szCs w:val="13"/>
                <w:color w:val="auto"/>
              </w:rPr>
            </w:pPr>
          </w:p>
        </w:tc>
        <w:tc>
          <w:tcPr>
            <w:tcW w:w="2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122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5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Banyan Software Holdings,</w:t>
            </w:r>
          </w:p>
        </w:tc>
        <w:tc>
          <w:tcPr>
            <w:tcW w:w="120" w:type="dxa"/>
            <w:vAlign w:val="bottom"/>
          </w:tcPr>
          <w:p>
            <w:pPr>
              <w:spacing w:after="0"/>
              <w:rPr>
                <w:sz w:val="10"/>
                <w:szCs w:val="10"/>
                <w:color w:val="auto"/>
              </w:rPr>
            </w:pPr>
          </w:p>
        </w:tc>
        <w:tc>
          <w:tcPr>
            <w:tcW w:w="248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First-lien loan ($59,477 par, due 10/2026)</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1/27/2023</w:t>
            </w:r>
          </w:p>
        </w:tc>
        <w:tc>
          <w:tcPr>
            <w:tcW w:w="120" w:type="dxa"/>
            <w:vAlign w:val="bottom"/>
          </w:tcPr>
          <w:p>
            <w:pPr>
              <w:spacing w:after="0"/>
              <w:rPr>
                <w:sz w:val="10"/>
                <w:szCs w:val="10"/>
                <w:color w:val="auto"/>
              </w:rPr>
            </w:pPr>
          </w:p>
        </w:tc>
        <w:tc>
          <w:tcPr>
            <w:tcW w:w="122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3"/>
                <w:szCs w:val="13"/>
                <w:color w:val="auto"/>
              </w:rPr>
              <w:t>SOFR + 7.35%</w:t>
            </w:r>
          </w:p>
        </w:tc>
        <w:tc>
          <w:tcPr>
            <w:tcW w:w="10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3"/>
                <w:szCs w:val="13"/>
                <w:color w:val="auto"/>
              </w:rPr>
              <w:t>12.71 %</w:t>
            </w:r>
          </w:p>
        </w:tc>
        <w:tc>
          <w:tcPr>
            <w:tcW w:w="14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57,589</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59,477</w:t>
            </w:r>
          </w:p>
        </w:tc>
        <w:tc>
          <w:tcPr>
            <w:tcW w:w="11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3"/>
                <w:szCs w:val="13"/>
                <w:color w:val="auto"/>
              </w:rPr>
              <w:t>3.3 %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580" w:type="dxa"/>
            <w:vAlign w:val="bottom"/>
          </w:tcPr>
          <w:p>
            <w:pPr>
              <w:ind w:left="20"/>
              <w:spacing w:after="0" w:line="176" w:lineRule="exact"/>
              <w:rPr>
                <w:sz w:val="20"/>
                <w:szCs w:val="20"/>
                <w:color w:val="auto"/>
              </w:rPr>
            </w:pPr>
            <w:r>
              <w:rPr>
                <w:rFonts w:ascii="Times New Roman" w:cs="Times New Roman" w:eastAsia="Times New Roman" w:hAnsi="Times New Roman"/>
                <w:sz w:val="20"/>
                <w:szCs w:val="20"/>
                <w:color w:val="auto"/>
                <w:vertAlign w:val="subscript"/>
              </w:rPr>
              <w:t>LLC</w:t>
            </w:r>
            <w:r>
              <w:rPr>
                <w:rFonts w:ascii="Times New Roman" w:cs="Times New Roman" w:eastAsia="Times New Roman" w:hAnsi="Times New Roman"/>
                <w:sz w:val="8"/>
                <w:szCs w:val="8"/>
                <w:color w:val="auto"/>
              </w:rPr>
              <w:t xml:space="preserve"> (3)(4)</w:t>
            </w:r>
          </w:p>
        </w:tc>
        <w:tc>
          <w:tcPr>
            <w:tcW w:w="1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Education</w:t>
            </w:r>
          </w:p>
        </w:tc>
        <w:tc>
          <w:tcPr>
            <w:tcW w:w="120" w:type="dxa"/>
            <w:vAlign w:val="bottom"/>
            <w:shd w:val="clear" w:color="auto" w:fill="CFF0FC"/>
          </w:tcPr>
          <w:p>
            <w:pPr>
              <w:spacing w:after="0"/>
              <w:rPr>
                <w:sz w:val="14"/>
                <w:szCs w:val="14"/>
                <w:color w:val="auto"/>
              </w:rPr>
            </w:pPr>
          </w:p>
        </w:tc>
        <w:tc>
          <w:tcPr>
            <w:tcW w:w="2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Kangaroo Bidco AS </w:t>
            </w:r>
            <w:r>
              <w:rPr>
                <w:rFonts w:ascii="Times New Roman" w:cs="Times New Roman" w:eastAsia="Times New Roman" w:hAnsi="Times New Roman"/>
                <w:sz w:val="16"/>
                <w:szCs w:val="16"/>
                <w:color w:val="auto"/>
                <w:vertAlign w:val="superscript"/>
              </w:rPr>
              <w:t>(3)(4)</w:t>
            </w:r>
          </w:p>
        </w:tc>
        <w:tc>
          <w:tcPr>
            <w:tcW w:w="12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3"/>
                <w:szCs w:val="13"/>
                <w:color w:val="auto"/>
              </w:rPr>
              <w:t>First-lien loan ($146,183 par, due 11/2030)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11/2/2023</w:t>
            </w:r>
          </w:p>
        </w:tc>
        <w:tc>
          <w:tcPr>
            <w:tcW w:w="12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SOFR + 7.50%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12.94 %</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140,690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141,682</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7.8 %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Financial Services</w:t>
            </w:r>
          </w:p>
        </w:tc>
        <w:tc>
          <w:tcPr>
            <w:tcW w:w="120" w:type="dxa"/>
            <w:vAlign w:val="bottom"/>
            <w:shd w:val="clear" w:color="auto" w:fill="CFF0FC"/>
          </w:tcPr>
          <w:p>
            <w:pPr>
              <w:spacing w:after="0"/>
              <w:rPr>
                <w:sz w:val="14"/>
                <w:szCs w:val="14"/>
                <w:color w:val="auto"/>
              </w:rPr>
            </w:pPr>
          </w:p>
        </w:tc>
        <w:tc>
          <w:tcPr>
            <w:tcW w:w="2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580" w:type="dxa"/>
            <w:vAlign w:val="bottom"/>
          </w:tcPr>
          <w:p>
            <w:pPr>
              <w:ind w:left="20"/>
              <w:spacing w:after="0" w:line="131" w:lineRule="exact"/>
              <w:rPr>
                <w:sz w:val="20"/>
                <w:szCs w:val="20"/>
                <w:color w:val="auto"/>
              </w:rPr>
            </w:pPr>
            <w:r>
              <w:rPr>
                <w:rFonts w:ascii="Times New Roman" w:cs="Times New Roman" w:eastAsia="Times New Roman" w:hAnsi="Times New Roman"/>
                <w:sz w:val="12"/>
                <w:szCs w:val="12"/>
                <w:color w:val="auto"/>
              </w:rPr>
              <w:t xml:space="preserve">Alaska Bidco Oy </w:t>
            </w:r>
            <w:r>
              <w:rPr>
                <w:rFonts w:ascii="Times New Roman" w:cs="Times New Roman" w:eastAsia="Times New Roman" w:hAnsi="Times New Roman"/>
                <w:sz w:val="15"/>
                <w:szCs w:val="15"/>
                <w:color w:val="auto"/>
                <w:vertAlign w:val="superscript"/>
              </w:rPr>
              <w:t>(3)(4)</w:t>
            </w:r>
          </w:p>
        </w:tc>
        <w:tc>
          <w:tcPr>
            <w:tcW w:w="120" w:type="dxa"/>
            <w:vAlign w:val="bottom"/>
          </w:tcPr>
          <w:p>
            <w:pPr>
              <w:spacing w:after="0"/>
              <w:rPr>
                <w:sz w:val="11"/>
                <w:szCs w:val="11"/>
                <w:color w:val="auto"/>
              </w:rPr>
            </w:pPr>
          </w:p>
        </w:tc>
        <w:tc>
          <w:tcPr>
            <w:tcW w:w="248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First-lien loan (EUR 727 par, due 5/2030)</w:t>
            </w:r>
          </w:p>
        </w:tc>
        <w:tc>
          <w:tcPr>
            <w:tcW w:w="88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5/30/2023</w:t>
            </w:r>
          </w:p>
        </w:tc>
        <w:tc>
          <w:tcPr>
            <w:tcW w:w="120" w:type="dxa"/>
            <w:vAlign w:val="bottom"/>
          </w:tcPr>
          <w:p>
            <w:pPr>
              <w:spacing w:after="0"/>
              <w:rPr>
                <w:sz w:val="11"/>
                <w:szCs w:val="11"/>
                <w:color w:val="auto"/>
              </w:rPr>
            </w:pPr>
          </w:p>
        </w:tc>
        <w:tc>
          <w:tcPr>
            <w:tcW w:w="1220" w:type="dxa"/>
            <w:vAlign w:val="bottom"/>
            <w:gridSpan w:val="2"/>
          </w:tcPr>
          <w:p>
            <w:pPr>
              <w:jc w:val="right"/>
              <w:ind w:right="260"/>
              <w:spacing w:after="0" w:line="131" w:lineRule="exact"/>
              <w:rPr>
                <w:sz w:val="20"/>
                <w:szCs w:val="20"/>
                <w:color w:val="auto"/>
              </w:rPr>
            </w:pPr>
            <w:r>
              <w:rPr>
                <w:rFonts w:ascii="Times New Roman" w:cs="Times New Roman" w:eastAsia="Times New Roman" w:hAnsi="Times New Roman"/>
                <w:sz w:val="13"/>
                <w:szCs w:val="13"/>
                <w:color w:val="auto"/>
              </w:rPr>
              <w:t>E + 6.25%</w:t>
            </w:r>
          </w:p>
        </w:tc>
        <w:tc>
          <w:tcPr>
            <w:tcW w:w="1040" w:type="dxa"/>
            <w:vAlign w:val="bottom"/>
            <w:gridSpan w:val="2"/>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10.39 %</w:t>
            </w:r>
          </w:p>
        </w:tc>
        <w:tc>
          <w:tcPr>
            <w:tcW w:w="140" w:type="dxa"/>
            <w:vAlign w:val="bottom"/>
          </w:tcPr>
          <w:p>
            <w:pPr>
              <w:spacing w:after="0"/>
              <w:rPr>
                <w:sz w:val="11"/>
                <w:szCs w:val="11"/>
                <w:color w:val="auto"/>
              </w:rPr>
            </w:pPr>
          </w:p>
        </w:tc>
        <w:tc>
          <w:tcPr>
            <w:tcW w:w="84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755</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796</w:t>
            </w:r>
          </w:p>
        </w:tc>
        <w:tc>
          <w:tcPr>
            <w:tcW w:w="116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3"/>
                <w:szCs w:val="13"/>
                <w:color w:val="auto"/>
              </w:rPr>
              <w:t>0.0 %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720)</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580" w:type="dxa"/>
            <w:vAlign w:val="bottom"/>
            <w:shd w:val="clear" w:color="auto" w:fill="CFF0FC"/>
          </w:tcPr>
          <w:p>
            <w:pPr>
              <w:ind w:left="20"/>
              <w:spacing w:after="0" w:line="124" w:lineRule="exact"/>
              <w:rPr>
                <w:sz w:val="20"/>
                <w:szCs w:val="20"/>
                <w:color w:val="auto"/>
              </w:rPr>
            </w:pPr>
            <w:r>
              <w:rPr>
                <w:rFonts w:ascii="Times New Roman" w:cs="Times New Roman" w:eastAsia="Times New Roman" w:hAnsi="Times New Roman"/>
                <w:sz w:val="11"/>
                <w:szCs w:val="11"/>
                <w:color w:val="auto"/>
              </w:rPr>
              <w:t xml:space="preserve">BCTO Bluebill Buyer, Inc. </w:t>
            </w:r>
            <w:r>
              <w:rPr>
                <w:rFonts w:ascii="Times New Roman" w:cs="Times New Roman" w:eastAsia="Times New Roman" w:hAnsi="Times New Roman"/>
                <w:sz w:val="14"/>
                <w:szCs w:val="14"/>
                <w:color w:val="auto"/>
                <w:vertAlign w:val="superscript"/>
              </w:rPr>
              <w:t>(3)</w:t>
            </w:r>
          </w:p>
        </w:tc>
        <w:tc>
          <w:tcPr>
            <w:tcW w:w="120" w:type="dxa"/>
            <w:vAlign w:val="bottom"/>
            <w:shd w:val="clear" w:color="auto" w:fill="CFF0FC"/>
          </w:tcPr>
          <w:p>
            <w:pPr>
              <w:spacing w:after="0"/>
              <w:rPr>
                <w:sz w:val="10"/>
                <w:szCs w:val="10"/>
                <w:color w:val="auto"/>
              </w:rPr>
            </w:pPr>
          </w:p>
        </w:tc>
        <w:tc>
          <w:tcPr>
            <w:tcW w:w="2480" w:type="dxa"/>
            <w:vAlign w:val="bottom"/>
            <w:shd w:val="clear" w:color="auto" w:fill="CFF0FC"/>
          </w:tcPr>
          <w:p>
            <w:pPr>
              <w:spacing w:after="0" w:line="124" w:lineRule="exact"/>
              <w:rPr>
                <w:sz w:val="20"/>
                <w:szCs w:val="20"/>
                <w:color w:val="auto"/>
              </w:rPr>
            </w:pPr>
            <w:r>
              <w:rPr>
                <w:rFonts w:ascii="Times New Roman" w:cs="Times New Roman" w:eastAsia="Times New Roman" w:hAnsi="Times New Roman"/>
                <w:sz w:val="13"/>
                <w:szCs w:val="13"/>
                <w:color w:val="auto"/>
              </w:rPr>
              <w:t>First-lien loan ($7,425 par, due 7/2029)</w:t>
            </w:r>
          </w:p>
        </w:tc>
        <w:tc>
          <w:tcPr>
            <w:tcW w:w="880" w:type="dxa"/>
            <w:vAlign w:val="bottom"/>
            <w:gridSpan w:val="2"/>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7/20/2023</w:t>
            </w:r>
          </w:p>
        </w:tc>
        <w:tc>
          <w:tcPr>
            <w:tcW w:w="120" w:type="dxa"/>
            <w:vAlign w:val="bottom"/>
            <w:shd w:val="clear" w:color="auto" w:fill="CFF0FC"/>
          </w:tcPr>
          <w:p>
            <w:pPr>
              <w:spacing w:after="0"/>
              <w:rPr>
                <w:sz w:val="10"/>
                <w:szCs w:val="10"/>
                <w:color w:val="auto"/>
              </w:rPr>
            </w:pPr>
          </w:p>
        </w:tc>
        <w:tc>
          <w:tcPr>
            <w:tcW w:w="1220" w:type="dxa"/>
            <w:vAlign w:val="bottom"/>
            <w:gridSpan w:val="2"/>
            <w:shd w:val="clear" w:color="auto" w:fill="CFF0FC"/>
          </w:tcPr>
          <w:p>
            <w:pPr>
              <w:jc w:val="right"/>
              <w:ind w:right="260"/>
              <w:spacing w:after="0" w:line="124" w:lineRule="exact"/>
              <w:rPr>
                <w:sz w:val="20"/>
                <w:szCs w:val="20"/>
                <w:color w:val="auto"/>
              </w:rPr>
            </w:pPr>
            <w:r>
              <w:rPr>
                <w:rFonts w:ascii="Times New Roman" w:cs="Times New Roman" w:eastAsia="Times New Roman" w:hAnsi="Times New Roman"/>
                <w:sz w:val="13"/>
                <w:szCs w:val="13"/>
                <w:color w:val="auto"/>
              </w:rPr>
              <w:t>SOFR + 7.25%</w:t>
            </w:r>
          </w:p>
        </w:tc>
        <w:tc>
          <w:tcPr>
            <w:tcW w:w="1040" w:type="dxa"/>
            <w:vAlign w:val="bottom"/>
            <w:gridSpan w:val="2"/>
            <w:shd w:val="clear" w:color="auto" w:fill="CFF0FC"/>
          </w:tcPr>
          <w:p>
            <w:pPr>
              <w:jc w:val="right"/>
              <w:ind w:right="120"/>
              <w:spacing w:after="0" w:line="124" w:lineRule="exact"/>
              <w:rPr>
                <w:sz w:val="20"/>
                <w:szCs w:val="20"/>
                <w:color w:val="auto"/>
              </w:rPr>
            </w:pPr>
            <w:r>
              <w:rPr>
                <w:rFonts w:ascii="Times New Roman" w:cs="Times New Roman" w:eastAsia="Times New Roman" w:hAnsi="Times New Roman"/>
                <w:sz w:val="13"/>
                <w:szCs w:val="13"/>
                <w:color w:val="auto"/>
              </w:rPr>
              <w:t>12.60 %</w:t>
            </w:r>
          </w:p>
        </w:tc>
        <w:tc>
          <w:tcPr>
            <w:tcW w:w="14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7,164</w:t>
            </w: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2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7,258</w:t>
            </w:r>
          </w:p>
        </w:tc>
        <w:tc>
          <w:tcPr>
            <w:tcW w:w="1160" w:type="dxa"/>
            <w:vAlign w:val="bottom"/>
            <w:gridSpan w:val="3"/>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0.4 %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(5)</w:t>
            </w:r>
          </w:p>
        </w:tc>
        <w:tc>
          <w:tcPr>
            <w:tcW w:w="120" w:type="dxa"/>
            <w:vAlign w:val="bottom"/>
            <w:tcBorders>
              <w:bottom w:val="single" w:sz="8" w:color="CFF0FC"/>
            </w:tcBorders>
            <w:shd w:val="clear" w:color="auto" w:fill="CFF0FC"/>
          </w:tcPr>
          <w:p>
            <w:pPr>
              <w:spacing w:after="0"/>
              <w:rPr>
                <w:sz w:val="10"/>
                <w:szCs w:val="10"/>
                <w:color w:val="auto"/>
              </w:rPr>
            </w:pPr>
          </w:p>
        </w:tc>
        <w:tc>
          <w:tcPr>
            <w:tcW w:w="24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98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84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122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84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58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BTRS Holdings, Inc. </w:t>
            </w:r>
            <w:r>
              <w:rPr>
                <w:rFonts w:ascii="Times New Roman" w:cs="Times New Roman" w:eastAsia="Times New Roman" w:hAnsi="Times New Roman"/>
                <w:sz w:val="16"/>
                <w:szCs w:val="16"/>
                <w:color w:val="auto"/>
                <w:vertAlign w:val="superscript"/>
              </w:rPr>
              <w:t>(3)</w:t>
            </w:r>
          </w:p>
        </w:tc>
        <w:tc>
          <w:tcPr>
            <w:tcW w:w="12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3"/>
                <w:szCs w:val="13"/>
                <w:color w:val="auto"/>
              </w:rPr>
              <w:t>First-lien loan ($141,152 par, due 12/2028)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12/16/2022</w:t>
            </w:r>
          </w:p>
        </w:tc>
        <w:tc>
          <w:tcPr>
            <w:tcW w:w="12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SOFR + 8.00%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13.38 %</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137,646</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141,505</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7.8 %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48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First-lien revolving loan ($3,614 par, due</w:t>
            </w:r>
          </w:p>
        </w:tc>
        <w:tc>
          <w:tcPr>
            <w:tcW w:w="880" w:type="dxa"/>
            <w:vAlign w:val="bottom"/>
            <w:gridSpan w:val="2"/>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12/16/2022</w:t>
            </w:r>
          </w:p>
        </w:tc>
        <w:tc>
          <w:tcPr>
            <w:tcW w:w="12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260"/>
              <w:spacing w:after="0" w:line="131" w:lineRule="exact"/>
              <w:rPr>
                <w:sz w:val="20"/>
                <w:szCs w:val="20"/>
                <w:color w:val="auto"/>
              </w:rPr>
            </w:pPr>
            <w:r>
              <w:rPr>
                <w:rFonts w:ascii="Times New Roman" w:cs="Times New Roman" w:eastAsia="Times New Roman" w:hAnsi="Times New Roman"/>
                <w:sz w:val="13"/>
                <w:szCs w:val="13"/>
                <w:color w:val="auto"/>
              </w:rPr>
              <w:t>SOFR + 8.00%</w:t>
            </w:r>
          </w:p>
        </w:tc>
        <w:tc>
          <w:tcPr>
            <w:tcW w:w="1040" w:type="dxa"/>
            <w:vAlign w:val="bottom"/>
            <w:gridSpan w:val="2"/>
            <w:shd w:val="clear" w:color="auto" w:fill="CFF0FC"/>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12.63 %</w:t>
            </w:r>
          </w:p>
        </w:tc>
        <w:tc>
          <w:tcPr>
            <w:tcW w:w="14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3,256</w:t>
            </w: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3,651</w:t>
            </w:r>
          </w:p>
        </w:tc>
        <w:tc>
          <w:tcPr>
            <w:tcW w:w="1160" w:type="dxa"/>
            <w:vAlign w:val="bottom"/>
            <w:gridSpan w:val="3"/>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0.2 %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shd w:val="clear" w:color="auto" w:fill="CFF0FC"/>
          </w:tcPr>
          <w:p>
            <w:pPr>
              <w:spacing w:after="0"/>
              <w:rPr>
                <w:sz w:val="14"/>
                <w:szCs w:val="14"/>
                <w:color w:val="auto"/>
              </w:rPr>
            </w:pPr>
          </w:p>
        </w:tc>
        <w:tc>
          <w:tcPr>
            <w:tcW w:w="26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12/2028)</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CLGF HoldCo 2, LLC </w:t>
            </w:r>
            <w:r>
              <w:rPr>
                <w:rFonts w:ascii="Times New Roman" w:cs="Times New Roman" w:eastAsia="Times New Roman" w:hAnsi="Times New Roman"/>
                <w:sz w:val="16"/>
                <w:szCs w:val="16"/>
                <w:color w:val="auto"/>
                <w:vertAlign w:val="superscript"/>
              </w:rPr>
              <w:t>(3)(4)</w:t>
            </w:r>
          </w:p>
        </w:tc>
        <w:tc>
          <w:tcPr>
            <w:tcW w:w="12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3"/>
                <w:szCs w:val="13"/>
                <w:color w:val="auto"/>
              </w:rPr>
              <w:t>First-lien loan ($97,902 par, due 11/2027)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11/7/2023</w:t>
            </w:r>
          </w:p>
        </w:tc>
        <w:tc>
          <w:tcPr>
            <w:tcW w:w="12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SOFR + 8.50%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13.85 %</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96,132</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96,678</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5.3 %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Second-lien loan ($83,916 par, due 11/2028)</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11/7/2023</w:t>
            </w:r>
          </w:p>
        </w:tc>
        <w:tc>
          <w:tcPr>
            <w:tcW w:w="1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SOFR + 12.00%</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17.35 %</w:t>
            </w: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77,895</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79,091</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w w:val="99"/>
              </w:rPr>
              <w:t xml:space="preserve">Fullsteam Operations LLC </w:t>
            </w:r>
            <w:r>
              <w:rPr>
                <w:rFonts w:ascii="Times New Roman" w:cs="Times New Roman" w:eastAsia="Times New Roman" w:hAnsi="Times New Roman"/>
                <w:sz w:val="16"/>
                <w:szCs w:val="16"/>
                <w:color w:val="auto"/>
                <w:w w:val="99"/>
                <w:vertAlign w:val="superscript"/>
              </w:rPr>
              <w:t>(3)</w:t>
            </w:r>
          </w:p>
        </w:tc>
        <w:tc>
          <w:tcPr>
            <w:tcW w:w="12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3"/>
                <w:szCs w:val="13"/>
                <w:color w:val="auto"/>
              </w:rPr>
              <w:t>First-lien loan ($82,397 par, due 11/2029)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11/27/2023</w:t>
            </w:r>
          </w:p>
        </w:tc>
        <w:tc>
          <w:tcPr>
            <w:tcW w:w="12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SOFR + 8.25%</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13.78 %</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79,471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80,692</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4.4 %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8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color w:val="auto"/>
              </w:rPr>
              <w:t>Ping Identity Holding Corp.</w:t>
            </w:r>
          </w:p>
        </w:tc>
        <w:tc>
          <w:tcPr>
            <w:tcW w:w="120" w:type="dxa"/>
            <w:vAlign w:val="bottom"/>
            <w:shd w:val="clear" w:color="auto" w:fill="CFF0FC"/>
          </w:tcPr>
          <w:p>
            <w:pPr>
              <w:spacing w:after="0"/>
              <w:rPr>
                <w:sz w:val="10"/>
                <w:szCs w:val="10"/>
                <w:color w:val="auto"/>
              </w:rPr>
            </w:pPr>
          </w:p>
        </w:tc>
        <w:tc>
          <w:tcPr>
            <w:tcW w:w="248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3"/>
                <w:szCs w:val="13"/>
                <w:color w:val="auto"/>
              </w:rPr>
              <w:t>First-lien loan ($136,364 par, due 10/2029)</w:t>
            </w:r>
          </w:p>
        </w:tc>
        <w:tc>
          <w:tcPr>
            <w:tcW w:w="88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10/17/2022</w:t>
            </w:r>
          </w:p>
        </w:tc>
        <w:tc>
          <w:tcPr>
            <w:tcW w:w="120" w:type="dxa"/>
            <w:vAlign w:val="bottom"/>
            <w:shd w:val="clear" w:color="auto" w:fill="CFF0FC"/>
          </w:tcPr>
          <w:p>
            <w:pPr>
              <w:spacing w:after="0"/>
              <w:rPr>
                <w:sz w:val="10"/>
                <w:szCs w:val="10"/>
                <w:color w:val="auto"/>
              </w:rPr>
            </w:pPr>
          </w:p>
        </w:tc>
        <w:tc>
          <w:tcPr>
            <w:tcW w:w="1220" w:type="dxa"/>
            <w:vAlign w:val="bottom"/>
            <w:gridSpan w:val="2"/>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3"/>
                <w:szCs w:val="13"/>
                <w:color w:val="auto"/>
              </w:rPr>
              <w:t>SOFR + 7.00%</w:t>
            </w:r>
          </w:p>
        </w:tc>
        <w:tc>
          <w:tcPr>
            <w:tcW w:w="10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3"/>
                <w:szCs w:val="13"/>
                <w:color w:val="auto"/>
              </w:rPr>
              <w:t>12.36 %</w:t>
            </w:r>
          </w:p>
        </w:tc>
        <w:tc>
          <w:tcPr>
            <w:tcW w:w="14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133,270</w:t>
            </w: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138,989</w:t>
            </w:r>
          </w:p>
        </w:tc>
        <w:tc>
          <w:tcPr>
            <w:tcW w:w="1160" w:type="dxa"/>
            <w:vAlign w:val="bottom"/>
            <w:gridSpan w:val="3"/>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7.7 %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(3)</w:t>
            </w:r>
          </w:p>
        </w:tc>
        <w:tc>
          <w:tcPr>
            <w:tcW w:w="120" w:type="dxa"/>
            <w:vAlign w:val="bottom"/>
            <w:tcBorders>
              <w:bottom w:val="single" w:sz="8" w:color="CFF0FC"/>
            </w:tcBorders>
            <w:shd w:val="clear" w:color="auto" w:fill="CFF0FC"/>
          </w:tcPr>
          <w:p>
            <w:pPr>
              <w:spacing w:after="0"/>
              <w:rPr>
                <w:sz w:val="10"/>
                <w:szCs w:val="10"/>
                <w:color w:val="auto"/>
              </w:rPr>
            </w:pPr>
          </w:p>
        </w:tc>
        <w:tc>
          <w:tcPr>
            <w:tcW w:w="24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98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84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122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84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Volante Technologies, Inc.</w:t>
            </w:r>
          </w:p>
        </w:tc>
        <w:tc>
          <w:tcPr>
            <w:tcW w:w="12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3"/>
                <w:szCs w:val="13"/>
                <w:color w:val="auto"/>
              </w:rPr>
              <w:t>First-lien loan ($2,604 par, due 9/2028)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9/29/2023</w:t>
            </w:r>
          </w:p>
        </w:tc>
        <w:tc>
          <w:tcPr>
            <w:tcW w:w="13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16.50 %</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16.50% PIK</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2,578</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2,598</w:t>
            </w:r>
          </w:p>
        </w:tc>
        <w:tc>
          <w:tcPr>
            <w:tcW w:w="2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538,167</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551,258</w:t>
            </w:r>
          </w:p>
        </w:tc>
        <w:tc>
          <w:tcPr>
            <w:tcW w:w="2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30.3 %</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Healthcare</w:t>
            </w:r>
          </w:p>
        </w:tc>
        <w:tc>
          <w:tcPr>
            <w:tcW w:w="120" w:type="dxa"/>
            <w:vAlign w:val="bottom"/>
            <w:tcBorders>
              <w:top w:val="single" w:sz="8" w:color="CFF0FC"/>
            </w:tcBorders>
          </w:tcPr>
          <w:p>
            <w:pPr>
              <w:spacing w:after="0"/>
              <w:rPr>
                <w:sz w:val="13"/>
                <w:szCs w:val="13"/>
                <w:color w:val="auto"/>
              </w:rPr>
            </w:pPr>
          </w:p>
        </w:tc>
        <w:tc>
          <w:tcPr>
            <w:tcW w:w="248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76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980" w:type="dxa"/>
            <w:vAlign w:val="bottom"/>
            <w:tcBorders>
              <w:top w:val="single" w:sz="8" w:color="CFF0FC"/>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800" w:type="dxa"/>
            <w:vAlign w:val="bottom"/>
            <w:tcBorders>
              <w:top w:val="single" w:sz="8" w:color="CFF0FC"/>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58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2"/>
                <w:szCs w:val="12"/>
                <w:color w:val="auto"/>
              </w:rPr>
              <w:t xml:space="preserve">Edge Bidco B.V </w:t>
            </w:r>
            <w:r>
              <w:rPr>
                <w:rFonts w:ascii="Times New Roman" w:cs="Times New Roman" w:eastAsia="Times New Roman" w:hAnsi="Times New Roman"/>
                <w:sz w:val="15"/>
                <w:szCs w:val="15"/>
                <w:color w:val="auto"/>
                <w:vertAlign w:val="superscript"/>
              </w:rPr>
              <w:t>(3)(4)(5)</w:t>
            </w:r>
          </w:p>
        </w:tc>
        <w:tc>
          <w:tcPr>
            <w:tcW w:w="120" w:type="dxa"/>
            <w:vAlign w:val="bottom"/>
            <w:shd w:val="clear" w:color="auto" w:fill="CFF0FC"/>
          </w:tcPr>
          <w:p>
            <w:pPr>
              <w:spacing w:after="0"/>
              <w:rPr>
                <w:sz w:val="11"/>
                <w:szCs w:val="11"/>
                <w:color w:val="auto"/>
              </w:rPr>
            </w:pPr>
          </w:p>
        </w:tc>
        <w:tc>
          <w:tcPr>
            <w:tcW w:w="248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First-lien loan (EUR 3,850 par, due 2/2029)</w:t>
            </w:r>
          </w:p>
        </w:tc>
        <w:tc>
          <w:tcPr>
            <w:tcW w:w="880" w:type="dxa"/>
            <w:vAlign w:val="bottom"/>
            <w:gridSpan w:val="2"/>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2/24/2023</w:t>
            </w:r>
          </w:p>
        </w:tc>
        <w:tc>
          <w:tcPr>
            <w:tcW w:w="12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260"/>
              <w:spacing w:after="0" w:line="131" w:lineRule="exact"/>
              <w:rPr>
                <w:sz w:val="20"/>
                <w:szCs w:val="20"/>
                <w:color w:val="auto"/>
              </w:rPr>
            </w:pPr>
            <w:r>
              <w:rPr>
                <w:rFonts w:ascii="Times New Roman" w:cs="Times New Roman" w:eastAsia="Times New Roman" w:hAnsi="Times New Roman"/>
                <w:sz w:val="13"/>
                <w:szCs w:val="13"/>
                <w:color w:val="auto"/>
              </w:rPr>
              <w:t>E + 7.00%</w:t>
            </w:r>
          </w:p>
        </w:tc>
        <w:tc>
          <w:tcPr>
            <w:tcW w:w="1180" w:type="dxa"/>
            <w:vAlign w:val="bottom"/>
            <w:gridSpan w:val="3"/>
            <w:shd w:val="clear" w:color="auto" w:fill="CFF0FC"/>
          </w:tcPr>
          <w:p>
            <w:pPr>
              <w:jc w:val="right"/>
              <w:ind w:right="420"/>
              <w:spacing w:after="0" w:line="131" w:lineRule="exact"/>
              <w:rPr>
                <w:sz w:val="20"/>
                <w:szCs w:val="20"/>
                <w:color w:val="auto"/>
              </w:rPr>
            </w:pPr>
            <w:r>
              <w:rPr>
                <w:rFonts w:ascii="Times New Roman" w:cs="Times New Roman" w:eastAsia="Times New Roman" w:hAnsi="Times New Roman"/>
                <w:sz w:val="13"/>
                <w:szCs w:val="13"/>
                <w:color w:val="auto"/>
              </w:rPr>
              <w:t>10.93% (incl.</w:t>
            </w:r>
          </w:p>
        </w:tc>
        <w:tc>
          <w:tcPr>
            <w:tcW w:w="84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3,951</w:t>
            </w: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4,266</w:t>
            </w:r>
          </w:p>
        </w:tc>
        <w:tc>
          <w:tcPr>
            <w:tcW w:w="1160" w:type="dxa"/>
            <w:vAlign w:val="bottom"/>
            <w:gridSpan w:val="3"/>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0.2 %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8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3"/>
                <w:szCs w:val="13"/>
                <w:color w:val="auto"/>
              </w:rPr>
              <w:t>3.25% PIK)</w:t>
            </w: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3,862)</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Raptor US Buyer II Corp. </w:t>
            </w:r>
            <w:r>
              <w:rPr>
                <w:rFonts w:ascii="Times New Roman" w:cs="Times New Roman" w:eastAsia="Times New Roman" w:hAnsi="Times New Roman"/>
                <w:sz w:val="16"/>
                <w:szCs w:val="16"/>
                <w:color w:val="auto"/>
                <w:vertAlign w:val="superscript"/>
              </w:rPr>
              <w:t>(3)</w:t>
            </w:r>
          </w:p>
        </w:tc>
        <w:tc>
          <w:tcPr>
            <w:tcW w:w="12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3"/>
                <w:szCs w:val="13"/>
                <w:color w:val="auto"/>
              </w:rPr>
              <w:t>First-lien loan ($98,606 par, due 3/2029)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3/24/2023</w:t>
            </w:r>
          </w:p>
        </w:tc>
        <w:tc>
          <w:tcPr>
            <w:tcW w:w="12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SOFR + 6.75%</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12.10 %</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95,435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98,113</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5.4 %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SL Buyer Corp. </w:t>
            </w:r>
            <w:r>
              <w:rPr>
                <w:rFonts w:ascii="Times New Roman" w:cs="Times New Roman" w:eastAsia="Times New Roman" w:hAnsi="Times New Roman"/>
                <w:sz w:val="16"/>
                <w:szCs w:val="16"/>
                <w:color w:val="auto"/>
                <w:vertAlign w:val="superscript"/>
              </w:rPr>
              <w:t>(3)(5)</w:t>
            </w:r>
          </w:p>
        </w:tc>
        <w:tc>
          <w:tcPr>
            <w:tcW w:w="120" w:type="dxa"/>
            <w:vAlign w:val="bottom"/>
            <w:shd w:val="clear" w:color="auto" w:fill="CFF0FC"/>
          </w:tcPr>
          <w:p>
            <w:pPr>
              <w:spacing w:after="0"/>
              <w:rPr>
                <w:sz w:val="14"/>
                <w:szCs w:val="14"/>
                <w:color w:val="auto"/>
              </w:rPr>
            </w:pPr>
          </w:p>
        </w:tc>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First-lien loan ($3,525 par, due 7/2029)</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7/7/2023</w:t>
            </w:r>
          </w:p>
        </w:tc>
        <w:tc>
          <w:tcPr>
            <w:tcW w:w="1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SOFR + 7.00%</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12.36 %</w:t>
            </w: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3,375</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3,460</w:t>
            </w:r>
          </w:p>
        </w:tc>
        <w:tc>
          <w:tcPr>
            <w:tcW w:w="2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102,761</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105,839</w:t>
            </w:r>
          </w:p>
        </w:tc>
        <w:tc>
          <w:tcPr>
            <w:tcW w:w="22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5.8 %</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58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Human Resource Support</w:t>
            </w:r>
          </w:p>
        </w:tc>
        <w:tc>
          <w:tcPr>
            <w:tcW w:w="120" w:type="dxa"/>
            <w:vAlign w:val="bottom"/>
            <w:shd w:val="clear" w:color="auto" w:fill="CFF0FC"/>
          </w:tcPr>
          <w:p>
            <w:pPr>
              <w:spacing w:after="0"/>
              <w:rPr>
                <w:sz w:val="10"/>
                <w:szCs w:val="10"/>
                <w:color w:val="auto"/>
              </w:rPr>
            </w:pPr>
          </w:p>
        </w:tc>
        <w:tc>
          <w:tcPr>
            <w:tcW w:w="24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12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Services</w:t>
            </w:r>
          </w:p>
        </w:tc>
        <w:tc>
          <w:tcPr>
            <w:tcW w:w="120" w:type="dxa"/>
            <w:vAlign w:val="bottom"/>
            <w:shd w:val="clear" w:color="auto" w:fill="CFF0FC"/>
          </w:tcPr>
          <w:p>
            <w:pPr>
              <w:spacing w:after="0"/>
              <w:rPr>
                <w:sz w:val="14"/>
                <w:szCs w:val="14"/>
                <w:color w:val="auto"/>
              </w:rPr>
            </w:pPr>
          </w:p>
        </w:tc>
        <w:tc>
          <w:tcPr>
            <w:tcW w:w="2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bswift, LLC </w:t>
            </w:r>
            <w:r>
              <w:rPr>
                <w:rFonts w:ascii="Times New Roman" w:cs="Times New Roman" w:eastAsia="Times New Roman" w:hAnsi="Times New Roman"/>
                <w:sz w:val="16"/>
                <w:szCs w:val="16"/>
                <w:color w:val="auto"/>
                <w:vertAlign w:val="superscript"/>
              </w:rPr>
              <w:t>(3)(5)</w:t>
            </w:r>
          </w:p>
        </w:tc>
        <w:tc>
          <w:tcPr>
            <w:tcW w:w="12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3"/>
                <w:szCs w:val="13"/>
                <w:color w:val="auto"/>
              </w:rPr>
              <w:t>First-lien loan ($140,970 par, due 11/2028)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11/7/2022</w:t>
            </w:r>
          </w:p>
        </w:tc>
        <w:tc>
          <w:tcPr>
            <w:tcW w:w="12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SOFR + 6.63%</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12.03 %</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137,195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142,379</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7.8 %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HireVue, Inc. </w:t>
            </w:r>
            <w:r>
              <w:rPr>
                <w:rFonts w:ascii="Times New Roman" w:cs="Times New Roman" w:eastAsia="Times New Roman" w:hAnsi="Times New Roman"/>
                <w:sz w:val="16"/>
                <w:szCs w:val="16"/>
                <w:color w:val="auto"/>
                <w:vertAlign w:val="superscript"/>
              </w:rPr>
              <w:t>(3)</w:t>
            </w:r>
          </w:p>
        </w:tc>
        <w:tc>
          <w:tcPr>
            <w:tcW w:w="120" w:type="dxa"/>
            <w:vAlign w:val="bottom"/>
            <w:shd w:val="clear" w:color="auto" w:fill="CFF0FC"/>
          </w:tcPr>
          <w:p>
            <w:pPr>
              <w:spacing w:after="0"/>
              <w:rPr>
                <w:sz w:val="14"/>
                <w:szCs w:val="14"/>
                <w:color w:val="auto"/>
              </w:rPr>
            </w:pPr>
          </w:p>
        </w:tc>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First-lien loan ($110,887 par, due 5/2029)</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5/3/2023</w:t>
            </w:r>
          </w:p>
        </w:tc>
        <w:tc>
          <w:tcPr>
            <w:tcW w:w="1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SOFR + 7.25%</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12.63 %</w:t>
            </w: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107,645</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110,262</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MadCap Software, Inc. </w:t>
            </w:r>
            <w:r>
              <w:rPr>
                <w:rFonts w:ascii="Times New Roman" w:cs="Times New Roman" w:eastAsia="Times New Roman" w:hAnsi="Times New Roman"/>
                <w:sz w:val="16"/>
                <w:szCs w:val="16"/>
                <w:color w:val="auto"/>
                <w:vertAlign w:val="superscript"/>
              </w:rPr>
              <w:t>(3)(5)</w:t>
            </w:r>
          </w:p>
        </w:tc>
        <w:tc>
          <w:tcPr>
            <w:tcW w:w="12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3"/>
                <w:szCs w:val="13"/>
                <w:color w:val="auto"/>
              </w:rPr>
              <w:t>First-lien loan ($2,500 par, due 12/2026)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12/15/2023</w:t>
            </w:r>
          </w:p>
        </w:tc>
        <w:tc>
          <w:tcPr>
            <w:tcW w:w="12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SOFR + 6.10%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11.46 %</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2,439</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2,444</w:t>
            </w:r>
          </w:p>
        </w:tc>
        <w:tc>
          <w:tcPr>
            <w:tcW w:w="2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247,279</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255,085</w:t>
            </w:r>
          </w:p>
        </w:tc>
        <w:tc>
          <w:tcPr>
            <w:tcW w:w="2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14.0 %</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Insurance</w:t>
            </w:r>
          </w:p>
        </w:tc>
        <w:tc>
          <w:tcPr>
            <w:tcW w:w="120" w:type="dxa"/>
            <w:vAlign w:val="bottom"/>
            <w:tcBorders>
              <w:top w:val="single" w:sz="8" w:color="CFF0FC"/>
            </w:tcBorders>
          </w:tcPr>
          <w:p>
            <w:pPr>
              <w:spacing w:after="0"/>
              <w:rPr>
                <w:sz w:val="13"/>
                <w:szCs w:val="13"/>
                <w:color w:val="auto"/>
              </w:rPr>
            </w:pPr>
          </w:p>
        </w:tc>
        <w:tc>
          <w:tcPr>
            <w:tcW w:w="248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76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980" w:type="dxa"/>
            <w:vAlign w:val="bottom"/>
            <w:tcBorders>
              <w:top w:val="single" w:sz="8" w:color="CFF0FC"/>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800" w:type="dxa"/>
            <w:vAlign w:val="bottom"/>
            <w:tcBorders>
              <w:top w:val="single" w:sz="8" w:color="CFF0FC"/>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8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3"/>
                <w:szCs w:val="13"/>
                <w:color w:val="auto"/>
              </w:rPr>
              <w:t>Disco Parent, Inc.</w:t>
            </w:r>
            <w:r>
              <w:rPr>
                <w:rFonts w:ascii="Times New Roman" w:cs="Times New Roman" w:eastAsia="Times New Roman" w:hAnsi="Times New Roman"/>
                <w:sz w:val="16"/>
                <w:szCs w:val="16"/>
                <w:color w:val="auto"/>
                <w:vertAlign w:val="superscript"/>
              </w:rPr>
              <w:t>(3)</w:t>
            </w:r>
          </w:p>
        </w:tc>
        <w:tc>
          <w:tcPr>
            <w:tcW w:w="120" w:type="dxa"/>
            <w:vAlign w:val="bottom"/>
            <w:shd w:val="clear" w:color="auto" w:fill="CFF0FC"/>
          </w:tcPr>
          <w:p>
            <w:pPr>
              <w:spacing w:after="0"/>
              <w:rPr>
                <w:sz w:val="14"/>
                <w:szCs w:val="14"/>
                <w:color w:val="auto"/>
              </w:rPr>
            </w:pPr>
          </w:p>
        </w:tc>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First-lien loan ($57,756 par, due 3/2029)</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3/30/2023</w:t>
            </w:r>
          </w:p>
        </w:tc>
        <w:tc>
          <w:tcPr>
            <w:tcW w:w="1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SOFR + 7.50%</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12.89 %</w:t>
            </w: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56,368</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57,597</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Internet Services</w:t>
            </w:r>
          </w:p>
        </w:tc>
        <w:tc>
          <w:tcPr>
            <w:tcW w:w="1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Arrow Buyer, Inc. </w:t>
            </w:r>
            <w:r>
              <w:rPr>
                <w:rFonts w:ascii="Times New Roman" w:cs="Times New Roman" w:eastAsia="Times New Roman" w:hAnsi="Times New Roman"/>
                <w:sz w:val="16"/>
                <w:szCs w:val="16"/>
                <w:color w:val="auto"/>
                <w:vertAlign w:val="superscript"/>
              </w:rPr>
              <w:t>(3)</w:t>
            </w:r>
          </w:p>
        </w:tc>
        <w:tc>
          <w:tcPr>
            <w:tcW w:w="120" w:type="dxa"/>
            <w:vAlign w:val="bottom"/>
            <w:shd w:val="clear" w:color="auto" w:fill="CFF0FC"/>
          </w:tcPr>
          <w:p>
            <w:pPr>
              <w:spacing w:after="0"/>
              <w:rPr>
                <w:sz w:val="14"/>
                <w:szCs w:val="14"/>
                <w:color w:val="auto"/>
              </w:rPr>
            </w:pPr>
          </w:p>
        </w:tc>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First-lien loan ($121,875 par, due 7/2030)</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6/30/2023</w:t>
            </w:r>
          </w:p>
        </w:tc>
        <w:tc>
          <w:tcPr>
            <w:tcW w:w="1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SOFR + 6.50%</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11.85 %</w:t>
            </w: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118,648</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120,750</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-4379595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-4379595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-4379595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-3702685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-3702685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-3702685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-1653540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-1653540</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-1653540</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-1148080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-1148080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-419100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-419100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81" w:right="31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84"/>
        </w:trPr>
        <w:tc>
          <w:tcPr>
            <w:tcW w:w="1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Coupa Holdings, LLC </w:t>
            </w:r>
            <w:r>
              <w:rPr>
                <w:rFonts w:ascii="Times New Roman" w:cs="Times New Roman" w:eastAsia="Times New Roman" w:hAnsi="Times New Roman"/>
                <w:sz w:val="16"/>
                <w:szCs w:val="16"/>
                <w:color w:val="auto"/>
                <w:vertAlign w:val="superscript"/>
              </w:rPr>
              <w:t>(3)</w:t>
            </w:r>
          </w:p>
        </w:tc>
        <w:tc>
          <w:tcPr>
            <w:tcW w:w="26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First-lien loan ($129,573 par, due 2/2030)</w:t>
            </w: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2/27/2023</w:t>
            </w:r>
          </w:p>
        </w:tc>
        <w:tc>
          <w:tcPr>
            <w:tcW w:w="118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SOFR + 7.50%</w:t>
            </w:r>
          </w:p>
        </w:tc>
        <w:tc>
          <w:tcPr>
            <w:tcW w:w="10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12.86 %</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126,405</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130,323</w:t>
            </w:r>
          </w:p>
        </w:tc>
        <w:tc>
          <w:tcPr>
            <w:tcW w:w="120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color w:val="auto"/>
              </w:rPr>
              <w:t>7.2 %</w:t>
            </w:r>
          </w:p>
        </w:tc>
        <w:tc>
          <w:tcPr>
            <w:tcW w:w="0" w:type="dxa"/>
            <w:vAlign w:val="bottom"/>
          </w:tcPr>
          <w:p>
            <w:pPr>
              <w:spacing w:after="0"/>
              <w:rPr>
                <w:sz w:val="1"/>
                <w:szCs w:val="1"/>
                <w:color w:val="auto"/>
              </w:rPr>
            </w:pPr>
          </w:p>
        </w:tc>
      </w:tr>
      <w:tr>
        <w:trPr>
          <w:trHeight w:val="122"/>
        </w:trPr>
        <w:tc>
          <w:tcPr>
            <w:tcW w:w="162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color w:val="auto"/>
              </w:rPr>
              <w:t>SMA Technologies Holdings,</w:t>
            </w:r>
          </w:p>
        </w:tc>
        <w:tc>
          <w:tcPr>
            <w:tcW w:w="268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3"/>
                <w:szCs w:val="13"/>
                <w:color w:val="auto"/>
              </w:rPr>
              <w:t>First-lien loan ($5,667 par, due 10/2028)</w:t>
            </w:r>
          </w:p>
        </w:tc>
        <w:tc>
          <w:tcPr>
            <w:tcW w:w="900" w:type="dxa"/>
            <w:vAlign w:val="bottom"/>
            <w:shd w:val="clear" w:color="auto" w:fill="CFF0FC"/>
          </w:tcPr>
          <w:p>
            <w:pPr>
              <w:jc w:val="right"/>
              <w:ind w:right="97"/>
              <w:spacing w:after="0" w:line="122" w:lineRule="exact"/>
              <w:rPr>
                <w:sz w:val="20"/>
                <w:szCs w:val="20"/>
                <w:color w:val="auto"/>
              </w:rPr>
            </w:pPr>
            <w:r>
              <w:rPr>
                <w:rFonts w:ascii="Times New Roman" w:cs="Times New Roman" w:eastAsia="Times New Roman" w:hAnsi="Times New Roman"/>
                <w:sz w:val="13"/>
                <w:szCs w:val="13"/>
                <w:color w:val="auto"/>
              </w:rPr>
              <w:t>10/31/2022</w:t>
            </w:r>
          </w:p>
        </w:tc>
        <w:tc>
          <w:tcPr>
            <w:tcW w:w="1180" w:type="dxa"/>
            <w:vAlign w:val="bottom"/>
            <w:shd w:val="clear" w:color="auto" w:fill="CFF0FC"/>
          </w:tcPr>
          <w:p>
            <w:pPr>
              <w:jc w:val="right"/>
              <w:ind w:right="177"/>
              <w:spacing w:after="0" w:line="122" w:lineRule="exact"/>
              <w:rPr>
                <w:sz w:val="20"/>
                <w:szCs w:val="20"/>
                <w:color w:val="auto"/>
              </w:rPr>
            </w:pPr>
            <w:r>
              <w:rPr>
                <w:rFonts w:ascii="Times New Roman" w:cs="Times New Roman" w:eastAsia="Times New Roman" w:hAnsi="Times New Roman"/>
                <w:sz w:val="13"/>
                <w:szCs w:val="13"/>
                <w:color w:val="auto"/>
              </w:rPr>
              <w:t>SOFR + 6.75%</w:t>
            </w:r>
          </w:p>
        </w:tc>
        <w:tc>
          <w:tcPr>
            <w:tcW w:w="1060" w:type="dxa"/>
            <w:vAlign w:val="bottom"/>
            <w:shd w:val="clear" w:color="auto" w:fill="CFF0FC"/>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12.11 %</w:t>
            </w:r>
          </w:p>
        </w:tc>
        <w:tc>
          <w:tcPr>
            <w:tcW w:w="28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5,470</w:t>
            </w: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5,709</w:t>
            </w:r>
          </w:p>
        </w:tc>
        <w:tc>
          <w:tcPr>
            <w:tcW w:w="1160" w:type="dxa"/>
            <w:vAlign w:val="bottom"/>
            <w:gridSpan w:val="3"/>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0.3 %</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620" w:type="dxa"/>
            <w:vAlign w:val="bottom"/>
            <w:tcBorders>
              <w:bottom w:val="single" w:sz="8" w:color="CFF0FC"/>
            </w:tcBorders>
            <w:shd w:val="clear" w:color="auto" w:fill="CFF0FC"/>
          </w:tcPr>
          <w:p>
            <w:pPr>
              <w:ind w:left="20"/>
              <w:spacing w:after="0" w:line="162" w:lineRule="exact"/>
              <w:rPr>
                <w:sz w:val="20"/>
                <w:szCs w:val="20"/>
                <w:color w:val="auto"/>
              </w:rPr>
            </w:pPr>
            <w:r>
              <w:rPr>
                <w:rFonts w:ascii="Times New Roman" w:cs="Times New Roman" w:eastAsia="Times New Roman" w:hAnsi="Times New Roman"/>
                <w:sz w:val="18"/>
                <w:szCs w:val="18"/>
                <w:color w:val="auto"/>
                <w:vertAlign w:val="subscript"/>
              </w:rPr>
              <w:t>LLC</w:t>
            </w:r>
            <w:r>
              <w:rPr>
                <w:rFonts w:ascii="Times New Roman" w:cs="Times New Roman" w:eastAsia="Times New Roman" w:hAnsi="Times New Roman"/>
                <w:sz w:val="7"/>
                <w:szCs w:val="7"/>
                <w:color w:val="auto"/>
              </w:rPr>
              <w:t xml:space="preserve"> (3)(5)</w:t>
            </w:r>
          </w:p>
        </w:tc>
        <w:tc>
          <w:tcPr>
            <w:tcW w:w="268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180" w:type="dxa"/>
            <w:vAlign w:val="bottom"/>
            <w:tcBorders>
              <w:bottom w:val="single" w:sz="8" w:color="CFF0FC"/>
            </w:tcBorders>
            <w:shd w:val="clear" w:color="auto" w:fill="CFF0FC"/>
          </w:tcPr>
          <w:p>
            <w:pPr>
              <w:spacing w:after="0"/>
              <w:rPr>
                <w:sz w:val="14"/>
                <w:szCs w:val="14"/>
                <w:color w:val="auto"/>
              </w:rPr>
            </w:pPr>
          </w:p>
        </w:tc>
        <w:tc>
          <w:tcPr>
            <w:tcW w:w="106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6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250,523</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256,782</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14.1 %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Manufacturing</w:t>
            </w:r>
          </w:p>
        </w:tc>
        <w:tc>
          <w:tcPr>
            <w:tcW w:w="26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6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ASP Unifrax Holdings, Inc.</w:t>
            </w:r>
          </w:p>
        </w:tc>
        <w:tc>
          <w:tcPr>
            <w:tcW w:w="268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 xml:space="preserve">First-lien loan ($1,130 par, due 12/2025) </w:t>
            </w:r>
            <w:r>
              <w:rPr>
                <w:rFonts w:ascii="Times New Roman" w:cs="Times New Roman" w:eastAsia="Times New Roman" w:hAnsi="Times New Roman"/>
                <w:sz w:val="14"/>
                <w:szCs w:val="14"/>
                <w:color w:val="auto"/>
                <w:vertAlign w:val="superscript"/>
              </w:rPr>
              <w:t>(3)</w:t>
            </w:r>
          </w:p>
        </w:tc>
        <w:tc>
          <w:tcPr>
            <w:tcW w:w="900" w:type="dxa"/>
            <w:vAlign w:val="bottom"/>
          </w:tcPr>
          <w:p>
            <w:pPr>
              <w:jc w:val="right"/>
              <w:ind w:right="97"/>
              <w:spacing w:after="0" w:line="122" w:lineRule="exact"/>
              <w:rPr>
                <w:sz w:val="20"/>
                <w:szCs w:val="20"/>
                <w:color w:val="auto"/>
              </w:rPr>
            </w:pPr>
            <w:r>
              <w:rPr>
                <w:rFonts w:ascii="Times New Roman" w:cs="Times New Roman" w:eastAsia="Times New Roman" w:hAnsi="Times New Roman"/>
                <w:sz w:val="13"/>
                <w:szCs w:val="13"/>
                <w:color w:val="auto"/>
              </w:rPr>
              <w:t>8/25/2023</w:t>
            </w:r>
          </w:p>
        </w:tc>
        <w:tc>
          <w:tcPr>
            <w:tcW w:w="1180" w:type="dxa"/>
            <w:vAlign w:val="bottom"/>
          </w:tcPr>
          <w:p>
            <w:pPr>
              <w:jc w:val="right"/>
              <w:ind w:right="177"/>
              <w:spacing w:after="0" w:line="122" w:lineRule="exact"/>
              <w:rPr>
                <w:sz w:val="20"/>
                <w:szCs w:val="20"/>
                <w:color w:val="auto"/>
              </w:rPr>
            </w:pPr>
            <w:r>
              <w:rPr>
                <w:rFonts w:ascii="Times New Roman" w:cs="Times New Roman" w:eastAsia="Times New Roman" w:hAnsi="Times New Roman"/>
                <w:sz w:val="13"/>
                <w:szCs w:val="13"/>
                <w:color w:val="auto"/>
              </w:rPr>
              <w:t>SOFR + 3.90%</w:t>
            </w:r>
          </w:p>
        </w:tc>
        <w:tc>
          <w:tcPr>
            <w:tcW w:w="1060" w:type="dxa"/>
            <w:vAlign w:val="bottom"/>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9.25 %</w:t>
            </w:r>
          </w:p>
        </w:tc>
        <w:tc>
          <w:tcPr>
            <w:tcW w:w="2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1,055</w:t>
            </w: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1,051</w:t>
            </w:r>
          </w:p>
        </w:tc>
        <w:tc>
          <w:tcPr>
            <w:tcW w:w="11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3"/>
                <w:szCs w:val="13"/>
                <w:color w:val="auto"/>
              </w:rPr>
              <w:t>0.1 %</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620" w:type="dxa"/>
            <w:vAlign w:val="bottom"/>
          </w:tcPr>
          <w:p>
            <w:pPr>
              <w:ind w:left="20"/>
              <w:spacing w:after="0"/>
              <w:rPr>
                <w:sz w:val="20"/>
                <w:szCs w:val="20"/>
                <w:color w:val="auto"/>
              </w:rPr>
            </w:pPr>
            <w:r>
              <w:rPr>
                <w:rFonts w:ascii="Times New Roman" w:cs="Times New Roman" w:eastAsia="Times New Roman" w:hAnsi="Times New Roman"/>
                <w:sz w:val="8"/>
                <w:szCs w:val="8"/>
                <w:color w:val="auto"/>
              </w:rPr>
              <w:t>(12)</w:t>
            </w:r>
          </w:p>
        </w:tc>
        <w:tc>
          <w:tcPr>
            <w:tcW w:w="2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16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620" w:type="dxa"/>
            <w:vAlign w:val="bottom"/>
            <w:shd w:val="clear" w:color="auto" w:fill="CFF0FC"/>
          </w:tcPr>
          <w:p>
            <w:pPr>
              <w:spacing w:after="0"/>
              <w:rPr>
                <w:sz w:val="11"/>
                <w:szCs w:val="11"/>
                <w:color w:val="auto"/>
              </w:rPr>
            </w:pPr>
          </w:p>
        </w:tc>
        <w:tc>
          <w:tcPr>
            <w:tcW w:w="2680" w:type="dxa"/>
            <w:vAlign w:val="bottom"/>
            <w:shd w:val="clear" w:color="auto" w:fill="CFF0FC"/>
          </w:tcPr>
          <w:p>
            <w:pPr>
              <w:ind w:left="80"/>
              <w:spacing w:after="0" w:line="131" w:lineRule="exact"/>
              <w:rPr>
                <w:sz w:val="20"/>
                <w:szCs w:val="20"/>
                <w:color w:val="auto"/>
              </w:rPr>
            </w:pPr>
            <w:r>
              <w:rPr>
                <w:rFonts w:ascii="Times New Roman" w:cs="Times New Roman" w:eastAsia="Times New Roman" w:hAnsi="Times New Roman"/>
                <w:sz w:val="12"/>
                <w:szCs w:val="12"/>
                <w:color w:val="auto"/>
              </w:rPr>
              <w:t xml:space="preserve">First-lien loan (EUR 1,023 par, due 12/2025) </w:t>
            </w:r>
            <w:r>
              <w:rPr>
                <w:rFonts w:ascii="Times New Roman" w:cs="Times New Roman" w:eastAsia="Times New Roman" w:hAnsi="Times New Roman"/>
                <w:sz w:val="15"/>
                <w:szCs w:val="15"/>
                <w:color w:val="auto"/>
                <w:vertAlign w:val="superscript"/>
              </w:rPr>
              <w:t>(3)</w:t>
            </w:r>
          </w:p>
        </w:tc>
        <w:tc>
          <w:tcPr>
            <w:tcW w:w="900" w:type="dxa"/>
            <w:vAlign w:val="bottom"/>
            <w:shd w:val="clear" w:color="auto" w:fill="CFF0FC"/>
          </w:tcPr>
          <w:p>
            <w:pPr>
              <w:jc w:val="right"/>
              <w:ind w:right="97"/>
              <w:spacing w:after="0" w:line="131" w:lineRule="exact"/>
              <w:rPr>
                <w:sz w:val="20"/>
                <w:szCs w:val="20"/>
                <w:color w:val="auto"/>
              </w:rPr>
            </w:pPr>
            <w:r>
              <w:rPr>
                <w:rFonts w:ascii="Times New Roman" w:cs="Times New Roman" w:eastAsia="Times New Roman" w:hAnsi="Times New Roman"/>
                <w:sz w:val="13"/>
                <w:szCs w:val="13"/>
                <w:color w:val="auto"/>
              </w:rPr>
              <w:t>9/14/2023</w:t>
            </w:r>
          </w:p>
        </w:tc>
        <w:tc>
          <w:tcPr>
            <w:tcW w:w="1180" w:type="dxa"/>
            <w:vAlign w:val="bottom"/>
            <w:shd w:val="clear" w:color="auto" w:fill="CFF0FC"/>
          </w:tcPr>
          <w:p>
            <w:pPr>
              <w:jc w:val="right"/>
              <w:ind w:right="177"/>
              <w:spacing w:after="0" w:line="131" w:lineRule="exact"/>
              <w:rPr>
                <w:sz w:val="20"/>
                <w:szCs w:val="20"/>
                <w:color w:val="auto"/>
              </w:rPr>
            </w:pPr>
            <w:r>
              <w:rPr>
                <w:rFonts w:ascii="Times New Roman" w:cs="Times New Roman" w:eastAsia="Times New Roman" w:hAnsi="Times New Roman"/>
                <w:sz w:val="13"/>
                <w:szCs w:val="13"/>
                <w:color w:val="auto"/>
              </w:rPr>
              <w:t>E + 3.75%</w:t>
            </w:r>
          </w:p>
        </w:tc>
        <w:tc>
          <w:tcPr>
            <w:tcW w:w="1060" w:type="dxa"/>
            <w:vAlign w:val="bottom"/>
            <w:shd w:val="clear" w:color="auto" w:fill="CFF0FC"/>
          </w:tcPr>
          <w:p>
            <w:pPr>
              <w:jc w:val="right"/>
              <w:ind w:right="57"/>
              <w:spacing w:after="0" w:line="131" w:lineRule="exact"/>
              <w:rPr>
                <w:sz w:val="20"/>
                <w:szCs w:val="20"/>
                <w:color w:val="auto"/>
              </w:rPr>
            </w:pPr>
            <w:r>
              <w:rPr>
                <w:rFonts w:ascii="Times New Roman" w:cs="Times New Roman" w:eastAsia="Times New Roman" w:hAnsi="Times New Roman"/>
                <w:sz w:val="13"/>
                <w:szCs w:val="13"/>
                <w:color w:val="auto"/>
              </w:rPr>
              <w:t>7.68 %</w:t>
            </w: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997</w:t>
            </w:r>
          </w:p>
        </w:tc>
        <w:tc>
          <w:tcPr>
            <w:tcW w:w="2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1,030</w:t>
            </w:r>
          </w:p>
        </w:tc>
        <w:tc>
          <w:tcPr>
            <w:tcW w:w="1160" w:type="dxa"/>
            <w:vAlign w:val="bottom"/>
            <w:gridSpan w:val="3"/>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0.1 %</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20" w:type="dxa"/>
            <w:vAlign w:val="bottom"/>
            <w:shd w:val="clear" w:color="auto" w:fill="CFF0FC"/>
          </w:tcPr>
          <w:p>
            <w:pPr>
              <w:spacing w:after="0"/>
              <w:rPr>
                <w:sz w:val="14"/>
                <w:szCs w:val="14"/>
                <w:color w:val="auto"/>
              </w:rPr>
            </w:pPr>
          </w:p>
        </w:tc>
        <w:tc>
          <w:tcPr>
            <w:tcW w:w="26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932)</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26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Unsecured note ($1,059 par, due 9/2029)</w:t>
            </w: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8/31/2023</w:t>
            </w:r>
          </w:p>
        </w:tc>
        <w:tc>
          <w:tcPr>
            <w:tcW w:w="11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7.50 %</w:t>
            </w:r>
          </w:p>
        </w:tc>
        <w:tc>
          <w:tcPr>
            <w:tcW w:w="10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7.50 %</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570</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shd w:val="clear" w:color="auto" w:fill="CFF0FC"/>
          </w:tcPr>
          <w:p>
            <w:pPr>
              <w:spacing w:after="0"/>
              <w:rPr>
                <w:sz w:val="14"/>
                <w:szCs w:val="14"/>
                <w:color w:val="auto"/>
              </w:rPr>
            </w:pPr>
          </w:p>
        </w:tc>
        <w:tc>
          <w:tcPr>
            <w:tcW w:w="2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Secured note ($91 par, due 9/2028)</w:t>
            </w:r>
          </w:p>
        </w:tc>
        <w:tc>
          <w:tcPr>
            <w:tcW w:w="90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12/19/2023</w:t>
            </w:r>
          </w:p>
        </w:tc>
        <w:tc>
          <w:tcPr>
            <w:tcW w:w="11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5.25 %</w:t>
            </w:r>
          </w:p>
        </w:tc>
        <w:tc>
          <w:tcPr>
            <w:tcW w:w="10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5.25 %</w:t>
            </w:r>
          </w:p>
        </w:tc>
        <w:tc>
          <w:tcPr>
            <w:tcW w:w="2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2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Avalara, Inc. </w:t>
            </w:r>
            <w:r>
              <w:rPr>
                <w:rFonts w:ascii="Times New Roman" w:cs="Times New Roman" w:eastAsia="Times New Roman" w:hAnsi="Times New Roman"/>
                <w:sz w:val="16"/>
                <w:szCs w:val="16"/>
                <w:color w:val="auto"/>
                <w:vertAlign w:val="superscript"/>
              </w:rPr>
              <w:t>(3)</w:t>
            </w:r>
          </w:p>
        </w:tc>
        <w:tc>
          <w:tcPr>
            <w:tcW w:w="26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First-lien loan ($136,364 par, due 10/2028)</w:t>
            </w: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10/19/2022</w:t>
            </w:r>
          </w:p>
        </w:tc>
        <w:tc>
          <w:tcPr>
            <w:tcW w:w="118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SOFR + 7.25%</w:t>
            </w:r>
          </w:p>
        </w:tc>
        <w:tc>
          <w:tcPr>
            <w:tcW w:w="10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12.60 %</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133,365</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136,739</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7.5 %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2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color w:val="auto"/>
              </w:rPr>
              <w:t>Skylark UK DebtCo Limited</w:t>
            </w:r>
          </w:p>
        </w:tc>
        <w:tc>
          <w:tcPr>
            <w:tcW w:w="268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3"/>
                <w:szCs w:val="13"/>
                <w:color w:val="auto"/>
              </w:rPr>
              <w:t>First-lien loan ($65,149 par, due 9/2030)</w:t>
            </w:r>
          </w:p>
        </w:tc>
        <w:tc>
          <w:tcPr>
            <w:tcW w:w="900" w:type="dxa"/>
            <w:vAlign w:val="bottom"/>
            <w:shd w:val="clear" w:color="auto" w:fill="CFF0FC"/>
          </w:tcPr>
          <w:p>
            <w:pPr>
              <w:jc w:val="right"/>
              <w:ind w:right="97"/>
              <w:spacing w:after="0" w:line="122" w:lineRule="exact"/>
              <w:rPr>
                <w:sz w:val="20"/>
                <w:szCs w:val="20"/>
                <w:color w:val="auto"/>
              </w:rPr>
            </w:pPr>
            <w:r>
              <w:rPr>
                <w:rFonts w:ascii="Times New Roman" w:cs="Times New Roman" w:eastAsia="Times New Roman" w:hAnsi="Times New Roman"/>
                <w:sz w:val="13"/>
                <w:szCs w:val="13"/>
                <w:color w:val="auto"/>
              </w:rPr>
              <w:t>9/7/2023</w:t>
            </w:r>
          </w:p>
        </w:tc>
        <w:tc>
          <w:tcPr>
            <w:tcW w:w="1180" w:type="dxa"/>
            <w:vAlign w:val="bottom"/>
            <w:shd w:val="clear" w:color="auto" w:fill="CFF0FC"/>
          </w:tcPr>
          <w:p>
            <w:pPr>
              <w:jc w:val="right"/>
              <w:ind w:right="177"/>
              <w:spacing w:after="0" w:line="122" w:lineRule="exact"/>
              <w:rPr>
                <w:sz w:val="20"/>
                <w:szCs w:val="20"/>
                <w:color w:val="auto"/>
              </w:rPr>
            </w:pPr>
            <w:r>
              <w:rPr>
                <w:rFonts w:ascii="Times New Roman" w:cs="Times New Roman" w:eastAsia="Times New Roman" w:hAnsi="Times New Roman"/>
                <w:sz w:val="13"/>
                <w:szCs w:val="13"/>
                <w:color w:val="auto"/>
              </w:rPr>
              <w:t>SOFR + 6.25%</w:t>
            </w:r>
          </w:p>
        </w:tc>
        <w:tc>
          <w:tcPr>
            <w:tcW w:w="1060" w:type="dxa"/>
            <w:vAlign w:val="bottom"/>
            <w:shd w:val="clear" w:color="auto" w:fill="CFF0FC"/>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11.60 %</w:t>
            </w:r>
          </w:p>
        </w:tc>
        <w:tc>
          <w:tcPr>
            <w:tcW w:w="28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63,411</w:t>
            </w: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63,683</w:t>
            </w:r>
          </w:p>
        </w:tc>
        <w:tc>
          <w:tcPr>
            <w:tcW w:w="1160" w:type="dxa"/>
            <w:vAlign w:val="bottom"/>
            <w:gridSpan w:val="3"/>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3.5 %</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(3)(4)</w:t>
            </w:r>
          </w:p>
        </w:tc>
        <w:tc>
          <w:tcPr>
            <w:tcW w:w="2680" w:type="dxa"/>
            <w:vAlign w:val="bottom"/>
            <w:tcBorders>
              <w:bottom w:val="single" w:sz="8" w:color="CFF0FC"/>
            </w:tcBorders>
            <w:shd w:val="clear" w:color="auto" w:fill="CFF0FC"/>
          </w:tcPr>
          <w:p>
            <w:pPr>
              <w:spacing w:after="0"/>
              <w:rPr>
                <w:sz w:val="10"/>
                <w:szCs w:val="10"/>
                <w:color w:val="auto"/>
              </w:rPr>
            </w:pPr>
          </w:p>
        </w:tc>
        <w:tc>
          <w:tcPr>
            <w:tcW w:w="900" w:type="dxa"/>
            <w:vAlign w:val="bottom"/>
            <w:tcBorders>
              <w:bottom w:val="single" w:sz="8" w:color="CFF0FC"/>
            </w:tcBorders>
            <w:shd w:val="clear" w:color="auto" w:fill="CFF0FC"/>
          </w:tcPr>
          <w:p>
            <w:pPr>
              <w:spacing w:after="0"/>
              <w:rPr>
                <w:sz w:val="10"/>
                <w:szCs w:val="10"/>
                <w:color w:val="auto"/>
              </w:rPr>
            </w:pPr>
          </w:p>
        </w:tc>
        <w:tc>
          <w:tcPr>
            <w:tcW w:w="1180" w:type="dxa"/>
            <w:vAlign w:val="bottom"/>
            <w:tcBorders>
              <w:bottom w:val="single" w:sz="8" w:color="CFF0FC"/>
            </w:tcBorders>
            <w:shd w:val="clear" w:color="auto" w:fill="CFF0FC"/>
          </w:tcPr>
          <w:p>
            <w:pPr>
              <w:spacing w:after="0"/>
              <w:rPr>
                <w:sz w:val="10"/>
                <w:szCs w:val="10"/>
                <w:color w:val="auto"/>
              </w:rPr>
            </w:pPr>
          </w:p>
        </w:tc>
        <w:tc>
          <w:tcPr>
            <w:tcW w:w="1060" w:type="dxa"/>
            <w:vAlign w:val="bottom"/>
            <w:tcBorders>
              <w:bottom w:val="single" w:sz="8" w:color="CFF0FC"/>
            </w:tcBorders>
            <w:shd w:val="clear" w:color="auto" w:fill="CFF0FC"/>
          </w:tcPr>
          <w:p>
            <w:pPr>
              <w:spacing w:after="0"/>
              <w:rPr>
                <w:sz w:val="10"/>
                <w:szCs w:val="10"/>
                <w:color w:val="auto"/>
              </w:rPr>
            </w:pPr>
          </w:p>
        </w:tc>
        <w:tc>
          <w:tcPr>
            <w:tcW w:w="280" w:type="dxa"/>
            <w:vAlign w:val="bottom"/>
            <w:tcBorders>
              <w:bottom w:val="single" w:sz="8" w:color="CFF0FC"/>
            </w:tcBorders>
            <w:shd w:val="clear" w:color="auto" w:fill="CFF0FC"/>
          </w:tcPr>
          <w:p>
            <w:pPr>
              <w:spacing w:after="0"/>
              <w:rPr>
                <w:sz w:val="10"/>
                <w:szCs w:val="10"/>
                <w:color w:val="auto"/>
              </w:rPr>
            </w:pPr>
          </w:p>
        </w:tc>
        <w:tc>
          <w:tcPr>
            <w:tcW w:w="70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CFF0FC"/>
            </w:tcBorders>
            <w:shd w:val="clear" w:color="auto" w:fill="CFF0FC"/>
          </w:tcPr>
          <w:p>
            <w:pPr>
              <w:spacing w:after="0"/>
              <w:rPr>
                <w:sz w:val="10"/>
                <w:szCs w:val="10"/>
                <w:color w:val="auto"/>
              </w:rPr>
            </w:pPr>
          </w:p>
        </w:tc>
        <w:tc>
          <w:tcPr>
            <w:tcW w:w="104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84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20" w:type="dxa"/>
            <w:vAlign w:val="bottom"/>
          </w:tcPr>
          <w:p>
            <w:pPr>
              <w:spacing w:after="0"/>
              <w:rPr>
                <w:sz w:val="11"/>
                <w:szCs w:val="11"/>
                <w:color w:val="auto"/>
              </w:rPr>
            </w:pPr>
          </w:p>
        </w:tc>
        <w:tc>
          <w:tcPr>
            <w:tcW w:w="2680" w:type="dxa"/>
            <w:vAlign w:val="bottom"/>
          </w:tcPr>
          <w:p>
            <w:pPr>
              <w:ind w:left="80"/>
              <w:spacing w:after="0" w:line="131" w:lineRule="exact"/>
              <w:rPr>
                <w:sz w:val="20"/>
                <w:szCs w:val="20"/>
                <w:color w:val="auto"/>
              </w:rPr>
            </w:pPr>
            <w:r>
              <w:rPr>
                <w:rFonts w:ascii="Times New Roman" w:cs="Times New Roman" w:eastAsia="Times New Roman" w:hAnsi="Times New Roman"/>
                <w:sz w:val="13"/>
                <w:szCs w:val="13"/>
                <w:color w:val="auto"/>
              </w:rPr>
              <w:t>First-lien loan (GBP 66,344 par, due 9/2030)</w:t>
            </w:r>
          </w:p>
        </w:tc>
        <w:tc>
          <w:tcPr>
            <w:tcW w:w="900" w:type="dxa"/>
            <w:vAlign w:val="bottom"/>
          </w:tcPr>
          <w:p>
            <w:pPr>
              <w:jc w:val="right"/>
              <w:ind w:right="97"/>
              <w:spacing w:after="0" w:line="131" w:lineRule="exact"/>
              <w:rPr>
                <w:sz w:val="20"/>
                <w:szCs w:val="20"/>
                <w:color w:val="auto"/>
              </w:rPr>
            </w:pPr>
            <w:r>
              <w:rPr>
                <w:rFonts w:ascii="Times New Roman" w:cs="Times New Roman" w:eastAsia="Times New Roman" w:hAnsi="Times New Roman"/>
                <w:sz w:val="13"/>
                <w:szCs w:val="13"/>
                <w:color w:val="auto"/>
              </w:rPr>
              <w:t>9/7/2023</w:t>
            </w:r>
          </w:p>
        </w:tc>
        <w:tc>
          <w:tcPr>
            <w:tcW w:w="1180" w:type="dxa"/>
            <w:vAlign w:val="bottom"/>
          </w:tcPr>
          <w:p>
            <w:pPr>
              <w:jc w:val="right"/>
              <w:ind w:right="177"/>
              <w:spacing w:after="0" w:line="131" w:lineRule="exact"/>
              <w:rPr>
                <w:sz w:val="20"/>
                <w:szCs w:val="20"/>
                <w:color w:val="auto"/>
              </w:rPr>
            </w:pPr>
            <w:r>
              <w:rPr>
                <w:rFonts w:ascii="Times New Roman" w:cs="Times New Roman" w:eastAsia="Times New Roman" w:hAnsi="Times New Roman"/>
                <w:sz w:val="13"/>
                <w:szCs w:val="13"/>
                <w:color w:val="auto"/>
              </w:rPr>
              <w:t>S + 6.25%</w:t>
            </w:r>
          </w:p>
        </w:tc>
        <w:tc>
          <w:tcPr>
            <w:tcW w:w="1060" w:type="dxa"/>
            <w:vAlign w:val="bottom"/>
          </w:tcPr>
          <w:p>
            <w:pPr>
              <w:jc w:val="right"/>
              <w:ind w:right="57"/>
              <w:spacing w:after="0" w:line="131" w:lineRule="exact"/>
              <w:rPr>
                <w:sz w:val="20"/>
                <w:szCs w:val="20"/>
                <w:color w:val="auto"/>
              </w:rPr>
            </w:pPr>
            <w:r>
              <w:rPr>
                <w:rFonts w:ascii="Times New Roman" w:cs="Times New Roman" w:eastAsia="Times New Roman" w:hAnsi="Times New Roman"/>
                <w:sz w:val="13"/>
                <w:szCs w:val="13"/>
                <w:color w:val="auto"/>
              </w:rPr>
              <w:t>11.52 %</w:t>
            </w:r>
          </w:p>
        </w:tc>
        <w:tc>
          <w:tcPr>
            <w:tcW w:w="280" w:type="dxa"/>
            <w:vAlign w:val="bottom"/>
          </w:tcPr>
          <w:p>
            <w:pPr>
              <w:spacing w:after="0"/>
              <w:rPr>
                <w:sz w:val="11"/>
                <w:szCs w:val="11"/>
                <w:color w:val="auto"/>
              </w:rPr>
            </w:pPr>
          </w:p>
        </w:tc>
        <w:tc>
          <w:tcPr>
            <w:tcW w:w="70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79,846</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82,038</w:t>
            </w:r>
          </w:p>
        </w:tc>
        <w:tc>
          <w:tcPr>
            <w:tcW w:w="116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3"/>
                <w:szCs w:val="13"/>
                <w:color w:val="auto"/>
              </w:rPr>
              <w:t>4.5 %</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(GBP 64,354)</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620" w:type="dxa"/>
            <w:vAlign w:val="bottom"/>
            <w:shd w:val="clear" w:color="auto" w:fill="CFF0FC"/>
          </w:tcPr>
          <w:p>
            <w:pPr>
              <w:spacing w:after="0"/>
              <w:rPr>
                <w:sz w:val="11"/>
                <w:szCs w:val="11"/>
                <w:color w:val="auto"/>
              </w:rPr>
            </w:pPr>
          </w:p>
        </w:tc>
        <w:tc>
          <w:tcPr>
            <w:tcW w:w="2680" w:type="dxa"/>
            <w:vAlign w:val="bottom"/>
            <w:shd w:val="clear" w:color="auto" w:fill="CFF0FC"/>
          </w:tcPr>
          <w:p>
            <w:pPr>
              <w:ind w:left="80"/>
              <w:spacing w:after="0" w:line="133" w:lineRule="exact"/>
              <w:rPr>
                <w:sz w:val="20"/>
                <w:szCs w:val="20"/>
                <w:color w:val="auto"/>
              </w:rPr>
            </w:pPr>
            <w:r>
              <w:rPr>
                <w:rFonts w:ascii="Times New Roman" w:cs="Times New Roman" w:eastAsia="Times New Roman" w:hAnsi="Times New Roman"/>
                <w:sz w:val="13"/>
                <w:szCs w:val="13"/>
                <w:color w:val="auto"/>
              </w:rPr>
              <w:t>First-lien loan (EUR 19,342 par, due 9/2030)</w:t>
            </w:r>
          </w:p>
        </w:tc>
        <w:tc>
          <w:tcPr>
            <w:tcW w:w="900" w:type="dxa"/>
            <w:vAlign w:val="bottom"/>
            <w:shd w:val="clear" w:color="auto" w:fill="CFF0FC"/>
          </w:tcPr>
          <w:p>
            <w:pPr>
              <w:jc w:val="right"/>
              <w:ind w:right="97"/>
              <w:spacing w:after="0" w:line="133" w:lineRule="exact"/>
              <w:rPr>
                <w:sz w:val="20"/>
                <w:szCs w:val="20"/>
                <w:color w:val="auto"/>
              </w:rPr>
            </w:pPr>
            <w:r>
              <w:rPr>
                <w:rFonts w:ascii="Times New Roman" w:cs="Times New Roman" w:eastAsia="Times New Roman" w:hAnsi="Times New Roman"/>
                <w:sz w:val="13"/>
                <w:szCs w:val="13"/>
                <w:color w:val="auto"/>
              </w:rPr>
              <w:t>9/7/2023</w:t>
            </w:r>
          </w:p>
        </w:tc>
        <w:tc>
          <w:tcPr>
            <w:tcW w:w="1180" w:type="dxa"/>
            <w:vAlign w:val="bottom"/>
            <w:shd w:val="clear" w:color="auto" w:fill="CFF0FC"/>
          </w:tcPr>
          <w:p>
            <w:pPr>
              <w:jc w:val="right"/>
              <w:ind w:right="177"/>
              <w:spacing w:after="0" w:line="133" w:lineRule="exact"/>
              <w:rPr>
                <w:sz w:val="20"/>
                <w:szCs w:val="20"/>
                <w:color w:val="auto"/>
              </w:rPr>
            </w:pPr>
            <w:r>
              <w:rPr>
                <w:rFonts w:ascii="Times New Roman" w:cs="Times New Roman" w:eastAsia="Times New Roman" w:hAnsi="Times New Roman"/>
                <w:sz w:val="13"/>
                <w:szCs w:val="13"/>
                <w:color w:val="auto"/>
              </w:rPr>
              <w:t>E + 6.25%</w:t>
            </w:r>
          </w:p>
        </w:tc>
        <w:tc>
          <w:tcPr>
            <w:tcW w:w="1060" w:type="dxa"/>
            <w:vAlign w:val="bottom"/>
            <w:shd w:val="clear" w:color="auto" w:fill="CFF0FC"/>
          </w:tcPr>
          <w:p>
            <w:pPr>
              <w:jc w:val="right"/>
              <w:ind w:right="57"/>
              <w:spacing w:after="0" w:line="133" w:lineRule="exact"/>
              <w:rPr>
                <w:sz w:val="20"/>
                <w:szCs w:val="20"/>
                <w:color w:val="auto"/>
              </w:rPr>
            </w:pPr>
            <w:r>
              <w:rPr>
                <w:rFonts w:ascii="Times New Roman" w:cs="Times New Roman" w:eastAsia="Times New Roman" w:hAnsi="Times New Roman"/>
                <w:sz w:val="13"/>
                <w:szCs w:val="13"/>
                <w:color w:val="auto"/>
              </w:rPr>
              <w:t>10.18 %</w:t>
            </w: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20,154</w:t>
            </w:r>
          </w:p>
        </w:tc>
        <w:tc>
          <w:tcPr>
            <w:tcW w:w="2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20,885</w:t>
            </w:r>
          </w:p>
        </w:tc>
        <w:tc>
          <w:tcPr>
            <w:tcW w:w="1160" w:type="dxa"/>
            <w:vAlign w:val="bottom"/>
            <w:gridSpan w:val="3"/>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1.1 %</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620" w:type="dxa"/>
            <w:vAlign w:val="bottom"/>
            <w:tcBorders>
              <w:bottom w:val="single" w:sz="8" w:color="CFF0FC"/>
            </w:tcBorders>
            <w:shd w:val="clear" w:color="auto" w:fill="CFF0FC"/>
          </w:tcPr>
          <w:p>
            <w:pPr>
              <w:spacing w:after="0"/>
              <w:rPr>
                <w:sz w:val="14"/>
                <w:szCs w:val="14"/>
                <w:color w:val="auto"/>
              </w:rPr>
            </w:pPr>
          </w:p>
        </w:tc>
        <w:tc>
          <w:tcPr>
            <w:tcW w:w="268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180" w:type="dxa"/>
            <w:vAlign w:val="bottom"/>
            <w:tcBorders>
              <w:bottom w:val="single" w:sz="8" w:color="CFF0FC"/>
            </w:tcBorders>
            <w:shd w:val="clear" w:color="auto" w:fill="CFF0FC"/>
          </w:tcPr>
          <w:p>
            <w:pPr>
              <w:spacing w:after="0"/>
              <w:rPr>
                <w:sz w:val="14"/>
                <w:szCs w:val="14"/>
                <w:color w:val="auto"/>
              </w:rPr>
            </w:pPr>
          </w:p>
        </w:tc>
        <w:tc>
          <w:tcPr>
            <w:tcW w:w="106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18,907)</w:t>
            </w:r>
          </w:p>
        </w:tc>
        <w:tc>
          <w:tcPr>
            <w:tcW w:w="2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6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299,460</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306,032</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16.8 %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62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Oil, Gas and Consumable</w:t>
            </w:r>
          </w:p>
        </w:tc>
        <w:tc>
          <w:tcPr>
            <w:tcW w:w="268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tcBorders>
              <w:top w:val="single" w:sz="8" w:color="auto"/>
            </w:tcBorders>
            <w:shd w:val="clear" w:color="auto" w:fill="CFF0FC"/>
          </w:tcPr>
          <w:p>
            <w:pPr>
              <w:spacing w:after="0"/>
              <w:rPr>
                <w:sz w:val="10"/>
                <w:szCs w:val="10"/>
                <w:color w:val="auto"/>
              </w:rPr>
            </w:pPr>
          </w:p>
        </w:tc>
        <w:tc>
          <w:tcPr>
            <w:tcW w:w="104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Fuels</w:t>
            </w:r>
          </w:p>
        </w:tc>
        <w:tc>
          <w:tcPr>
            <w:tcW w:w="26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Laramie Energy, LLC </w:t>
            </w:r>
            <w:r>
              <w:rPr>
                <w:rFonts w:ascii="Times New Roman" w:cs="Times New Roman" w:eastAsia="Times New Roman" w:hAnsi="Times New Roman"/>
                <w:sz w:val="16"/>
                <w:szCs w:val="16"/>
                <w:color w:val="auto"/>
                <w:vertAlign w:val="superscript"/>
              </w:rPr>
              <w:t>(3)</w:t>
            </w:r>
          </w:p>
        </w:tc>
        <w:tc>
          <w:tcPr>
            <w:tcW w:w="26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First-lien loan ($97,561 par, due 2/2027)</w:t>
            </w: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2/21/2023</w:t>
            </w:r>
          </w:p>
        </w:tc>
        <w:tc>
          <w:tcPr>
            <w:tcW w:w="118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SOFR + 7.10%</w:t>
            </w:r>
          </w:p>
        </w:tc>
        <w:tc>
          <w:tcPr>
            <w:tcW w:w="10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12.46 %</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95,599</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96,936</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5.3 %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2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color w:val="auto"/>
              </w:rPr>
              <w:t>Mach Natural Resources LP</w:t>
            </w:r>
          </w:p>
        </w:tc>
        <w:tc>
          <w:tcPr>
            <w:tcW w:w="268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3"/>
                <w:szCs w:val="13"/>
                <w:color w:val="auto"/>
              </w:rPr>
              <w:t>First-lien loan ($135,000 par, due 12/2026)</w:t>
            </w:r>
          </w:p>
        </w:tc>
        <w:tc>
          <w:tcPr>
            <w:tcW w:w="900" w:type="dxa"/>
            <w:vAlign w:val="bottom"/>
            <w:shd w:val="clear" w:color="auto" w:fill="CFF0FC"/>
          </w:tcPr>
          <w:p>
            <w:pPr>
              <w:jc w:val="right"/>
              <w:ind w:right="97"/>
              <w:spacing w:after="0" w:line="122" w:lineRule="exact"/>
              <w:rPr>
                <w:sz w:val="20"/>
                <w:szCs w:val="20"/>
                <w:color w:val="auto"/>
              </w:rPr>
            </w:pPr>
            <w:r>
              <w:rPr>
                <w:rFonts w:ascii="Times New Roman" w:cs="Times New Roman" w:eastAsia="Times New Roman" w:hAnsi="Times New Roman"/>
                <w:sz w:val="13"/>
                <w:szCs w:val="13"/>
                <w:color w:val="auto"/>
              </w:rPr>
              <w:t>12/28/2023</w:t>
            </w:r>
          </w:p>
        </w:tc>
        <w:tc>
          <w:tcPr>
            <w:tcW w:w="1180" w:type="dxa"/>
            <w:vAlign w:val="bottom"/>
            <w:shd w:val="clear" w:color="auto" w:fill="CFF0FC"/>
          </w:tcPr>
          <w:p>
            <w:pPr>
              <w:jc w:val="right"/>
              <w:ind w:right="177"/>
              <w:spacing w:after="0" w:line="122" w:lineRule="exact"/>
              <w:rPr>
                <w:sz w:val="20"/>
                <w:szCs w:val="20"/>
                <w:color w:val="auto"/>
              </w:rPr>
            </w:pPr>
            <w:r>
              <w:rPr>
                <w:rFonts w:ascii="Times New Roman" w:cs="Times New Roman" w:eastAsia="Times New Roman" w:hAnsi="Times New Roman"/>
                <w:sz w:val="13"/>
                <w:szCs w:val="13"/>
                <w:color w:val="auto"/>
              </w:rPr>
              <w:t>SOFR + 6.50%</w:t>
            </w:r>
          </w:p>
        </w:tc>
        <w:tc>
          <w:tcPr>
            <w:tcW w:w="1060" w:type="dxa"/>
            <w:vAlign w:val="bottom"/>
            <w:shd w:val="clear" w:color="auto" w:fill="CFF0FC"/>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12.00 %</w:t>
            </w:r>
          </w:p>
        </w:tc>
        <w:tc>
          <w:tcPr>
            <w:tcW w:w="28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132,310</w:t>
            </w: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132,300</w:t>
            </w:r>
          </w:p>
        </w:tc>
        <w:tc>
          <w:tcPr>
            <w:tcW w:w="1160" w:type="dxa"/>
            <w:vAlign w:val="bottom"/>
            <w:gridSpan w:val="3"/>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7.3 %</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(3)(4)</w:t>
            </w:r>
          </w:p>
        </w:tc>
        <w:tc>
          <w:tcPr>
            <w:tcW w:w="2680" w:type="dxa"/>
            <w:vAlign w:val="bottom"/>
            <w:tcBorders>
              <w:bottom w:val="single" w:sz="8" w:color="CFF0FC"/>
            </w:tcBorders>
            <w:shd w:val="clear" w:color="auto" w:fill="CFF0FC"/>
          </w:tcPr>
          <w:p>
            <w:pPr>
              <w:spacing w:after="0"/>
              <w:rPr>
                <w:sz w:val="10"/>
                <w:szCs w:val="10"/>
                <w:color w:val="auto"/>
              </w:rPr>
            </w:pPr>
          </w:p>
        </w:tc>
        <w:tc>
          <w:tcPr>
            <w:tcW w:w="900" w:type="dxa"/>
            <w:vAlign w:val="bottom"/>
            <w:tcBorders>
              <w:bottom w:val="single" w:sz="8" w:color="CFF0FC"/>
            </w:tcBorders>
            <w:shd w:val="clear" w:color="auto" w:fill="CFF0FC"/>
          </w:tcPr>
          <w:p>
            <w:pPr>
              <w:spacing w:after="0"/>
              <w:rPr>
                <w:sz w:val="10"/>
                <w:szCs w:val="10"/>
                <w:color w:val="auto"/>
              </w:rPr>
            </w:pPr>
          </w:p>
        </w:tc>
        <w:tc>
          <w:tcPr>
            <w:tcW w:w="1180" w:type="dxa"/>
            <w:vAlign w:val="bottom"/>
            <w:tcBorders>
              <w:bottom w:val="single" w:sz="8" w:color="CFF0FC"/>
            </w:tcBorders>
            <w:shd w:val="clear" w:color="auto" w:fill="CFF0FC"/>
          </w:tcPr>
          <w:p>
            <w:pPr>
              <w:spacing w:after="0"/>
              <w:rPr>
                <w:sz w:val="10"/>
                <w:szCs w:val="10"/>
                <w:color w:val="auto"/>
              </w:rPr>
            </w:pPr>
          </w:p>
        </w:tc>
        <w:tc>
          <w:tcPr>
            <w:tcW w:w="1060" w:type="dxa"/>
            <w:vAlign w:val="bottom"/>
            <w:tcBorders>
              <w:bottom w:val="single" w:sz="8" w:color="CFF0FC"/>
            </w:tcBorders>
            <w:shd w:val="clear" w:color="auto" w:fill="CFF0FC"/>
          </w:tcPr>
          <w:p>
            <w:pPr>
              <w:spacing w:after="0"/>
              <w:rPr>
                <w:sz w:val="10"/>
                <w:szCs w:val="10"/>
                <w:color w:val="auto"/>
              </w:rPr>
            </w:pPr>
          </w:p>
        </w:tc>
        <w:tc>
          <w:tcPr>
            <w:tcW w:w="280" w:type="dxa"/>
            <w:vAlign w:val="bottom"/>
            <w:tcBorders>
              <w:bottom w:val="single" w:sz="8" w:color="auto"/>
            </w:tcBorders>
            <w:shd w:val="clear" w:color="auto" w:fill="CFF0FC"/>
          </w:tcPr>
          <w:p>
            <w:pPr>
              <w:spacing w:after="0"/>
              <w:rPr>
                <w:sz w:val="10"/>
                <w:szCs w:val="10"/>
                <w:color w:val="auto"/>
              </w:rPr>
            </w:pPr>
          </w:p>
        </w:tc>
        <w:tc>
          <w:tcPr>
            <w:tcW w:w="700" w:type="dxa"/>
            <w:vAlign w:val="bottom"/>
            <w:tcBorders>
              <w:bottom w:val="single" w:sz="8" w:color="auto"/>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spacing w:after="0"/>
              <w:rPr>
                <w:sz w:val="10"/>
                <w:szCs w:val="10"/>
                <w:color w:val="auto"/>
              </w:rPr>
            </w:pPr>
          </w:p>
        </w:tc>
        <w:tc>
          <w:tcPr>
            <w:tcW w:w="1040" w:type="dxa"/>
            <w:vAlign w:val="bottom"/>
            <w:tcBorders>
              <w:bottom w:val="single" w:sz="8" w:color="auto"/>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840" w:type="dxa"/>
            <w:vAlign w:val="bottom"/>
            <w:tcBorders>
              <w:bottom w:val="single" w:sz="8" w:color="auto"/>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227,909</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229,236</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12.6 %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2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Retail and Consumer</w:t>
            </w:r>
          </w:p>
        </w:tc>
        <w:tc>
          <w:tcPr>
            <w:tcW w:w="268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tcBorders>
              <w:top w:val="single" w:sz="8" w:color="auto"/>
            </w:tcBorders>
            <w:shd w:val="clear" w:color="auto" w:fill="CFF0FC"/>
          </w:tcPr>
          <w:p>
            <w:pPr>
              <w:spacing w:after="0"/>
              <w:rPr>
                <w:sz w:val="10"/>
                <w:szCs w:val="10"/>
                <w:color w:val="auto"/>
              </w:rPr>
            </w:pPr>
          </w:p>
        </w:tc>
        <w:tc>
          <w:tcPr>
            <w:tcW w:w="104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Products</w:t>
            </w:r>
          </w:p>
        </w:tc>
        <w:tc>
          <w:tcPr>
            <w:tcW w:w="26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 xml:space="preserve">Bed Bath and Beyond Inc. </w:t>
            </w:r>
            <w:r>
              <w:rPr>
                <w:rFonts w:ascii="Times New Roman" w:cs="Times New Roman" w:eastAsia="Times New Roman" w:hAnsi="Times New Roman"/>
                <w:sz w:val="14"/>
                <w:szCs w:val="14"/>
                <w:color w:val="auto"/>
                <w:vertAlign w:val="superscript"/>
              </w:rPr>
              <w:t>(3)</w:t>
            </w:r>
          </w:p>
        </w:tc>
        <w:tc>
          <w:tcPr>
            <w:tcW w:w="268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ABL FILO term loan ($25,574 par, due 8/2027)</w:t>
            </w:r>
          </w:p>
        </w:tc>
        <w:tc>
          <w:tcPr>
            <w:tcW w:w="900" w:type="dxa"/>
            <w:vAlign w:val="bottom"/>
          </w:tcPr>
          <w:p>
            <w:pPr>
              <w:jc w:val="right"/>
              <w:ind w:right="97"/>
              <w:spacing w:after="0" w:line="122" w:lineRule="exact"/>
              <w:rPr>
                <w:sz w:val="20"/>
                <w:szCs w:val="20"/>
                <w:color w:val="auto"/>
              </w:rPr>
            </w:pPr>
            <w:r>
              <w:rPr>
                <w:rFonts w:ascii="Times New Roman" w:cs="Times New Roman" w:eastAsia="Times New Roman" w:hAnsi="Times New Roman"/>
                <w:sz w:val="13"/>
                <w:szCs w:val="13"/>
                <w:color w:val="auto"/>
              </w:rPr>
              <w:t>9/2/2022</w:t>
            </w:r>
          </w:p>
        </w:tc>
        <w:tc>
          <w:tcPr>
            <w:tcW w:w="1180" w:type="dxa"/>
            <w:vAlign w:val="bottom"/>
          </w:tcPr>
          <w:p>
            <w:pPr>
              <w:jc w:val="right"/>
              <w:ind w:right="177"/>
              <w:spacing w:after="0" w:line="122" w:lineRule="exact"/>
              <w:rPr>
                <w:sz w:val="20"/>
                <w:szCs w:val="20"/>
                <w:color w:val="auto"/>
              </w:rPr>
            </w:pPr>
            <w:r>
              <w:rPr>
                <w:rFonts w:ascii="Times New Roman" w:cs="Times New Roman" w:eastAsia="Times New Roman" w:hAnsi="Times New Roman"/>
                <w:sz w:val="13"/>
                <w:szCs w:val="13"/>
                <w:color w:val="auto"/>
              </w:rPr>
              <w:t>SOFR + 9.90%</w:t>
            </w:r>
          </w:p>
        </w:tc>
        <w:tc>
          <w:tcPr>
            <w:tcW w:w="1060" w:type="dxa"/>
            <w:vAlign w:val="bottom"/>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15.26 %</w:t>
            </w:r>
          </w:p>
        </w:tc>
        <w:tc>
          <w:tcPr>
            <w:tcW w:w="2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25,040</w:t>
            </w: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24,487</w:t>
            </w:r>
          </w:p>
        </w:tc>
        <w:tc>
          <w:tcPr>
            <w:tcW w:w="11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3"/>
                <w:szCs w:val="13"/>
                <w:color w:val="auto"/>
              </w:rPr>
              <w:t>1.3 %</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620" w:type="dxa"/>
            <w:vAlign w:val="bottom"/>
          </w:tcPr>
          <w:p>
            <w:pPr>
              <w:ind w:left="20"/>
              <w:spacing w:after="0"/>
              <w:rPr>
                <w:sz w:val="20"/>
                <w:szCs w:val="20"/>
                <w:color w:val="auto"/>
              </w:rPr>
            </w:pPr>
            <w:r>
              <w:rPr>
                <w:rFonts w:ascii="Times New Roman" w:cs="Times New Roman" w:eastAsia="Times New Roman" w:hAnsi="Times New Roman"/>
                <w:sz w:val="8"/>
                <w:szCs w:val="8"/>
                <w:color w:val="auto"/>
              </w:rPr>
              <w:t>(11)</w:t>
            </w:r>
          </w:p>
        </w:tc>
        <w:tc>
          <w:tcPr>
            <w:tcW w:w="2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16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620" w:type="dxa"/>
            <w:vAlign w:val="bottom"/>
            <w:shd w:val="clear" w:color="auto" w:fill="CFF0FC"/>
          </w:tcPr>
          <w:p>
            <w:pPr>
              <w:spacing w:after="0"/>
              <w:rPr>
                <w:sz w:val="14"/>
                <w:szCs w:val="14"/>
                <w:color w:val="auto"/>
              </w:rPr>
            </w:pPr>
          </w:p>
        </w:tc>
        <w:tc>
          <w:tcPr>
            <w:tcW w:w="2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Roll Up DIP term loan ($8,617 par, due 9/2024)</w:t>
            </w:r>
          </w:p>
        </w:tc>
        <w:tc>
          <w:tcPr>
            <w:tcW w:w="90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4/24/2023</w:t>
            </w:r>
          </w:p>
        </w:tc>
        <w:tc>
          <w:tcPr>
            <w:tcW w:w="1180" w:type="dxa"/>
            <w:vAlign w:val="bottom"/>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SOFR + 7.90%</w:t>
            </w:r>
          </w:p>
        </w:tc>
        <w:tc>
          <w:tcPr>
            <w:tcW w:w="10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13.26 %</w:t>
            </w:r>
          </w:p>
        </w:tc>
        <w:tc>
          <w:tcPr>
            <w:tcW w:w="2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8,617</w:t>
            </w:r>
          </w:p>
        </w:tc>
        <w:tc>
          <w:tcPr>
            <w:tcW w:w="2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8,250</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20" w:type="dxa"/>
            <w:vAlign w:val="bottom"/>
          </w:tcPr>
          <w:p>
            <w:pPr>
              <w:spacing w:after="0"/>
              <w:rPr>
                <w:sz w:val="11"/>
                <w:szCs w:val="11"/>
                <w:color w:val="auto"/>
              </w:rPr>
            </w:pPr>
          </w:p>
        </w:tc>
        <w:tc>
          <w:tcPr>
            <w:tcW w:w="2680" w:type="dxa"/>
            <w:vAlign w:val="bottom"/>
          </w:tcPr>
          <w:p>
            <w:pPr>
              <w:ind w:left="80"/>
              <w:spacing w:after="0" w:line="131" w:lineRule="exact"/>
              <w:rPr>
                <w:sz w:val="20"/>
                <w:szCs w:val="20"/>
                <w:color w:val="auto"/>
              </w:rPr>
            </w:pPr>
            <w:r>
              <w:rPr>
                <w:rFonts w:ascii="Times New Roman" w:cs="Times New Roman" w:eastAsia="Times New Roman" w:hAnsi="Times New Roman"/>
                <w:sz w:val="13"/>
                <w:szCs w:val="13"/>
                <w:color w:val="auto"/>
              </w:rPr>
              <w:t>Super-Priority DIP term loan ($47,147 par, due</w:t>
            </w:r>
          </w:p>
        </w:tc>
        <w:tc>
          <w:tcPr>
            <w:tcW w:w="900" w:type="dxa"/>
            <w:vAlign w:val="bottom"/>
          </w:tcPr>
          <w:p>
            <w:pPr>
              <w:jc w:val="right"/>
              <w:ind w:right="97"/>
              <w:spacing w:after="0" w:line="131" w:lineRule="exact"/>
              <w:rPr>
                <w:sz w:val="20"/>
                <w:szCs w:val="20"/>
                <w:color w:val="auto"/>
              </w:rPr>
            </w:pPr>
            <w:r>
              <w:rPr>
                <w:rFonts w:ascii="Times New Roman" w:cs="Times New Roman" w:eastAsia="Times New Roman" w:hAnsi="Times New Roman"/>
                <w:sz w:val="13"/>
                <w:szCs w:val="13"/>
                <w:color w:val="auto"/>
              </w:rPr>
              <w:t>4/24/2023</w:t>
            </w:r>
          </w:p>
        </w:tc>
        <w:tc>
          <w:tcPr>
            <w:tcW w:w="1180" w:type="dxa"/>
            <w:vAlign w:val="bottom"/>
          </w:tcPr>
          <w:p>
            <w:pPr>
              <w:jc w:val="right"/>
              <w:ind w:right="177"/>
              <w:spacing w:after="0" w:line="131" w:lineRule="exact"/>
              <w:rPr>
                <w:sz w:val="20"/>
                <w:szCs w:val="20"/>
                <w:color w:val="auto"/>
              </w:rPr>
            </w:pPr>
            <w:r>
              <w:rPr>
                <w:rFonts w:ascii="Times New Roman" w:cs="Times New Roman" w:eastAsia="Times New Roman" w:hAnsi="Times New Roman"/>
                <w:sz w:val="13"/>
                <w:szCs w:val="13"/>
                <w:color w:val="auto"/>
              </w:rPr>
              <w:t>SOFR + 7.90%</w:t>
            </w:r>
          </w:p>
        </w:tc>
        <w:tc>
          <w:tcPr>
            <w:tcW w:w="1340" w:type="dxa"/>
            <w:vAlign w:val="bottom"/>
            <w:gridSpan w:val="2"/>
          </w:tcPr>
          <w:p>
            <w:pPr>
              <w:jc w:val="right"/>
              <w:ind w:right="497"/>
              <w:spacing w:after="0" w:line="131" w:lineRule="exact"/>
              <w:rPr>
                <w:sz w:val="20"/>
                <w:szCs w:val="20"/>
                <w:color w:val="auto"/>
              </w:rPr>
            </w:pPr>
            <w:r>
              <w:rPr>
                <w:rFonts w:ascii="Times New Roman" w:cs="Times New Roman" w:eastAsia="Times New Roman" w:hAnsi="Times New Roman"/>
                <w:sz w:val="13"/>
                <w:szCs w:val="13"/>
                <w:color w:val="auto"/>
              </w:rPr>
              <w:t>13.26% (incl.</w:t>
            </w:r>
          </w:p>
        </w:tc>
        <w:tc>
          <w:tcPr>
            <w:tcW w:w="70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47,147</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45,143</w:t>
            </w:r>
          </w:p>
        </w:tc>
        <w:tc>
          <w:tcPr>
            <w:tcW w:w="116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3"/>
                <w:szCs w:val="13"/>
                <w:color w:val="auto"/>
              </w:rPr>
              <w:t>2.5 %</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20" w:type="dxa"/>
            <w:vAlign w:val="bottom"/>
          </w:tcPr>
          <w:p>
            <w:pPr>
              <w:spacing w:after="0"/>
              <w:rPr>
                <w:sz w:val="14"/>
                <w:szCs w:val="14"/>
                <w:color w:val="auto"/>
              </w:rPr>
            </w:pPr>
          </w:p>
        </w:tc>
        <w:tc>
          <w:tcPr>
            <w:tcW w:w="26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9/2024)</w:t>
            </w:r>
          </w:p>
        </w:tc>
        <w:tc>
          <w:tcPr>
            <w:tcW w:w="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gridSpan w:val="2"/>
          </w:tcPr>
          <w:p>
            <w:pPr>
              <w:jc w:val="right"/>
              <w:ind w:right="457"/>
              <w:spacing w:after="0"/>
              <w:rPr>
                <w:sz w:val="20"/>
                <w:szCs w:val="20"/>
                <w:color w:val="auto"/>
              </w:rPr>
            </w:pPr>
            <w:r>
              <w:rPr>
                <w:rFonts w:ascii="Times New Roman" w:cs="Times New Roman" w:eastAsia="Times New Roman" w:hAnsi="Times New Roman"/>
                <w:sz w:val="13"/>
                <w:szCs w:val="13"/>
                <w:color w:val="auto"/>
              </w:rPr>
              <w:t>13.26% PIK)</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620" w:type="dxa"/>
            <w:vAlign w:val="bottom"/>
            <w:shd w:val="clear" w:color="auto" w:fill="CFF0FC"/>
          </w:tcPr>
          <w:p>
            <w:pPr>
              <w:ind w:left="20"/>
              <w:spacing w:after="0" w:line="165" w:lineRule="exact"/>
              <w:rPr>
                <w:sz w:val="20"/>
                <w:szCs w:val="20"/>
                <w:color w:val="auto"/>
              </w:rPr>
            </w:pPr>
            <w:r>
              <w:rPr>
                <w:rFonts w:ascii="Times New Roman" w:cs="Times New Roman" w:eastAsia="Times New Roman" w:hAnsi="Times New Roman"/>
                <w:sz w:val="13"/>
                <w:szCs w:val="13"/>
                <w:color w:val="auto"/>
              </w:rPr>
              <w:t xml:space="preserve">Commercehub, Inc. </w:t>
            </w:r>
            <w:r>
              <w:rPr>
                <w:rFonts w:ascii="Times New Roman" w:cs="Times New Roman" w:eastAsia="Times New Roman" w:hAnsi="Times New Roman"/>
                <w:sz w:val="16"/>
                <w:szCs w:val="16"/>
                <w:color w:val="auto"/>
                <w:vertAlign w:val="superscript"/>
              </w:rPr>
              <w:t>(3)</w:t>
            </w:r>
          </w:p>
        </w:tc>
        <w:tc>
          <w:tcPr>
            <w:tcW w:w="2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First-lien loan ($148,500 par, due 12/2027)</w:t>
            </w:r>
          </w:p>
        </w:tc>
        <w:tc>
          <w:tcPr>
            <w:tcW w:w="90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11/15/2022</w:t>
            </w:r>
          </w:p>
        </w:tc>
        <w:tc>
          <w:tcPr>
            <w:tcW w:w="1180" w:type="dxa"/>
            <w:vAlign w:val="bottom"/>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SOFR + 6.25%</w:t>
            </w:r>
          </w:p>
        </w:tc>
        <w:tc>
          <w:tcPr>
            <w:tcW w:w="10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11.79 %</w:t>
            </w:r>
          </w:p>
        </w:tc>
        <w:tc>
          <w:tcPr>
            <w:tcW w:w="2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139,880</w:t>
            </w:r>
          </w:p>
        </w:tc>
        <w:tc>
          <w:tcPr>
            <w:tcW w:w="2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145,530</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Rapid Data GmbH</w:t>
            </w:r>
          </w:p>
        </w:tc>
        <w:tc>
          <w:tcPr>
            <w:tcW w:w="268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First-lien loan (EUR 4,495 par, due 7/2029)</w:t>
            </w:r>
          </w:p>
        </w:tc>
        <w:tc>
          <w:tcPr>
            <w:tcW w:w="900" w:type="dxa"/>
            <w:vAlign w:val="bottom"/>
          </w:tcPr>
          <w:p>
            <w:pPr>
              <w:jc w:val="right"/>
              <w:ind w:right="97"/>
              <w:spacing w:after="0" w:line="122" w:lineRule="exact"/>
              <w:rPr>
                <w:sz w:val="20"/>
                <w:szCs w:val="20"/>
                <w:color w:val="auto"/>
              </w:rPr>
            </w:pPr>
            <w:r>
              <w:rPr>
                <w:rFonts w:ascii="Times New Roman" w:cs="Times New Roman" w:eastAsia="Times New Roman" w:hAnsi="Times New Roman"/>
                <w:sz w:val="13"/>
                <w:szCs w:val="13"/>
                <w:color w:val="auto"/>
              </w:rPr>
              <w:t>7/11/2023</w:t>
            </w:r>
          </w:p>
        </w:tc>
        <w:tc>
          <w:tcPr>
            <w:tcW w:w="1180" w:type="dxa"/>
            <w:vAlign w:val="bottom"/>
          </w:tcPr>
          <w:p>
            <w:pPr>
              <w:jc w:val="right"/>
              <w:ind w:right="177"/>
              <w:spacing w:after="0" w:line="122" w:lineRule="exact"/>
              <w:rPr>
                <w:sz w:val="20"/>
                <w:szCs w:val="20"/>
                <w:color w:val="auto"/>
              </w:rPr>
            </w:pPr>
            <w:r>
              <w:rPr>
                <w:rFonts w:ascii="Times New Roman" w:cs="Times New Roman" w:eastAsia="Times New Roman" w:hAnsi="Times New Roman"/>
                <w:sz w:val="13"/>
                <w:szCs w:val="13"/>
                <w:color w:val="auto"/>
              </w:rPr>
              <w:t>E + 6.50%</w:t>
            </w:r>
          </w:p>
        </w:tc>
        <w:tc>
          <w:tcPr>
            <w:tcW w:w="1060" w:type="dxa"/>
            <w:vAlign w:val="bottom"/>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10.48 %</w:t>
            </w:r>
          </w:p>
        </w:tc>
        <w:tc>
          <w:tcPr>
            <w:tcW w:w="2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4,677</w:t>
            </w: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4,853</w:t>
            </w:r>
          </w:p>
        </w:tc>
        <w:tc>
          <w:tcPr>
            <w:tcW w:w="11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3"/>
                <w:szCs w:val="13"/>
                <w:color w:val="auto"/>
              </w:rPr>
              <w:t>0.3 %</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620" w:type="dxa"/>
            <w:vAlign w:val="bottom"/>
          </w:tcPr>
          <w:p>
            <w:pPr>
              <w:ind w:left="20"/>
              <w:spacing w:after="0" w:line="175" w:lineRule="exact"/>
              <w:rPr>
                <w:sz w:val="20"/>
                <w:szCs w:val="20"/>
                <w:color w:val="auto"/>
              </w:rPr>
            </w:pPr>
            <w:r>
              <w:rPr>
                <w:rFonts w:ascii="Times New Roman" w:cs="Times New Roman" w:eastAsia="Times New Roman" w:hAnsi="Times New Roman"/>
                <w:sz w:val="13"/>
                <w:szCs w:val="13"/>
                <w:color w:val="auto"/>
              </w:rPr>
              <w:t xml:space="preserve">Unternehmensberatung </w:t>
            </w:r>
            <w:r>
              <w:rPr>
                <w:rFonts w:ascii="Times New Roman" w:cs="Times New Roman" w:eastAsia="Times New Roman" w:hAnsi="Times New Roman"/>
                <w:sz w:val="16"/>
                <w:szCs w:val="16"/>
                <w:color w:val="auto"/>
                <w:vertAlign w:val="superscript"/>
              </w:rPr>
              <w:t>(3)(4)</w:t>
            </w:r>
          </w:p>
        </w:tc>
        <w:tc>
          <w:tcPr>
            <w:tcW w:w="2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(EUR 4,393)</w:t>
            </w:r>
          </w:p>
        </w:tc>
        <w:tc>
          <w:tcPr>
            <w:tcW w:w="2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620" w:type="dxa"/>
            <w:vAlign w:val="bottom"/>
            <w:shd w:val="clear" w:color="auto" w:fill="CFF0FC"/>
          </w:tcPr>
          <w:p>
            <w:pPr>
              <w:spacing w:after="0"/>
              <w:rPr>
                <w:sz w:val="13"/>
                <w:szCs w:val="13"/>
                <w:color w:val="auto"/>
              </w:rPr>
            </w:pPr>
          </w:p>
        </w:tc>
        <w:tc>
          <w:tcPr>
            <w:tcW w:w="26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225,361</w:t>
            </w:r>
          </w:p>
        </w:tc>
        <w:tc>
          <w:tcPr>
            <w:tcW w:w="2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228,263</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12.6 %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20" w:type="dxa"/>
            <w:vAlign w:val="bottom"/>
            <w:tcBorders>
              <w:top w:val="single" w:sz="8" w:color="CFF0FC"/>
            </w:tcBorders>
          </w:tcPr>
          <w:p>
            <w:pPr>
              <w:spacing w:after="0"/>
              <w:rPr>
                <w:sz w:val="13"/>
                <w:szCs w:val="13"/>
                <w:color w:val="auto"/>
              </w:rPr>
            </w:pPr>
          </w:p>
        </w:tc>
        <w:tc>
          <w:tcPr>
            <w:tcW w:w="2680" w:type="dxa"/>
            <w:vAlign w:val="bottom"/>
            <w:tcBorders>
              <w:top w:val="single" w:sz="8" w:color="CFF0FC"/>
            </w:tcBorders>
          </w:tcPr>
          <w:p>
            <w:pPr>
              <w:spacing w:after="0"/>
              <w:rPr>
                <w:sz w:val="13"/>
                <w:szCs w:val="13"/>
                <w:color w:val="auto"/>
              </w:rPr>
            </w:pPr>
          </w:p>
        </w:tc>
        <w:tc>
          <w:tcPr>
            <w:tcW w:w="900" w:type="dxa"/>
            <w:vAlign w:val="bottom"/>
            <w:tcBorders>
              <w:top w:val="single" w:sz="8" w:color="CFF0FC"/>
            </w:tcBorders>
          </w:tcPr>
          <w:p>
            <w:pPr>
              <w:spacing w:after="0"/>
              <w:rPr>
                <w:sz w:val="13"/>
                <w:szCs w:val="13"/>
                <w:color w:val="auto"/>
              </w:rPr>
            </w:pPr>
          </w:p>
        </w:tc>
        <w:tc>
          <w:tcPr>
            <w:tcW w:w="1180" w:type="dxa"/>
            <w:vAlign w:val="bottom"/>
            <w:tcBorders>
              <w:top w:val="single" w:sz="8" w:color="CFF0FC"/>
            </w:tcBorders>
          </w:tcPr>
          <w:p>
            <w:pPr>
              <w:spacing w:after="0"/>
              <w:rPr>
                <w:sz w:val="13"/>
                <w:szCs w:val="13"/>
                <w:color w:val="auto"/>
              </w:rPr>
            </w:pPr>
          </w:p>
        </w:tc>
        <w:tc>
          <w:tcPr>
            <w:tcW w:w="1060" w:type="dxa"/>
            <w:vAlign w:val="bottom"/>
            <w:tcBorders>
              <w:top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Debt Investments</w:t>
            </w:r>
          </w:p>
        </w:tc>
        <w:tc>
          <w:tcPr>
            <w:tcW w:w="26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2,975,175</w:t>
            </w:r>
          </w:p>
        </w:tc>
        <w:tc>
          <w:tcPr>
            <w:tcW w:w="2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3,036,500</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167.2 %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20" w:type="dxa"/>
            <w:vAlign w:val="bottom"/>
            <w:tcBorders>
              <w:top w:val="single" w:sz="8" w:color="CFF0FC"/>
            </w:tcBorders>
          </w:tcPr>
          <w:p>
            <w:pPr>
              <w:spacing w:after="0"/>
              <w:rPr>
                <w:sz w:val="13"/>
                <w:szCs w:val="13"/>
                <w:color w:val="auto"/>
              </w:rPr>
            </w:pPr>
          </w:p>
        </w:tc>
        <w:tc>
          <w:tcPr>
            <w:tcW w:w="2680" w:type="dxa"/>
            <w:vAlign w:val="bottom"/>
            <w:tcBorders>
              <w:top w:val="single" w:sz="8" w:color="CFF0FC"/>
            </w:tcBorders>
          </w:tcPr>
          <w:p>
            <w:pPr>
              <w:spacing w:after="0"/>
              <w:rPr>
                <w:sz w:val="13"/>
                <w:szCs w:val="13"/>
                <w:color w:val="auto"/>
              </w:rPr>
            </w:pPr>
          </w:p>
        </w:tc>
        <w:tc>
          <w:tcPr>
            <w:tcW w:w="900" w:type="dxa"/>
            <w:vAlign w:val="bottom"/>
            <w:tcBorders>
              <w:top w:val="single" w:sz="8" w:color="CFF0FC"/>
            </w:tcBorders>
          </w:tcPr>
          <w:p>
            <w:pPr>
              <w:spacing w:after="0"/>
              <w:rPr>
                <w:sz w:val="13"/>
                <w:szCs w:val="13"/>
                <w:color w:val="auto"/>
              </w:rPr>
            </w:pPr>
          </w:p>
        </w:tc>
        <w:tc>
          <w:tcPr>
            <w:tcW w:w="1180" w:type="dxa"/>
            <w:vAlign w:val="bottom"/>
            <w:tcBorders>
              <w:top w:val="single" w:sz="8" w:color="CFF0FC"/>
            </w:tcBorders>
          </w:tcPr>
          <w:p>
            <w:pPr>
              <w:spacing w:after="0"/>
              <w:rPr>
                <w:sz w:val="13"/>
                <w:szCs w:val="13"/>
                <w:color w:val="auto"/>
              </w:rPr>
            </w:pPr>
          </w:p>
        </w:tc>
        <w:tc>
          <w:tcPr>
            <w:tcW w:w="1060" w:type="dxa"/>
            <w:vAlign w:val="bottom"/>
            <w:tcBorders>
              <w:top w:val="single" w:sz="8" w:color="CFF0FC"/>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620" w:type="dxa"/>
            <w:vAlign w:val="bottom"/>
            <w:shd w:val="clear" w:color="auto" w:fill="CFF0FC"/>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Equity and Other</w:t>
            </w:r>
          </w:p>
        </w:tc>
        <w:tc>
          <w:tcPr>
            <w:tcW w:w="26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6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Business Services</w:t>
            </w:r>
          </w:p>
        </w:tc>
        <w:tc>
          <w:tcPr>
            <w:tcW w:w="26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AF Eagle Parent, L.P. </w:t>
            </w:r>
            <w:r>
              <w:rPr>
                <w:rFonts w:ascii="Times New Roman" w:cs="Times New Roman" w:eastAsia="Times New Roman" w:hAnsi="Times New Roman"/>
                <w:sz w:val="16"/>
                <w:szCs w:val="16"/>
                <w:color w:val="auto"/>
                <w:vertAlign w:val="superscript"/>
              </w:rPr>
              <w:t>(8)(10)</w:t>
            </w:r>
          </w:p>
        </w:tc>
        <w:tc>
          <w:tcPr>
            <w:tcW w:w="26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Partnership Units (337,024)</w:t>
            </w: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11/27/2023</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11,364</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11,364</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Artisan Topco LP </w:t>
            </w:r>
            <w:r>
              <w:rPr>
                <w:rFonts w:ascii="Times New Roman" w:cs="Times New Roman" w:eastAsia="Times New Roman" w:hAnsi="Times New Roman"/>
                <w:sz w:val="16"/>
                <w:szCs w:val="16"/>
                <w:color w:val="auto"/>
                <w:vertAlign w:val="superscript"/>
              </w:rPr>
              <w:t>(8)(10)</w:t>
            </w:r>
          </w:p>
        </w:tc>
        <w:tc>
          <w:tcPr>
            <w:tcW w:w="2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Class A Preferred Units (7,882,736 units)</w:t>
            </w:r>
          </w:p>
        </w:tc>
        <w:tc>
          <w:tcPr>
            <w:tcW w:w="90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11/7/2023</w:t>
            </w:r>
          </w:p>
        </w:tc>
        <w:tc>
          <w:tcPr>
            <w:tcW w:w="11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7,883</w:t>
            </w:r>
          </w:p>
        </w:tc>
        <w:tc>
          <w:tcPr>
            <w:tcW w:w="2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7,883</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Warrior TopCo LP </w:t>
            </w:r>
            <w:r>
              <w:rPr>
                <w:rFonts w:ascii="Times New Roman" w:cs="Times New Roman" w:eastAsia="Times New Roman" w:hAnsi="Times New Roman"/>
                <w:sz w:val="16"/>
                <w:szCs w:val="16"/>
                <w:color w:val="auto"/>
                <w:vertAlign w:val="superscript"/>
              </w:rPr>
              <w:t>(8)(10)</w:t>
            </w:r>
          </w:p>
        </w:tc>
        <w:tc>
          <w:tcPr>
            <w:tcW w:w="26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Class A Units (9,576,271 units)</w:t>
            </w: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7/7/2023</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9,576</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9,576</w:t>
            </w:r>
          </w:p>
        </w:tc>
        <w:tc>
          <w:tcPr>
            <w:tcW w:w="2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620" w:type="dxa"/>
            <w:vAlign w:val="bottom"/>
            <w:shd w:val="clear" w:color="auto" w:fill="CFF0FC"/>
          </w:tcPr>
          <w:p>
            <w:pPr>
              <w:spacing w:after="0"/>
              <w:rPr>
                <w:sz w:val="13"/>
                <w:szCs w:val="13"/>
                <w:color w:val="auto"/>
              </w:rPr>
            </w:pPr>
          </w:p>
        </w:tc>
        <w:tc>
          <w:tcPr>
            <w:tcW w:w="26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28,823</w:t>
            </w:r>
          </w:p>
        </w:tc>
        <w:tc>
          <w:tcPr>
            <w:tcW w:w="2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28,823</w:t>
            </w:r>
          </w:p>
        </w:tc>
        <w:tc>
          <w:tcPr>
            <w:tcW w:w="2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Financial Services</w:t>
            </w:r>
          </w:p>
        </w:tc>
        <w:tc>
          <w:tcPr>
            <w:tcW w:w="2680" w:type="dxa"/>
            <w:vAlign w:val="bottom"/>
            <w:tcBorders>
              <w:top w:val="single" w:sz="8" w:color="CFF0FC"/>
            </w:tcBorders>
          </w:tcPr>
          <w:p>
            <w:pPr>
              <w:spacing w:after="0"/>
              <w:rPr>
                <w:sz w:val="13"/>
                <w:szCs w:val="13"/>
                <w:color w:val="auto"/>
              </w:rPr>
            </w:pPr>
          </w:p>
        </w:tc>
        <w:tc>
          <w:tcPr>
            <w:tcW w:w="900" w:type="dxa"/>
            <w:vAlign w:val="bottom"/>
            <w:tcBorders>
              <w:top w:val="single" w:sz="8" w:color="CFF0FC"/>
            </w:tcBorders>
          </w:tcPr>
          <w:p>
            <w:pPr>
              <w:spacing w:after="0"/>
              <w:rPr>
                <w:sz w:val="13"/>
                <w:szCs w:val="13"/>
                <w:color w:val="auto"/>
              </w:rPr>
            </w:pPr>
          </w:p>
        </w:tc>
        <w:tc>
          <w:tcPr>
            <w:tcW w:w="1180" w:type="dxa"/>
            <w:vAlign w:val="bottom"/>
            <w:tcBorders>
              <w:top w:val="single" w:sz="8" w:color="CFF0FC"/>
            </w:tcBorders>
          </w:tcPr>
          <w:p>
            <w:pPr>
              <w:spacing w:after="0"/>
              <w:rPr>
                <w:sz w:val="13"/>
                <w:szCs w:val="13"/>
                <w:color w:val="auto"/>
              </w:rPr>
            </w:pPr>
          </w:p>
        </w:tc>
        <w:tc>
          <w:tcPr>
            <w:tcW w:w="1060" w:type="dxa"/>
            <w:vAlign w:val="bottom"/>
            <w:tcBorders>
              <w:top w:val="single" w:sz="8" w:color="CFF0FC"/>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2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3"/>
                <w:szCs w:val="13"/>
                <w:color w:val="auto"/>
                <w:w w:val="99"/>
              </w:rPr>
              <w:t xml:space="preserve">CLGF Holdings, L.P. </w:t>
            </w:r>
            <w:r>
              <w:rPr>
                <w:rFonts w:ascii="Times New Roman" w:cs="Times New Roman" w:eastAsia="Times New Roman" w:hAnsi="Times New Roman"/>
                <w:sz w:val="16"/>
                <w:szCs w:val="16"/>
                <w:color w:val="auto"/>
                <w:w w:val="99"/>
                <w:vertAlign w:val="superscript"/>
              </w:rPr>
              <w:t>(4)(8)(10)</w:t>
            </w:r>
          </w:p>
        </w:tc>
        <w:tc>
          <w:tcPr>
            <w:tcW w:w="2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8,358,075 Warrants</w:t>
            </w:r>
          </w:p>
        </w:tc>
        <w:tc>
          <w:tcPr>
            <w:tcW w:w="90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11/7/2023</w:t>
            </w:r>
          </w:p>
        </w:tc>
        <w:tc>
          <w:tcPr>
            <w:tcW w:w="11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4,575</w:t>
            </w:r>
          </w:p>
        </w:tc>
        <w:tc>
          <w:tcPr>
            <w:tcW w:w="2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4,575</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Healthcare</w:t>
            </w:r>
          </w:p>
        </w:tc>
        <w:tc>
          <w:tcPr>
            <w:tcW w:w="26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 xml:space="preserve">Raptor US Buyer II Corp. </w:t>
            </w:r>
            <w:r>
              <w:rPr>
                <w:rFonts w:ascii="Times New Roman" w:cs="Times New Roman" w:eastAsia="Times New Roman" w:hAnsi="Times New Roman"/>
                <w:sz w:val="14"/>
                <w:szCs w:val="14"/>
                <w:color w:val="auto"/>
                <w:vertAlign w:val="superscript"/>
              </w:rPr>
              <w:t>(8)</w:t>
            </w:r>
          </w:p>
        </w:tc>
        <w:tc>
          <w:tcPr>
            <w:tcW w:w="268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128,321 Ordinary Shares</w:t>
            </w:r>
          </w:p>
        </w:tc>
        <w:tc>
          <w:tcPr>
            <w:tcW w:w="900" w:type="dxa"/>
            <w:vAlign w:val="bottom"/>
          </w:tcPr>
          <w:p>
            <w:pPr>
              <w:jc w:val="right"/>
              <w:ind w:right="97"/>
              <w:spacing w:after="0" w:line="122" w:lineRule="exact"/>
              <w:rPr>
                <w:sz w:val="20"/>
                <w:szCs w:val="20"/>
                <w:color w:val="auto"/>
              </w:rPr>
            </w:pPr>
            <w:r>
              <w:rPr>
                <w:rFonts w:ascii="Times New Roman" w:cs="Times New Roman" w:eastAsia="Times New Roman" w:hAnsi="Times New Roman"/>
                <w:sz w:val="13"/>
                <w:szCs w:val="13"/>
                <w:color w:val="auto"/>
              </w:rPr>
              <w:t>3/24/2023</w:t>
            </w:r>
          </w:p>
        </w:tc>
        <w:tc>
          <w:tcPr>
            <w:tcW w:w="1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12,875</w:t>
            </w: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12,875</w:t>
            </w:r>
          </w:p>
        </w:tc>
        <w:tc>
          <w:tcPr>
            <w:tcW w:w="11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3"/>
                <w:szCs w:val="13"/>
                <w:color w:val="auto"/>
              </w:rPr>
              <w:t>0.7 %</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620" w:type="dxa"/>
            <w:vAlign w:val="bottom"/>
          </w:tcPr>
          <w:p>
            <w:pPr>
              <w:ind w:left="20"/>
              <w:spacing w:after="0"/>
              <w:rPr>
                <w:sz w:val="20"/>
                <w:szCs w:val="20"/>
                <w:color w:val="auto"/>
              </w:rPr>
            </w:pPr>
            <w:r>
              <w:rPr>
                <w:rFonts w:ascii="Times New Roman" w:cs="Times New Roman" w:eastAsia="Times New Roman" w:hAnsi="Times New Roman"/>
                <w:sz w:val="8"/>
                <w:szCs w:val="8"/>
                <w:color w:val="auto"/>
              </w:rPr>
              <w:t>(10)</w:t>
            </w:r>
          </w:p>
        </w:tc>
        <w:tc>
          <w:tcPr>
            <w:tcW w:w="2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16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620" w:type="dxa"/>
            <w:vAlign w:val="bottom"/>
            <w:shd w:val="clear" w:color="auto" w:fill="CFF0FC"/>
          </w:tcPr>
          <w:p>
            <w:pPr>
              <w:spacing w:after="0"/>
              <w:rPr>
                <w:sz w:val="14"/>
                <w:szCs w:val="14"/>
                <w:color w:val="auto"/>
              </w:rPr>
            </w:pPr>
          </w:p>
        </w:tc>
        <w:tc>
          <w:tcPr>
            <w:tcW w:w="26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6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Human Resource Support</w:t>
            </w:r>
          </w:p>
        </w:tc>
        <w:tc>
          <w:tcPr>
            <w:tcW w:w="2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Services</w:t>
            </w:r>
          </w:p>
        </w:tc>
        <w:tc>
          <w:tcPr>
            <w:tcW w:w="2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20" w:type="dxa"/>
            <w:vAlign w:val="bottom"/>
            <w:shd w:val="clear" w:color="auto" w:fill="CFF0FC"/>
          </w:tcPr>
          <w:p>
            <w:pPr>
              <w:ind w:left="20"/>
              <w:spacing w:after="0" w:line="165" w:lineRule="exact"/>
              <w:rPr>
                <w:sz w:val="20"/>
                <w:szCs w:val="20"/>
                <w:color w:val="auto"/>
              </w:rPr>
            </w:pPr>
            <w:r>
              <w:rPr>
                <w:rFonts w:ascii="Times New Roman" w:cs="Times New Roman" w:eastAsia="Times New Roman" w:hAnsi="Times New Roman"/>
                <w:sz w:val="13"/>
                <w:szCs w:val="13"/>
                <w:color w:val="auto"/>
              </w:rPr>
              <w:t xml:space="preserve">bswift, LLC </w:t>
            </w:r>
            <w:r>
              <w:rPr>
                <w:rFonts w:ascii="Times New Roman" w:cs="Times New Roman" w:eastAsia="Times New Roman" w:hAnsi="Times New Roman"/>
                <w:sz w:val="16"/>
                <w:szCs w:val="16"/>
                <w:color w:val="auto"/>
                <w:vertAlign w:val="superscript"/>
              </w:rPr>
              <w:t>(8)</w:t>
            </w:r>
          </w:p>
        </w:tc>
        <w:tc>
          <w:tcPr>
            <w:tcW w:w="2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Class A-1 Units (7,606,491 units)</w:t>
            </w:r>
          </w:p>
        </w:tc>
        <w:tc>
          <w:tcPr>
            <w:tcW w:w="90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11/7/2022</w:t>
            </w:r>
          </w:p>
        </w:tc>
        <w:tc>
          <w:tcPr>
            <w:tcW w:w="11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7,606</w:t>
            </w:r>
          </w:p>
        </w:tc>
        <w:tc>
          <w:tcPr>
            <w:tcW w:w="2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7,606</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Internet Services</w:t>
            </w:r>
          </w:p>
        </w:tc>
        <w:tc>
          <w:tcPr>
            <w:tcW w:w="26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 xml:space="preserve">Newark FP Co-Invest, L.P. </w:t>
            </w:r>
            <w:r>
              <w:rPr>
                <w:rFonts w:ascii="Times New Roman" w:cs="Times New Roman" w:eastAsia="Times New Roman" w:hAnsi="Times New Roman"/>
                <w:sz w:val="14"/>
                <w:szCs w:val="14"/>
                <w:color w:val="auto"/>
                <w:vertAlign w:val="superscript"/>
              </w:rPr>
              <w:t>(8)</w:t>
            </w:r>
          </w:p>
        </w:tc>
        <w:tc>
          <w:tcPr>
            <w:tcW w:w="268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Partnership (8,555,356 units)</w:t>
            </w:r>
          </w:p>
        </w:tc>
        <w:tc>
          <w:tcPr>
            <w:tcW w:w="900" w:type="dxa"/>
            <w:vAlign w:val="bottom"/>
          </w:tcPr>
          <w:p>
            <w:pPr>
              <w:jc w:val="right"/>
              <w:ind w:right="97"/>
              <w:spacing w:after="0" w:line="122" w:lineRule="exact"/>
              <w:rPr>
                <w:sz w:val="20"/>
                <w:szCs w:val="20"/>
                <w:color w:val="auto"/>
              </w:rPr>
            </w:pPr>
            <w:r>
              <w:rPr>
                <w:rFonts w:ascii="Times New Roman" w:cs="Times New Roman" w:eastAsia="Times New Roman" w:hAnsi="Times New Roman"/>
                <w:sz w:val="13"/>
                <w:szCs w:val="13"/>
                <w:color w:val="auto"/>
              </w:rPr>
              <w:t>11/8/2023</w:t>
            </w:r>
          </w:p>
        </w:tc>
        <w:tc>
          <w:tcPr>
            <w:tcW w:w="1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8,572</w:t>
            </w: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8,572</w:t>
            </w:r>
          </w:p>
        </w:tc>
        <w:tc>
          <w:tcPr>
            <w:tcW w:w="11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3"/>
                <w:szCs w:val="13"/>
                <w:color w:val="auto"/>
              </w:rPr>
              <w:t>0.5 %</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620" w:type="dxa"/>
            <w:vAlign w:val="bottom"/>
          </w:tcPr>
          <w:p>
            <w:pPr>
              <w:ind w:left="20"/>
              <w:spacing w:after="0"/>
              <w:rPr>
                <w:sz w:val="20"/>
                <w:szCs w:val="20"/>
                <w:color w:val="auto"/>
              </w:rPr>
            </w:pPr>
            <w:r>
              <w:rPr>
                <w:rFonts w:ascii="Times New Roman" w:cs="Times New Roman" w:eastAsia="Times New Roman" w:hAnsi="Times New Roman"/>
                <w:sz w:val="8"/>
                <w:szCs w:val="8"/>
                <w:color w:val="auto"/>
              </w:rPr>
              <w:t>(10)</w:t>
            </w:r>
          </w:p>
        </w:tc>
        <w:tc>
          <w:tcPr>
            <w:tcW w:w="2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16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62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color w:val="auto"/>
              </w:rPr>
              <w:t>SMA Technologies Holdings,</w:t>
            </w:r>
          </w:p>
        </w:tc>
        <w:tc>
          <w:tcPr>
            <w:tcW w:w="268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3"/>
                <w:szCs w:val="13"/>
                <w:color w:val="auto"/>
              </w:rPr>
              <w:t>Class A Units (200 units)</w:t>
            </w:r>
          </w:p>
        </w:tc>
        <w:tc>
          <w:tcPr>
            <w:tcW w:w="900" w:type="dxa"/>
            <w:vAlign w:val="bottom"/>
            <w:shd w:val="clear" w:color="auto" w:fill="CFF0FC"/>
          </w:tcPr>
          <w:p>
            <w:pPr>
              <w:jc w:val="right"/>
              <w:ind w:right="97"/>
              <w:spacing w:after="0" w:line="122" w:lineRule="exact"/>
              <w:rPr>
                <w:sz w:val="20"/>
                <w:szCs w:val="20"/>
                <w:color w:val="auto"/>
              </w:rPr>
            </w:pPr>
            <w:r>
              <w:rPr>
                <w:rFonts w:ascii="Times New Roman" w:cs="Times New Roman" w:eastAsia="Times New Roman" w:hAnsi="Times New Roman"/>
                <w:sz w:val="13"/>
                <w:szCs w:val="13"/>
                <w:color w:val="auto"/>
              </w:rPr>
              <w:t>11/21/2022</w:t>
            </w:r>
          </w:p>
        </w:tc>
        <w:tc>
          <w:tcPr>
            <w:tcW w:w="118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200</w:t>
            </w: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200</w:t>
            </w:r>
          </w:p>
        </w:tc>
        <w:tc>
          <w:tcPr>
            <w:tcW w:w="1160" w:type="dxa"/>
            <w:vAlign w:val="bottom"/>
            <w:gridSpan w:val="3"/>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0.0 %</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62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3"/>
                <w:szCs w:val="13"/>
                <w:color w:val="auto"/>
              </w:rPr>
              <w:t xml:space="preserve">LLC </w:t>
            </w:r>
            <w:r>
              <w:rPr>
                <w:rFonts w:ascii="Times New Roman" w:cs="Times New Roman" w:eastAsia="Times New Roman" w:hAnsi="Times New Roman"/>
                <w:sz w:val="16"/>
                <w:szCs w:val="16"/>
                <w:color w:val="auto"/>
                <w:vertAlign w:val="superscript"/>
              </w:rPr>
              <w:t>(8)</w:t>
            </w:r>
          </w:p>
        </w:tc>
        <w:tc>
          <w:tcPr>
            <w:tcW w:w="26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26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Class B Units (142,038 units)</w:t>
            </w: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11/21/2022</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620" w:type="dxa"/>
            <w:vAlign w:val="bottom"/>
            <w:shd w:val="clear" w:color="auto" w:fill="CFF0FC"/>
          </w:tcPr>
          <w:p>
            <w:pPr>
              <w:spacing w:after="0"/>
              <w:rPr>
                <w:sz w:val="13"/>
                <w:szCs w:val="13"/>
                <w:color w:val="auto"/>
              </w:rPr>
            </w:pPr>
          </w:p>
        </w:tc>
        <w:tc>
          <w:tcPr>
            <w:tcW w:w="26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8,772</w:t>
            </w:r>
          </w:p>
        </w:tc>
        <w:tc>
          <w:tcPr>
            <w:tcW w:w="2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8,772</w:t>
            </w:r>
          </w:p>
        </w:tc>
        <w:tc>
          <w:tcPr>
            <w:tcW w:w="2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20" w:type="dxa"/>
            <w:vAlign w:val="bottom"/>
            <w:tcBorders>
              <w:top w:val="single" w:sz="8" w:color="CFF0FC"/>
            </w:tcBorders>
          </w:tcPr>
          <w:p>
            <w:pPr>
              <w:spacing w:after="0"/>
              <w:rPr>
                <w:sz w:val="13"/>
                <w:szCs w:val="13"/>
                <w:color w:val="auto"/>
              </w:rPr>
            </w:pPr>
          </w:p>
        </w:tc>
        <w:tc>
          <w:tcPr>
            <w:tcW w:w="2680" w:type="dxa"/>
            <w:vAlign w:val="bottom"/>
            <w:tcBorders>
              <w:top w:val="single" w:sz="8" w:color="CFF0FC"/>
            </w:tcBorders>
          </w:tcPr>
          <w:p>
            <w:pPr>
              <w:spacing w:after="0"/>
              <w:rPr>
                <w:sz w:val="13"/>
                <w:szCs w:val="13"/>
                <w:color w:val="auto"/>
              </w:rPr>
            </w:pPr>
          </w:p>
        </w:tc>
        <w:tc>
          <w:tcPr>
            <w:tcW w:w="900" w:type="dxa"/>
            <w:vAlign w:val="bottom"/>
            <w:tcBorders>
              <w:top w:val="single" w:sz="8" w:color="CFF0FC"/>
            </w:tcBorders>
          </w:tcPr>
          <w:p>
            <w:pPr>
              <w:spacing w:after="0"/>
              <w:rPr>
                <w:sz w:val="13"/>
                <w:szCs w:val="13"/>
                <w:color w:val="auto"/>
              </w:rPr>
            </w:pPr>
          </w:p>
        </w:tc>
        <w:tc>
          <w:tcPr>
            <w:tcW w:w="1180" w:type="dxa"/>
            <w:vAlign w:val="bottom"/>
            <w:tcBorders>
              <w:top w:val="single" w:sz="8" w:color="CFF0FC"/>
            </w:tcBorders>
          </w:tcPr>
          <w:p>
            <w:pPr>
              <w:spacing w:after="0"/>
              <w:rPr>
                <w:sz w:val="13"/>
                <w:szCs w:val="13"/>
                <w:color w:val="auto"/>
              </w:rPr>
            </w:pPr>
          </w:p>
        </w:tc>
        <w:tc>
          <w:tcPr>
            <w:tcW w:w="1060" w:type="dxa"/>
            <w:vAlign w:val="bottom"/>
            <w:tcBorders>
              <w:top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62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Equity and Other</w:t>
            </w:r>
          </w:p>
        </w:tc>
        <w:tc>
          <w:tcPr>
            <w:tcW w:w="268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62,651</w:t>
            </w: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62,651</w:t>
            </w:r>
          </w:p>
        </w:tc>
        <w:tc>
          <w:tcPr>
            <w:tcW w:w="1160" w:type="dxa"/>
            <w:vAlign w:val="bottom"/>
            <w:gridSpan w:val="3"/>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3.4 %</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68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shd w:val="clear" w:color="auto" w:fill="CFF0FC"/>
          </w:tcPr>
          <w:p>
            <w:pPr>
              <w:spacing w:after="0"/>
              <w:rPr>
                <w:sz w:val="13"/>
                <w:szCs w:val="13"/>
                <w:color w:val="auto"/>
              </w:rPr>
            </w:pPr>
          </w:p>
        </w:tc>
        <w:tc>
          <w:tcPr>
            <w:tcW w:w="1180" w:type="dxa"/>
            <w:vAlign w:val="bottom"/>
            <w:tcBorders>
              <w:bottom w:val="single" w:sz="8" w:color="CFF0FC"/>
            </w:tcBorders>
            <w:shd w:val="clear" w:color="auto" w:fill="CFF0FC"/>
          </w:tcPr>
          <w:p>
            <w:pPr>
              <w:spacing w:after="0"/>
              <w:rPr>
                <w:sz w:val="13"/>
                <w:szCs w:val="13"/>
                <w:color w:val="auto"/>
              </w:rPr>
            </w:pPr>
          </w:p>
        </w:tc>
        <w:tc>
          <w:tcPr>
            <w:tcW w:w="106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Investments</w:t>
            </w:r>
          </w:p>
        </w:tc>
        <w:tc>
          <w:tcPr>
            <w:tcW w:w="26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3,037,826</w:t>
            </w: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3,099,151</w:t>
            </w:r>
          </w:p>
        </w:tc>
        <w:tc>
          <w:tcPr>
            <w:tcW w:w="2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170.6 %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20" w:type="dxa"/>
            <w:vAlign w:val="bottom"/>
            <w:tcBorders>
              <w:top w:val="single" w:sz="8" w:color="CFF0FC"/>
            </w:tcBorders>
            <w:shd w:val="clear" w:color="auto" w:fill="CFF0FC"/>
          </w:tcPr>
          <w:p>
            <w:pPr>
              <w:spacing w:after="0" w:line="20" w:lineRule="exact"/>
              <w:rPr>
                <w:sz w:val="1"/>
                <w:szCs w:val="1"/>
                <w:color w:val="auto"/>
              </w:rPr>
            </w:pPr>
          </w:p>
        </w:tc>
        <w:tc>
          <w:tcPr>
            <w:tcW w:w="268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-6600190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-6600190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-6600190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-5177155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-5177155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-5177155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-4611370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-4611370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-4611370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-3445510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-3445510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-3445510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-3222625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-3222625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-3222625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-2296795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-2296795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-2296795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-548005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-548005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-247650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-247650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-24765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-8255</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-24765</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-8255</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left="520" w:right="140" w:hanging="512"/>
        <w:spacing w:after="0" w:line="261" w:lineRule="auto"/>
        <w:tabs>
          <w:tab w:leader="none" w:pos="5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Company’s portfolio companies are domiciled in the United States. Under the Investment Company Act of 1940, as amended (the “1940 Act”), the Company would “control” a portfolio company if the Company owned</w:t>
      </w:r>
    </w:p>
    <w:p>
      <w:pPr>
        <w:jc w:val="both"/>
        <w:ind w:left="520" w:right="156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more than 25% of its outstanding voting securities and/or had the power to exercise control over the management or policies of such portfolio company. As of December 31, 2023, the Company does not “control” any of the portfolio companies. Also under</w:t>
      </w:r>
    </w:p>
    <w:p>
      <w:pPr>
        <w:spacing w:after="0" w:line="3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982" w:right="299" w:bottom="1440" w:gutter="0" w:footer="0" w:header="0"/>
        </w:sectPr>
      </w:pPr>
    </w:p>
    <w:bookmarkStart w:id="86" w:name="page87"/>
    <w:bookmarkEnd w:id="86"/>
    <w:p>
      <w:pPr>
        <w:ind w:left="512"/>
        <w:spacing w:after="0"/>
        <w:rPr>
          <w:sz w:val="20"/>
          <w:szCs w:val="20"/>
          <w:color w:val="auto"/>
        </w:rPr>
      </w:pPr>
      <w:r>
        <w:rPr>
          <w:rFonts w:ascii="Times New Roman" w:cs="Times New Roman" w:eastAsia="Times New Roman" w:hAnsi="Times New Roman"/>
          <w:sz w:val="18"/>
          <w:szCs w:val="18"/>
          <w:color w:val="auto"/>
        </w:rPr>
        <w:t>the 1940 Act, the Company would be deemed to be an “Affiliated Person” of a portfolio company if the Company owns more</w:t>
      </w:r>
    </w:p>
    <w:p>
      <w:pPr>
        <w:spacing w:after="0" w:line="27" w:lineRule="exact"/>
        <w:rPr>
          <w:sz w:val="20"/>
          <w:szCs w:val="20"/>
          <w:color w:val="auto"/>
        </w:rPr>
      </w:pPr>
    </w:p>
    <w:p>
      <w:pPr>
        <w:ind w:left="512" w:right="440"/>
        <w:spacing w:after="0" w:line="250" w:lineRule="auto"/>
        <w:rPr>
          <w:sz w:val="20"/>
          <w:szCs w:val="20"/>
          <w:color w:val="auto"/>
        </w:rPr>
      </w:pPr>
      <w:r>
        <w:rPr>
          <w:rFonts w:ascii="Times New Roman" w:cs="Times New Roman" w:eastAsia="Times New Roman" w:hAnsi="Times New Roman"/>
          <w:sz w:val="18"/>
          <w:szCs w:val="18"/>
          <w:color w:val="auto"/>
        </w:rPr>
        <w:t>than 5% of the portfolio company's outstanding voting securities. As of December 31, 2023, the Company does not identify any of its portfolio companies as affiliates.</w:t>
      </w:r>
    </w:p>
    <w:p>
      <w:pPr>
        <w:spacing w:after="0" w:line="1" w:lineRule="exact"/>
        <w:rPr>
          <w:sz w:val="20"/>
          <w:szCs w:val="20"/>
          <w:color w:val="auto"/>
        </w:rPr>
      </w:pPr>
    </w:p>
    <w:p>
      <w:pPr>
        <w:ind w:left="512" w:hanging="512"/>
        <w:spacing w:after="0" w:line="250" w:lineRule="auto"/>
        <w:tabs>
          <w:tab w:leader="none" w:pos="51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and premiums, as applicable, on debt investments using the effective interest method.</w:t>
      </w:r>
    </w:p>
    <w:p>
      <w:pPr>
        <w:ind w:left="512" w:right="1500" w:hanging="512"/>
        <w:spacing w:after="0" w:line="250" w:lineRule="auto"/>
        <w:tabs>
          <w:tab w:leader="none" w:pos="51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contains a variable rate structure, subject to an interest rate floor. Variable rate investments bear interest at a rate that may be determined by reference to either Euro Interbank Offer Rate (“Euribor” or “E”), Term Secured Overnight Financing Rate (“SOFR”), which may also contain a credit spread adjustment depending on the tenor election, Sterling Overnight Interbank Average Rate (“SONIA” or “S”),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December 31, 2023.</w:t>
      </w:r>
    </w:p>
    <w:p>
      <w:pPr>
        <w:spacing w:after="0" w:line="2" w:lineRule="exact"/>
        <w:rPr>
          <w:rFonts w:ascii="Times New Roman" w:cs="Times New Roman" w:eastAsia="Times New Roman" w:hAnsi="Times New Roman"/>
          <w:sz w:val="18"/>
          <w:szCs w:val="18"/>
          <w:color w:val="auto"/>
        </w:rPr>
      </w:pPr>
    </w:p>
    <w:p>
      <w:pPr>
        <w:ind w:left="512" w:right="20" w:hanging="512"/>
        <w:spacing w:after="0" w:line="250" w:lineRule="auto"/>
        <w:tabs>
          <w:tab w:leader="none" w:pos="51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23.0% of total assets as of December 31, 2023.</w:t>
      </w:r>
    </w:p>
    <w:p>
      <w:pPr>
        <w:spacing w:after="0" w:line="1" w:lineRule="exact"/>
        <w:rPr>
          <w:rFonts w:ascii="Times New Roman" w:cs="Times New Roman" w:eastAsia="Times New Roman" w:hAnsi="Times New Roman"/>
          <w:sz w:val="18"/>
          <w:szCs w:val="18"/>
          <w:color w:val="auto"/>
        </w:rPr>
      </w:pPr>
    </w:p>
    <w:p>
      <w:pPr>
        <w:ind w:left="512" w:right="40" w:hanging="512"/>
        <w:spacing w:after="0" w:line="250" w:lineRule="auto"/>
        <w:tabs>
          <w:tab w:leader="none" w:pos="51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1" w:lineRule="exact"/>
        <w:rPr>
          <w:rFonts w:ascii="Times New Roman" w:cs="Times New Roman" w:eastAsia="Times New Roman" w:hAnsi="Times New Roman"/>
          <w:sz w:val="18"/>
          <w:szCs w:val="18"/>
          <w:color w:val="auto"/>
        </w:rPr>
      </w:pPr>
    </w:p>
    <w:p>
      <w:pPr>
        <w:ind w:left="512" w:right="2120" w:hanging="512"/>
        <w:spacing w:after="0" w:line="250" w:lineRule="auto"/>
        <w:tabs>
          <w:tab w:leader="none" w:pos="51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Financial Accounting Standards Board Accounting Standards Codification Topic 820, Fair Value Measurements (“ASC Topic 820”), unless otherwise indicated, the fair values of all investments were determined using significant unobservable inputs and are considered Level 3 investments. See Note 5 for further information related to investments at fair value.</w:t>
      </w:r>
    </w:p>
    <w:p>
      <w:pPr>
        <w:spacing w:after="0" w:line="1" w:lineRule="exact"/>
        <w:rPr>
          <w:rFonts w:ascii="Times New Roman" w:cs="Times New Roman" w:eastAsia="Times New Roman" w:hAnsi="Times New Roman"/>
          <w:sz w:val="18"/>
          <w:szCs w:val="18"/>
          <w:color w:val="auto"/>
        </w:rPr>
      </w:pPr>
    </w:p>
    <w:p>
      <w:pPr>
        <w:ind w:left="512" w:right="680" w:hanging="512"/>
        <w:spacing w:after="0" w:line="250" w:lineRule="auto"/>
        <w:tabs>
          <w:tab w:leader="none" w:pos="51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the estimated cost basis of investments for U.S. federal tax purposes was $3,047,224 resulting in estimated gross unrealized gains and losses of $69,618 and $23,923, respectfully.</w:t>
      </w:r>
    </w:p>
    <w:p>
      <w:pPr>
        <w:ind w:left="512" w:hanging="512"/>
        <w:spacing w:after="0"/>
        <w:tabs>
          <w:tab w:leader="none" w:pos="51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non-income producing.</w:t>
      </w:r>
    </w:p>
    <w:p>
      <w:pPr>
        <w:spacing w:after="0" w:line="9"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portfolio company investments are subject to contractual restrictions on sales.</w:t>
      </w:r>
    </w:p>
    <w:p>
      <w:pPr>
        <w:spacing w:after="0" w:line="9"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 portion of this security was acquired in a transaction exempt from registration under the Securities Act of 1933, as</w:t>
      </w:r>
    </w:p>
    <w:p>
      <w:pPr>
        <w:spacing w:after="0" w:line="9" w:lineRule="exact"/>
        <w:rPr>
          <w:rFonts w:ascii="Times New Roman" w:cs="Times New Roman" w:eastAsia="Times New Roman" w:hAnsi="Times New Roman"/>
          <w:sz w:val="18"/>
          <w:szCs w:val="18"/>
          <w:color w:val="auto"/>
        </w:rPr>
      </w:pPr>
    </w:p>
    <w:p>
      <w:pPr>
        <w:ind w:left="512" w:right="1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(the “Securities Act”), and may be deemed to be "restricted securities" under the Securities Act. As of December 31, 2023, the aggregate fair value of these securities is $54,845, or 3.0% of the Company's net assets.</w:t>
      </w:r>
    </w:p>
    <w:p>
      <w:pPr>
        <w:ind w:left="512" w:right="20" w:hanging="512"/>
        <w:spacing w:after="0" w:line="250" w:lineRule="auto"/>
        <w:tabs>
          <w:tab w:leader="none" w:pos="51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principal amount outstanding and accrued interest owed on this investment, the Company is entitled to a separate Make-Whole Amount (the “Make-Whole”) of $21.5 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spacing w:after="0" w:line="1" w:lineRule="exact"/>
        <w:rPr>
          <w:rFonts w:ascii="Times New Roman" w:cs="Times New Roman" w:eastAsia="Times New Roman" w:hAnsi="Times New Roman"/>
          <w:sz w:val="18"/>
          <w:szCs w:val="18"/>
          <w:color w:val="auto"/>
        </w:rPr>
      </w:pPr>
    </w:p>
    <w:p>
      <w:pPr>
        <w:ind w:left="512" w:right="100" w:hanging="512"/>
        <w:spacing w:after="0" w:line="260" w:lineRule="auto"/>
        <w:tabs>
          <w:tab w:leader="none" w:pos="51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valued using observable inputs and is considered a Level 2 investment. See Note 5 for further information related to investments at fair value.</w:t>
      </w:r>
    </w:p>
    <w:p>
      <w:pPr>
        <w:spacing w:after="0" w:line="19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985" w:right="339" w:bottom="1440" w:gutter="0" w:footer="0" w:header="0"/>
        </w:sectPr>
      </w:pPr>
    </w:p>
    <w:bookmarkStart w:id="87" w:name="page88"/>
    <w:bookmarkEnd w:id="87"/>
    <w:p>
      <w:pPr>
        <w:ind w:left="484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3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as of December 31, 2022</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Reference</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3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Company </w:t>
            </w:r>
            <w:r>
              <w:rPr>
                <w:rFonts w:ascii="Times New Roman" w:cs="Times New Roman" w:eastAsia="Times New Roman" w:hAnsi="Times New Roman"/>
                <w:sz w:val="16"/>
                <w:szCs w:val="16"/>
                <w:b w:val="1"/>
                <w:bCs w:val="1"/>
                <w:color w:val="auto"/>
                <w:vertAlign w:val="superscript"/>
              </w:rPr>
              <w:t>(1)(9)</w:t>
            </w:r>
          </w:p>
        </w:tc>
        <w:tc>
          <w:tcPr>
            <w:tcW w:w="1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20" w:type="dxa"/>
            <w:vAlign w:val="bottom"/>
          </w:tcPr>
          <w:p>
            <w:pPr>
              <w:spacing w:after="0"/>
              <w:rPr>
                <w:sz w:val="11"/>
                <w:szCs w:val="11"/>
                <w:color w:val="auto"/>
              </w:rPr>
            </w:pPr>
          </w:p>
        </w:tc>
        <w:tc>
          <w:tcPr>
            <w:tcW w:w="8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240" w:type="dxa"/>
            <w:vAlign w:val="bottom"/>
          </w:tcPr>
          <w:p>
            <w:pPr>
              <w:spacing w:after="0"/>
              <w:rPr>
                <w:sz w:val="11"/>
                <w:szCs w:val="11"/>
                <w:color w:val="auto"/>
              </w:rPr>
            </w:pPr>
          </w:p>
        </w:tc>
        <w:tc>
          <w:tcPr>
            <w:tcW w:w="960" w:type="dxa"/>
            <w:vAlign w:val="bottom"/>
            <w:gridSpan w:val="3"/>
          </w:tcPr>
          <w:p>
            <w:pPr>
              <w:jc w:val="right"/>
              <w:ind w:right="377"/>
              <w:spacing w:after="0" w:line="128"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680" w:type="dxa"/>
            <w:vAlign w:val="bottom"/>
          </w:tcPr>
          <w:p>
            <w:pPr>
              <w:jc w:val="right"/>
              <w:ind w:right="18"/>
              <w:spacing w:after="0" w:line="128" w:lineRule="exact"/>
              <w:rPr>
                <w:sz w:val="20"/>
                <w:szCs w:val="20"/>
                <w:color w:val="auto"/>
              </w:rPr>
            </w:pPr>
            <w:r>
              <w:rPr>
                <w:rFonts w:ascii="Times New Roman" w:cs="Times New Roman" w:eastAsia="Times New Roman" w:hAnsi="Times New Roman"/>
                <w:sz w:val="13"/>
                <w:szCs w:val="13"/>
                <w:b w:val="1"/>
                <w:bCs w:val="1"/>
                <w:color w:val="auto"/>
                <w:w w:val="97"/>
              </w:rPr>
              <w:t>Amortized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5"/>
              </w:rPr>
              <w:t xml:space="preserve">Fair Value </w:t>
            </w:r>
            <w:r>
              <w:rPr>
                <w:rFonts w:ascii="Times New Roman" w:cs="Times New Roman" w:eastAsia="Times New Roman" w:hAnsi="Times New Roman"/>
                <w:sz w:val="16"/>
                <w:szCs w:val="16"/>
                <w:b w:val="1"/>
                <w:bCs w:val="1"/>
                <w:color w:val="auto"/>
                <w:w w:val="95"/>
                <w:vertAlign w:val="superscript"/>
              </w:rPr>
              <w:t>(6)</w:t>
            </w:r>
          </w:p>
        </w:tc>
        <w:tc>
          <w:tcPr>
            <w:tcW w:w="220" w:type="dxa"/>
            <w:vAlign w:val="bottom"/>
          </w:tcPr>
          <w:p>
            <w:pPr>
              <w:spacing w:after="0"/>
              <w:rPr>
                <w:sz w:val="11"/>
                <w:szCs w:val="11"/>
                <w:color w:val="auto"/>
              </w:rPr>
            </w:pPr>
          </w:p>
        </w:tc>
        <w:tc>
          <w:tcPr>
            <w:tcW w:w="1040" w:type="dxa"/>
            <w:vAlign w:val="bottom"/>
            <w:gridSpan w:val="3"/>
          </w:tcPr>
          <w:p>
            <w:pPr>
              <w:jc w:val="center"/>
              <w:ind w:right="140"/>
              <w:spacing w:after="0" w:line="128" w:lineRule="exact"/>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76"/>
        </w:trPr>
        <w:tc>
          <w:tcPr>
            <w:tcW w:w="23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tcPr>
          <w:p>
            <w:pPr>
              <w:ind w:left="98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1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Spread</w:t>
            </w:r>
          </w:p>
        </w:tc>
        <w:tc>
          <w:tcPr>
            <w:tcW w:w="240" w:type="dxa"/>
            <w:vAlign w:val="bottom"/>
          </w:tcPr>
          <w:p>
            <w:pPr>
              <w:spacing w:after="0"/>
              <w:rPr>
                <w:sz w:val="15"/>
                <w:szCs w:val="15"/>
                <w:color w:val="auto"/>
              </w:rPr>
            </w:pPr>
          </w:p>
        </w:tc>
        <w:tc>
          <w:tcPr>
            <w:tcW w:w="960" w:type="dxa"/>
            <w:vAlign w:val="bottom"/>
            <w:gridSpan w:val="3"/>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Rate</w:t>
            </w:r>
          </w:p>
        </w:tc>
        <w:tc>
          <w:tcPr>
            <w:tcW w:w="680" w:type="dxa"/>
            <w:vAlign w:val="bottom"/>
          </w:tcPr>
          <w:p>
            <w:pPr>
              <w:jc w:val="right"/>
              <w:ind w:right="58"/>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Cost</w:t>
            </w:r>
            <w:r>
              <w:rPr>
                <w:rFonts w:ascii="Times New Roman" w:cs="Times New Roman" w:eastAsia="Times New Roman" w:hAnsi="Times New Roman"/>
                <w:sz w:val="8"/>
                <w:szCs w:val="8"/>
                <w:b w:val="1"/>
                <w:bCs w:val="1"/>
                <w:color w:val="auto"/>
              </w:rPr>
              <w:t xml:space="preserve"> (2) (7)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of Net Assets</w:t>
            </w:r>
          </w:p>
        </w:tc>
        <w:tc>
          <w:tcPr>
            <w:tcW w:w="0" w:type="dxa"/>
            <w:vAlign w:val="bottom"/>
          </w:tcPr>
          <w:p>
            <w:pPr>
              <w:spacing w:after="0"/>
              <w:rPr>
                <w:sz w:val="1"/>
                <w:szCs w:val="1"/>
                <w:color w:val="auto"/>
              </w:rPr>
            </w:pPr>
          </w:p>
        </w:tc>
      </w:tr>
      <w:tr>
        <w:trPr>
          <w:trHeight w:val="155"/>
        </w:trPr>
        <w:tc>
          <w:tcPr>
            <w:tcW w:w="23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Debt Investments</w:t>
            </w:r>
          </w:p>
        </w:tc>
        <w:tc>
          <w:tcPr>
            <w:tcW w:w="120" w:type="dxa"/>
            <w:vAlign w:val="bottom"/>
            <w:shd w:val="clear" w:color="auto" w:fill="CFF0FC"/>
          </w:tcPr>
          <w:p>
            <w:pPr>
              <w:spacing w:after="0"/>
              <w:rPr>
                <w:sz w:val="13"/>
                <w:szCs w:val="13"/>
                <w:color w:val="auto"/>
              </w:rPr>
            </w:pPr>
          </w:p>
        </w:tc>
        <w:tc>
          <w:tcPr>
            <w:tcW w:w="258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Business Services</w:t>
            </w:r>
          </w:p>
        </w:tc>
        <w:tc>
          <w:tcPr>
            <w:tcW w:w="1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 xml:space="preserve">Hornetsecurity Holding GmbH </w:t>
            </w:r>
            <w:r>
              <w:rPr>
                <w:rFonts w:ascii="Times New Roman" w:cs="Times New Roman" w:eastAsia="Times New Roman" w:hAnsi="Times New Roman"/>
                <w:sz w:val="16"/>
                <w:szCs w:val="16"/>
                <w:color w:val="auto"/>
                <w:vertAlign w:val="superscript"/>
              </w:rPr>
              <w:t>(3)(4)</w:t>
            </w:r>
          </w:p>
        </w:tc>
        <w:tc>
          <w:tcPr>
            <w:tcW w:w="120" w:type="dxa"/>
            <w:vAlign w:val="bottom"/>
            <w:shd w:val="clear" w:color="auto" w:fill="CFF0FC"/>
          </w:tcPr>
          <w:p>
            <w:pPr>
              <w:spacing w:after="0"/>
              <w:rPr>
                <w:sz w:val="19"/>
                <w:szCs w:val="19"/>
                <w:color w:val="auto"/>
              </w:rPr>
            </w:pPr>
          </w:p>
        </w:tc>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First-lien loan (EUR 3,362 par, due 11/2029)</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11/14/2022</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 + 6.50%</w:t>
            </w:r>
          </w:p>
        </w:tc>
        <w:tc>
          <w:tcPr>
            <w:tcW w:w="12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8.26 %  $</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3,139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3,213</w:t>
            </w:r>
          </w:p>
        </w:tc>
        <w:tc>
          <w:tcPr>
            <w:tcW w:w="1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38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258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80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80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66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880" w:type="dxa"/>
            <w:vAlign w:val="bottom"/>
            <w:vMerge w:val="continue"/>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90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3,011)</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380" w:type="dxa"/>
            <w:vAlign w:val="bottom"/>
          </w:tcPr>
          <w:p>
            <w:pPr>
              <w:ind w:left="20"/>
              <w:spacing w:after="0" w:line="131" w:lineRule="exact"/>
              <w:rPr>
                <w:sz w:val="20"/>
                <w:szCs w:val="20"/>
                <w:color w:val="auto"/>
              </w:rPr>
            </w:pPr>
            <w:r>
              <w:rPr>
                <w:rFonts w:ascii="Times New Roman" w:cs="Times New Roman" w:eastAsia="Times New Roman" w:hAnsi="Times New Roman"/>
                <w:sz w:val="12"/>
                <w:szCs w:val="12"/>
                <w:color w:val="auto"/>
              </w:rPr>
              <w:t>OutSystems Luxco SARL</w:t>
            </w:r>
            <w:r>
              <w:rPr>
                <w:rFonts w:ascii="Times New Roman" w:cs="Times New Roman" w:eastAsia="Times New Roman" w:hAnsi="Times New Roman"/>
                <w:sz w:val="15"/>
                <w:szCs w:val="15"/>
                <w:color w:val="auto"/>
                <w:vertAlign w:val="superscript"/>
              </w:rPr>
              <w:t>(3)(4)(5)</w:t>
            </w:r>
          </w:p>
        </w:tc>
        <w:tc>
          <w:tcPr>
            <w:tcW w:w="120" w:type="dxa"/>
            <w:vAlign w:val="bottom"/>
          </w:tcPr>
          <w:p>
            <w:pPr>
              <w:spacing w:after="0"/>
              <w:rPr>
                <w:sz w:val="11"/>
                <w:szCs w:val="11"/>
                <w:color w:val="auto"/>
              </w:rPr>
            </w:pPr>
          </w:p>
        </w:tc>
        <w:tc>
          <w:tcPr>
            <w:tcW w:w="258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First-lien loan (EUR 3,206 par, due 12/2028)</w:t>
            </w:r>
          </w:p>
        </w:tc>
        <w:tc>
          <w:tcPr>
            <w:tcW w:w="92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12/8/2022</w:t>
            </w:r>
          </w:p>
        </w:tc>
        <w:tc>
          <w:tcPr>
            <w:tcW w:w="120" w:type="dxa"/>
            <w:vAlign w:val="bottom"/>
          </w:tcPr>
          <w:p>
            <w:pPr>
              <w:spacing w:after="0"/>
              <w:rPr>
                <w:sz w:val="11"/>
                <w:szCs w:val="11"/>
                <w:color w:val="auto"/>
              </w:rPr>
            </w:pPr>
          </w:p>
        </w:tc>
        <w:tc>
          <w:tcPr>
            <w:tcW w:w="80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E + 5.75%</w:t>
            </w:r>
          </w:p>
        </w:tc>
        <w:tc>
          <w:tcPr>
            <w:tcW w:w="1120" w:type="dxa"/>
            <w:vAlign w:val="bottom"/>
            <w:gridSpan w:val="3"/>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7.74 %</w:t>
            </w:r>
          </w:p>
        </w:tc>
        <w:tc>
          <w:tcPr>
            <w:tcW w:w="80" w:type="dxa"/>
            <w:vAlign w:val="bottom"/>
          </w:tcPr>
          <w:p>
            <w:pPr>
              <w:spacing w:after="0"/>
              <w:rPr>
                <w:sz w:val="11"/>
                <w:szCs w:val="11"/>
                <w:color w:val="auto"/>
              </w:rPr>
            </w:pPr>
          </w:p>
        </w:tc>
        <w:tc>
          <w:tcPr>
            <w:tcW w:w="68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3,060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3,112</w:t>
            </w:r>
          </w:p>
        </w:tc>
        <w:tc>
          <w:tcPr>
            <w:tcW w:w="122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3"/>
                <w:szCs w:val="13"/>
                <w:color w:val="auto"/>
              </w:rPr>
              <w:t>0.6 %</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(EUR 2,916)</w:t>
            </w:r>
          </w:p>
        </w:tc>
        <w:tc>
          <w:tcPr>
            <w:tcW w:w="2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6,199</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6,325</w:t>
            </w:r>
          </w:p>
        </w:tc>
        <w:tc>
          <w:tcPr>
            <w:tcW w:w="1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3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Chemicals</w:t>
            </w:r>
          </w:p>
        </w:tc>
        <w:tc>
          <w:tcPr>
            <w:tcW w:w="120" w:type="dxa"/>
            <w:vAlign w:val="bottom"/>
            <w:tcBorders>
              <w:top w:val="single" w:sz="8" w:color="CFF0FC"/>
            </w:tcBorders>
          </w:tcPr>
          <w:p>
            <w:pPr>
              <w:spacing w:after="0"/>
              <w:rPr>
                <w:sz w:val="13"/>
                <w:szCs w:val="13"/>
                <w:color w:val="auto"/>
              </w:rPr>
            </w:pPr>
          </w:p>
        </w:tc>
        <w:tc>
          <w:tcPr>
            <w:tcW w:w="258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80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800" w:type="dxa"/>
            <w:vAlign w:val="bottom"/>
            <w:tcBorders>
              <w:top w:val="single" w:sz="8" w:color="CFF0FC"/>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660" w:type="dxa"/>
            <w:vAlign w:val="bottom"/>
            <w:tcBorders>
              <w:top w:val="single" w:sz="8" w:color="CFF0FC"/>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38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2"/>
                <w:szCs w:val="12"/>
                <w:color w:val="auto"/>
              </w:rPr>
              <w:t xml:space="preserve">Erling Lux Bidco SARL </w:t>
            </w:r>
            <w:r>
              <w:rPr>
                <w:rFonts w:ascii="Times New Roman" w:cs="Times New Roman" w:eastAsia="Times New Roman" w:hAnsi="Times New Roman"/>
                <w:sz w:val="15"/>
                <w:szCs w:val="15"/>
                <w:color w:val="auto"/>
                <w:vertAlign w:val="superscript"/>
              </w:rPr>
              <w:t>(3)(4)</w:t>
            </w:r>
          </w:p>
        </w:tc>
        <w:tc>
          <w:tcPr>
            <w:tcW w:w="120" w:type="dxa"/>
            <w:vAlign w:val="bottom"/>
            <w:shd w:val="clear" w:color="auto" w:fill="CFF0FC"/>
          </w:tcPr>
          <w:p>
            <w:pPr>
              <w:spacing w:after="0"/>
              <w:rPr>
                <w:sz w:val="11"/>
                <w:szCs w:val="11"/>
                <w:color w:val="auto"/>
              </w:rPr>
            </w:pPr>
          </w:p>
        </w:tc>
        <w:tc>
          <w:tcPr>
            <w:tcW w:w="258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First-lien loan (EUR 7,726 par, due 9/2028)</w:t>
            </w:r>
          </w:p>
        </w:tc>
        <w:tc>
          <w:tcPr>
            <w:tcW w:w="920" w:type="dxa"/>
            <w:vAlign w:val="bottom"/>
            <w:gridSpan w:val="2"/>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9/6/2022</w:t>
            </w: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E + 6.75%</w:t>
            </w:r>
          </w:p>
        </w:tc>
        <w:tc>
          <w:tcPr>
            <w:tcW w:w="1120" w:type="dxa"/>
            <w:vAlign w:val="bottom"/>
            <w:gridSpan w:val="3"/>
            <w:shd w:val="clear" w:color="auto" w:fill="CFF0FC"/>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8.73 %</w:t>
            </w: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6,907</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7,326</w:t>
            </w:r>
          </w:p>
        </w:tc>
        <w:tc>
          <w:tcPr>
            <w:tcW w:w="1220" w:type="dxa"/>
            <w:vAlign w:val="bottom"/>
            <w:gridSpan w:val="3"/>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1.3 %</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6,864)</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8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First-lien loan (GBP 12,291 par, due 9/2028)</w:t>
            </w:r>
          </w:p>
        </w:tc>
        <w:tc>
          <w:tcPr>
            <w:tcW w:w="92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9/6/2022</w:t>
            </w:r>
          </w:p>
        </w:tc>
        <w:tc>
          <w:tcPr>
            <w:tcW w:w="120" w:type="dxa"/>
            <w:vAlign w:val="bottom"/>
          </w:tcPr>
          <w:p>
            <w:pPr>
              <w:spacing w:after="0"/>
              <w:rPr>
                <w:sz w:val="11"/>
                <w:szCs w:val="11"/>
                <w:color w:val="auto"/>
              </w:rPr>
            </w:pPr>
          </w:p>
        </w:tc>
        <w:tc>
          <w:tcPr>
            <w:tcW w:w="80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S + 6.75%</w:t>
            </w:r>
          </w:p>
        </w:tc>
        <w:tc>
          <w:tcPr>
            <w:tcW w:w="1120" w:type="dxa"/>
            <w:vAlign w:val="bottom"/>
            <w:gridSpan w:val="3"/>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10.20 %</w:t>
            </w:r>
          </w:p>
        </w:tc>
        <w:tc>
          <w:tcPr>
            <w:tcW w:w="80" w:type="dxa"/>
            <w:vAlign w:val="bottom"/>
          </w:tcPr>
          <w:p>
            <w:pPr>
              <w:spacing w:after="0"/>
              <w:rPr>
                <w:sz w:val="11"/>
                <w:szCs w:val="11"/>
                <w:color w:val="auto"/>
              </w:rPr>
            </w:pPr>
          </w:p>
        </w:tc>
        <w:tc>
          <w:tcPr>
            <w:tcW w:w="68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11,245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11,922</w:t>
            </w:r>
          </w:p>
        </w:tc>
        <w:tc>
          <w:tcPr>
            <w:tcW w:w="122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3"/>
                <w:szCs w:val="13"/>
                <w:color w:val="auto"/>
              </w:rPr>
              <w:t>2.1 %</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(GBP 9,911)</w:t>
            </w:r>
          </w:p>
        </w:tc>
        <w:tc>
          <w:tcPr>
            <w:tcW w:w="2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18,152</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19,248</w:t>
            </w:r>
          </w:p>
        </w:tc>
        <w:tc>
          <w:tcPr>
            <w:tcW w:w="1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3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Financial Services</w:t>
            </w:r>
          </w:p>
        </w:tc>
        <w:tc>
          <w:tcPr>
            <w:tcW w:w="120" w:type="dxa"/>
            <w:vAlign w:val="bottom"/>
            <w:tcBorders>
              <w:top w:val="single" w:sz="8" w:color="CFF0FC"/>
            </w:tcBorders>
          </w:tcPr>
          <w:p>
            <w:pPr>
              <w:spacing w:after="0"/>
              <w:rPr>
                <w:sz w:val="13"/>
                <w:szCs w:val="13"/>
                <w:color w:val="auto"/>
              </w:rPr>
            </w:pPr>
          </w:p>
        </w:tc>
        <w:tc>
          <w:tcPr>
            <w:tcW w:w="258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80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800" w:type="dxa"/>
            <w:vAlign w:val="bottom"/>
            <w:tcBorders>
              <w:top w:val="single" w:sz="8" w:color="CFF0FC"/>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660" w:type="dxa"/>
            <w:vAlign w:val="bottom"/>
            <w:tcBorders>
              <w:top w:val="single" w:sz="8" w:color="CFF0FC"/>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38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2"/>
                <w:szCs w:val="12"/>
                <w:color w:val="auto"/>
              </w:rPr>
              <w:t xml:space="preserve">BTRS Holdings, Inc. </w:t>
            </w:r>
            <w:r>
              <w:rPr>
                <w:rFonts w:ascii="Times New Roman" w:cs="Times New Roman" w:eastAsia="Times New Roman" w:hAnsi="Times New Roman"/>
                <w:sz w:val="15"/>
                <w:szCs w:val="15"/>
                <w:color w:val="auto"/>
                <w:vertAlign w:val="superscript"/>
              </w:rPr>
              <w:t>(3)</w:t>
            </w:r>
          </w:p>
        </w:tc>
        <w:tc>
          <w:tcPr>
            <w:tcW w:w="120" w:type="dxa"/>
            <w:vAlign w:val="bottom"/>
            <w:shd w:val="clear" w:color="auto" w:fill="CFF0FC"/>
          </w:tcPr>
          <w:p>
            <w:pPr>
              <w:spacing w:after="0"/>
              <w:rPr>
                <w:sz w:val="11"/>
                <w:szCs w:val="11"/>
                <w:color w:val="auto"/>
              </w:rPr>
            </w:pPr>
          </w:p>
        </w:tc>
        <w:tc>
          <w:tcPr>
            <w:tcW w:w="258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First-lien loan ($135,540 par, due 12/2028)</w:t>
            </w:r>
          </w:p>
        </w:tc>
        <w:tc>
          <w:tcPr>
            <w:tcW w:w="920" w:type="dxa"/>
            <w:vAlign w:val="bottom"/>
            <w:gridSpan w:val="2"/>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12/16/2022</w:t>
            </w: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SOFR +</w:t>
            </w:r>
          </w:p>
        </w:tc>
        <w:tc>
          <w:tcPr>
            <w:tcW w:w="1120" w:type="dxa"/>
            <w:vAlign w:val="bottom"/>
            <w:gridSpan w:val="3"/>
            <w:shd w:val="clear" w:color="auto" w:fill="CFF0FC"/>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12.50 %</w:t>
            </w: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131,066</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130,290</w:t>
            </w:r>
          </w:p>
        </w:tc>
        <w:tc>
          <w:tcPr>
            <w:tcW w:w="1220" w:type="dxa"/>
            <w:vAlign w:val="bottom"/>
            <w:gridSpan w:val="3"/>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23.8 %</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380" w:type="dxa"/>
            <w:vAlign w:val="bottom"/>
          </w:tcPr>
          <w:p>
            <w:pPr>
              <w:ind w:left="20"/>
              <w:spacing w:after="0" w:line="131" w:lineRule="exact"/>
              <w:rPr>
                <w:sz w:val="20"/>
                <w:szCs w:val="20"/>
                <w:color w:val="auto"/>
              </w:rPr>
            </w:pPr>
            <w:r>
              <w:rPr>
                <w:rFonts w:ascii="Times New Roman" w:cs="Times New Roman" w:eastAsia="Times New Roman" w:hAnsi="Times New Roman"/>
                <w:sz w:val="12"/>
                <w:szCs w:val="12"/>
                <w:color w:val="auto"/>
              </w:rPr>
              <w:t xml:space="preserve">Ping Identity Holding Corp. </w:t>
            </w:r>
            <w:r>
              <w:rPr>
                <w:rFonts w:ascii="Times New Roman" w:cs="Times New Roman" w:eastAsia="Times New Roman" w:hAnsi="Times New Roman"/>
                <w:sz w:val="15"/>
                <w:szCs w:val="15"/>
                <w:color w:val="auto"/>
                <w:vertAlign w:val="superscript"/>
              </w:rPr>
              <w:t>(3)</w:t>
            </w:r>
          </w:p>
        </w:tc>
        <w:tc>
          <w:tcPr>
            <w:tcW w:w="120" w:type="dxa"/>
            <w:vAlign w:val="bottom"/>
          </w:tcPr>
          <w:p>
            <w:pPr>
              <w:spacing w:after="0"/>
              <w:rPr>
                <w:sz w:val="11"/>
                <w:szCs w:val="11"/>
                <w:color w:val="auto"/>
              </w:rPr>
            </w:pPr>
          </w:p>
        </w:tc>
        <w:tc>
          <w:tcPr>
            <w:tcW w:w="258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First-lien loan ($136,364 par, due 10/2029)</w:t>
            </w:r>
          </w:p>
        </w:tc>
        <w:tc>
          <w:tcPr>
            <w:tcW w:w="92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10/17/2022</w:t>
            </w:r>
          </w:p>
        </w:tc>
        <w:tc>
          <w:tcPr>
            <w:tcW w:w="120" w:type="dxa"/>
            <w:vAlign w:val="bottom"/>
          </w:tcPr>
          <w:p>
            <w:pPr>
              <w:spacing w:after="0"/>
              <w:rPr>
                <w:sz w:val="11"/>
                <w:szCs w:val="11"/>
                <w:color w:val="auto"/>
              </w:rPr>
            </w:pPr>
          </w:p>
        </w:tc>
        <w:tc>
          <w:tcPr>
            <w:tcW w:w="80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SOFR +</w:t>
            </w:r>
          </w:p>
        </w:tc>
        <w:tc>
          <w:tcPr>
            <w:tcW w:w="1120" w:type="dxa"/>
            <w:vAlign w:val="bottom"/>
            <w:gridSpan w:val="3"/>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11.32 %</w:t>
            </w:r>
          </w:p>
        </w:tc>
        <w:tc>
          <w:tcPr>
            <w:tcW w:w="80" w:type="dxa"/>
            <w:vAlign w:val="bottom"/>
          </w:tcPr>
          <w:p>
            <w:pPr>
              <w:spacing w:after="0"/>
              <w:rPr>
                <w:sz w:val="11"/>
                <w:szCs w:val="11"/>
                <w:color w:val="auto"/>
              </w:rPr>
            </w:pPr>
          </w:p>
        </w:tc>
        <w:tc>
          <w:tcPr>
            <w:tcW w:w="68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132,727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131,864</w:t>
            </w:r>
          </w:p>
        </w:tc>
        <w:tc>
          <w:tcPr>
            <w:tcW w:w="122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3"/>
                <w:szCs w:val="13"/>
                <w:color w:val="auto"/>
              </w:rPr>
              <w:t>24.1 %</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7.00%</w:t>
            </w: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263,793</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262,154</w:t>
            </w:r>
          </w:p>
        </w:tc>
        <w:tc>
          <w:tcPr>
            <w:tcW w:w="1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47.9 %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Human Resource Support Services</w:t>
            </w:r>
          </w:p>
        </w:tc>
        <w:tc>
          <w:tcPr>
            <w:tcW w:w="120" w:type="dxa"/>
            <w:vAlign w:val="bottom"/>
            <w:tcBorders>
              <w:top w:val="single" w:sz="8" w:color="CFF0FC"/>
            </w:tcBorders>
          </w:tcPr>
          <w:p>
            <w:pPr>
              <w:spacing w:after="0"/>
              <w:rPr>
                <w:sz w:val="13"/>
                <w:szCs w:val="13"/>
                <w:color w:val="auto"/>
              </w:rPr>
            </w:pPr>
          </w:p>
        </w:tc>
        <w:tc>
          <w:tcPr>
            <w:tcW w:w="258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80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800" w:type="dxa"/>
            <w:vAlign w:val="bottom"/>
            <w:tcBorders>
              <w:top w:val="single" w:sz="8" w:color="CFF0FC"/>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660" w:type="dxa"/>
            <w:vAlign w:val="bottom"/>
            <w:tcBorders>
              <w:top w:val="single" w:sz="8" w:color="CFF0FC"/>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38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2"/>
                <w:szCs w:val="12"/>
                <w:color w:val="auto"/>
              </w:rPr>
              <w:t xml:space="preserve">bswift, LLC </w:t>
            </w:r>
            <w:r>
              <w:rPr>
                <w:rFonts w:ascii="Times New Roman" w:cs="Times New Roman" w:eastAsia="Times New Roman" w:hAnsi="Times New Roman"/>
                <w:sz w:val="15"/>
                <w:szCs w:val="15"/>
                <w:color w:val="auto"/>
                <w:vertAlign w:val="superscript"/>
              </w:rPr>
              <w:t>(3)(5)</w:t>
            </w:r>
          </w:p>
        </w:tc>
        <w:tc>
          <w:tcPr>
            <w:tcW w:w="120" w:type="dxa"/>
            <w:vAlign w:val="bottom"/>
            <w:shd w:val="clear" w:color="auto" w:fill="CFF0FC"/>
          </w:tcPr>
          <w:p>
            <w:pPr>
              <w:spacing w:after="0"/>
              <w:rPr>
                <w:sz w:val="11"/>
                <w:szCs w:val="11"/>
                <w:color w:val="auto"/>
              </w:rPr>
            </w:pPr>
          </w:p>
        </w:tc>
        <w:tc>
          <w:tcPr>
            <w:tcW w:w="258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First-lien loan ($142,394 par, due 11/2028)</w:t>
            </w:r>
          </w:p>
        </w:tc>
        <w:tc>
          <w:tcPr>
            <w:tcW w:w="920" w:type="dxa"/>
            <w:vAlign w:val="bottom"/>
            <w:gridSpan w:val="2"/>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11/7/2022</w:t>
            </w: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SOFR +</w:t>
            </w:r>
          </w:p>
        </w:tc>
        <w:tc>
          <w:tcPr>
            <w:tcW w:w="1120" w:type="dxa"/>
            <w:vAlign w:val="bottom"/>
            <w:gridSpan w:val="3"/>
            <w:shd w:val="clear" w:color="auto" w:fill="CFF0FC"/>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10.81 %</w:t>
            </w: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138,019</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138,477</w:t>
            </w:r>
          </w:p>
        </w:tc>
        <w:tc>
          <w:tcPr>
            <w:tcW w:w="1220" w:type="dxa"/>
            <w:vAlign w:val="bottom"/>
            <w:gridSpan w:val="3"/>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25.3 %</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6.63%</w:t>
            </w: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Internet Services</w:t>
            </w:r>
          </w:p>
        </w:tc>
        <w:tc>
          <w:tcPr>
            <w:tcW w:w="120" w:type="dxa"/>
            <w:vAlign w:val="bottom"/>
            <w:shd w:val="clear" w:color="auto" w:fill="CFF0FC"/>
          </w:tcPr>
          <w:p>
            <w:pPr>
              <w:spacing w:after="0"/>
              <w:rPr>
                <w:sz w:val="14"/>
                <w:szCs w:val="14"/>
                <w:color w:val="auto"/>
              </w:rPr>
            </w:pPr>
          </w:p>
        </w:tc>
        <w:tc>
          <w:tcPr>
            <w:tcW w:w="2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380" w:type="dxa"/>
            <w:vAlign w:val="bottom"/>
          </w:tcPr>
          <w:p>
            <w:pPr>
              <w:ind w:left="20"/>
              <w:spacing w:after="0" w:line="131" w:lineRule="exact"/>
              <w:rPr>
                <w:sz w:val="20"/>
                <w:szCs w:val="20"/>
                <w:color w:val="auto"/>
              </w:rPr>
            </w:pPr>
            <w:r>
              <w:rPr>
                <w:rFonts w:ascii="Times New Roman" w:cs="Times New Roman" w:eastAsia="Times New Roman" w:hAnsi="Times New Roman"/>
                <w:sz w:val="12"/>
                <w:szCs w:val="12"/>
                <w:color w:val="auto"/>
              </w:rPr>
              <w:t xml:space="preserve">SMA Technologies Holdings, LLC </w:t>
            </w:r>
            <w:r>
              <w:rPr>
                <w:rFonts w:ascii="Times New Roman" w:cs="Times New Roman" w:eastAsia="Times New Roman" w:hAnsi="Times New Roman"/>
                <w:sz w:val="15"/>
                <w:szCs w:val="15"/>
                <w:color w:val="auto"/>
                <w:vertAlign w:val="superscript"/>
              </w:rPr>
              <w:t>(3)(5)</w:t>
            </w:r>
          </w:p>
        </w:tc>
        <w:tc>
          <w:tcPr>
            <w:tcW w:w="120" w:type="dxa"/>
            <w:vAlign w:val="bottom"/>
          </w:tcPr>
          <w:p>
            <w:pPr>
              <w:spacing w:after="0"/>
              <w:rPr>
                <w:sz w:val="11"/>
                <w:szCs w:val="11"/>
                <w:color w:val="auto"/>
              </w:rPr>
            </w:pPr>
          </w:p>
        </w:tc>
        <w:tc>
          <w:tcPr>
            <w:tcW w:w="258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First-lien loan ($5,667 par, due 10/2028)</w:t>
            </w:r>
          </w:p>
        </w:tc>
        <w:tc>
          <w:tcPr>
            <w:tcW w:w="92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10/31/2022</w:t>
            </w:r>
          </w:p>
        </w:tc>
        <w:tc>
          <w:tcPr>
            <w:tcW w:w="120" w:type="dxa"/>
            <w:vAlign w:val="bottom"/>
          </w:tcPr>
          <w:p>
            <w:pPr>
              <w:spacing w:after="0"/>
              <w:rPr>
                <w:sz w:val="11"/>
                <w:szCs w:val="11"/>
                <w:color w:val="auto"/>
              </w:rPr>
            </w:pPr>
          </w:p>
        </w:tc>
        <w:tc>
          <w:tcPr>
            <w:tcW w:w="80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SOFR +</w:t>
            </w:r>
          </w:p>
        </w:tc>
        <w:tc>
          <w:tcPr>
            <w:tcW w:w="1120" w:type="dxa"/>
            <w:vAlign w:val="bottom"/>
            <w:gridSpan w:val="3"/>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11.07 %</w:t>
            </w:r>
          </w:p>
        </w:tc>
        <w:tc>
          <w:tcPr>
            <w:tcW w:w="80" w:type="dxa"/>
            <w:vAlign w:val="bottom"/>
          </w:tcPr>
          <w:p>
            <w:pPr>
              <w:spacing w:after="0"/>
              <w:rPr>
                <w:sz w:val="11"/>
                <w:szCs w:val="11"/>
                <w:color w:val="auto"/>
              </w:rPr>
            </w:pPr>
          </w:p>
        </w:tc>
        <w:tc>
          <w:tcPr>
            <w:tcW w:w="68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5,424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5,426</w:t>
            </w:r>
          </w:p>
        </w:tc>
        <w:tc>
          <w:tcPr>
            <w:tcW w:w="122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3"/>
                <w:szCs w:val="13"/>
                <w:color w:val="auto"/>
              </w:rPr>
              <w:t>1.0 %</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6.75%</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Manufacturing</w:t>
            </w:r>
          </w:p>
        </w:tc>
        <w:tc>
          <w:tcPr>
            <w:tcW w:w="1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38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2"/>
                <w:szCs w:val="12"/>
                <w:color w:val="auto"/>
              </w:rPr>
              <w:t xml:space="preserve">Avalara, Inc. </w:t>
            </w:r>
            <w:r>
              <w:rPr>
                <w:rFonts w:ascii="Times New Roman" w:cs="Times New Roman" w:eastAsia="Times New Roman" w:hAnsi="Times New Roman"/>
                <w:sz w:val="15"/>
                <w:szCs w:val="15"/>
                <w:color w:val="auto"/>
                <w:vertAlign w:val="superscript"/>
              </w:rPr>
              <w:t>(3)</w:t>
            </w:r>
          </w:p>
        </w:tc>
        <w:tc>
          <w:tcPr>
            <w:tcW w:w="120" w:type="dxa"/>
            <w:vAlign w:val="bottom"/>
            <w:shd w:val="clear" w:color="auto" w:fill="CFF0FC"/>
          </w:tcPr>
          <w:p>
            <w:pPr>
              <w:spacing w:after="0"/>
              <w:rPr>
                <w:sz w:val="11"/>
                <w:szCs w:val="11"/>
                <w:color w:val="auto"/>
              </w:rPr>
            </w:pPr>
          </w:p>
        </w:tc>
        <w:tc>
          <w:tcPr>
            <w:tcW w:w="258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First-lien loan ($136,364 par, due 10/2028)</w:t>
            </w:r>
          </w:p>
        </w:tc>
        <w:tc>
          <w:tcPr>
            <w:tcW w:w="920" w:type="dxa"/>
            <w:vAlign w:val="bottom"/>
            <w:gridSpan w:val="2"/>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10/19/2022</w:t>
            </w: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SOFR +</w:t>
            </w:r>
          </w:p>
        </w:tc>
        <w:tc>
          <w:tcPr>
            <w:tcW w:w="1120" w:type="dxa"/>
            <w:vAlign w:val="bottom"/>
            <w:gridSpan w:val="3"/>
            <w:shd w:val="clear" w:color="auto" w:fill="CFF0FC"/>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11.83 %</w:t>
            </w: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132,740</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131,489</w:t>
            </w:r>
          </w:p>
        </w:tc>
        <w:tc>
          <w:tcPr>
            <w:tcW w:w="1220" w:type="dxa"/>
            <w:vAlign w:val="bottom"/>
            <w:gridSpan w:val="3"/>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24.1 %</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7.25%</w:t>
            </w: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Retail and Consumer Products</w:t>
            </w:r>
          </w:p>
        </w:tc>
        <w:tc>
          <w:tcPr>
            <w:tcW w:w="120" w:type="dxa"/>
            <w:vAlign w:val="bottom"/>
            <w:shd w:val="clear" w:color="auto" w:fill="CFF0FC"/>
          </w:tcPr>
          <w:p>
            <w:pPr>
              <w:spacing w:after="0"/>
              <w:rPr>
                <w:sz w:val="14"/>
                <w:szCs w:val="14"/>
                <w:color w:val="auto"/>
              </w:rPr>
            </w:pPr>
          </w:p>
        </w:tc>
        <w:tc>
          <w:tcPr>
            <w:tcW w:w="2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380" w:type="dxa"/>
            <w:vAlign w:val="bottom"/>
          </w:tcPr>
          <w:p>
            <w:pPr>
              <w:ind w:left="20"/>
              <w:spacing w:after="0" w:line="131" w:lineRule="exact"/>
              <w:rPr>
                <w:sz w:val="20"/>
                <w:szCs w:val="20"/>
                <w:color w:val="auto"/>
              </w:rPr>
            </w:pPr>
            <w:r>
              <w:rPr>
                <w:rFonts w:ascii="Times New Roman" w:cs="Times New Roman" w:eastAsia="Times New Roman" w:hAnsi="Times New Roman"/>
                <w:sz w:val="12"/>
                <w:szCs w:val="12"/>
                <w:color w:val="auto"/>
              </w:rPr>
              <w:t xml:space="preserve">Bed Bath and Beyond Inc. </w:t>
            </w:r>
            <w:r>
              <w:rPr>
                <w:rFonts w:ascii="Times New Roman" w:cs="Times New Roman" w:eastAsia="Times New Roman" w:hAnsi="Times New Roman"/>
                <w:sz w:val="15"/>
                <w:szCs w:val="15"/>
                <w:color w:val="auto"/>
                <w:vertAlign w:val="superscript"/>
              </w:rPr>
              <w:t>(3)</w:t>
            </w:r>
          </w:p>
        </w:tc>
        <w:tc>
          <w:tcPr>
            <w:tcW w:w="120" w:type="dxa"/>
            <w:vAlign w:val="bottom"/>
          </w:tcPr>
          <w:p>
            <w:pPr>
              <w:spacing w:after="0"/>
              <w:rPr>
                <w:sz w:val="11"/>
                <w:szCs w:val="11"/>
                <w:color w:val="auto"/>
              </w:rPr>
            </w:pPr>
          </w:p>
        </w:tc>
        <w:tc>
          <w:tcPr>
            <w:tcW w:w="258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w w:val="99"/>
              </w:rPr>
              <w:t>ABL FILO term loan ($100,000 par, due 8/2027)</w:t>
            </w:r>
          </w:p>
        </w:tc>
        <w:tc>
          <w:tcPr>
            <w:tcW w:w="92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9/2/2022</w:t>
            </w:r>
          </w:p>
        </w:tc>
        <w:tc>
          <w:tcPr>
            <w:tcW w:w="120" w:type="dxa"/>
            <w:vAlign w:val="bottom"/>
          </w:tcPr>
          <w:p>
            <w:pPr>
              <w:spacing w:after="0"/>
              <w:rPr>
                <w:sz w:val="11"/>
                <w:szCs w:val="11"/>
                <w:color w:val="auto"/>
              </w:rPr>
            </w:pPr>
          </w:p>
        </w:tc>
        <w:tc>
          <w:tcPr>
            <w:tcW w:w="80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SOFR +</w:t>
            </w:r>
          </w:p>
        </w:tc>
        <w:tc>
          <w:tcPr>
            <w:tcW w:w="1120" w:type="dxa"/>
            <w:vAlign w:val="bottom"/>
            <w:gridSpan w:val="3"/>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12.30 %</w:t>
            </w:r>
          </w:p>
        </w:tc>
        <w:tc>
          <w:tcPr>
            <w:tcW w:w="80" w:type="dxa"/>
            <w:vAlign w:val="bottom"/>
          </w:tcPr>
          <w:p>
            <w:pPr>
              <w:spacing w:after="0"/>
              <w:rPr>
                <w:sz w:val="11"/>
                <w:szCs w:val="11"/>
                <w:color w:val="auto"/>
              </w:rPr>
            </w:pPr>
          </w:p>
        </w:tc>
        <w:tc>
          <w:tcPr>
            <w:tcW w:w="68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97,199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98,000</w:t>
            </w:r>
          </w:p>
        </w:tc>
        <w:tc>
          <w:tcPr>
            <w:tcW w:w="122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3"/>
                <w:szCs w:val="13"/>
                <w:color w:val="auto"/>
              </w:rPr>
              <w:t>17.9 %</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7.90%</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38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2"/>
                <w:szCs w:val="12"/>
                <w:color w:val="auto"/>
              </w:rPr>
              <w:t xml:space="preserve">Commercehub, Inc. </w:t>
            </w:r>
            <w:r>
              <w:rPr>
                <w:rFonts w:ascii="Times New Roman" w:cs="Times New Roman" w:eastAsia="Times New Roman" w:hAnsi="Times New Roman"/>
                <w:sz w:val="15"/>
                <w:szCs w:val="15"/>
                <w:color w:val="auto"/>
                <w:vertAlign w:val="superscript"/>
              </w:rPr>
              <w:t>(3)</w:t>
            </w:r>
          </w:p>
        </w:tc>
        <w:tc>
          <w:tcPr>
            <w:tcW w:w="120" w:type="dxa"/>
            <w:vAlign w:val="bottom"/>
            <w:shd w:val="clear" w:color="auto" w:fill="CFF0FC"/>
          </w:tcPr>
          <w:p>
            <w:pPr>
              <w:spacing w:after="0"/>
              <w:rPr>
                <w:sz w:val="11"/>
                <w:szCs w:val="11"/>
                <w:color w:val="auto"/>
              </w:rPr>
            </w:pPr>
          </w:p>
        </w:tc>
        <w:tc>
          <w:tcPr>
            <w:tcW w:w="258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3"/>
                <w:szCs w:val="13"/>
                <w:color w:val="auto"/>
              </w:rPr>
              <w:t>First-lien loan ($150,000 par, due 12/2027)</w:t>
            </w:r>
          </w:p>
        </w:tc>
        <w:tc>
          <w:tcPr>
            <w:tcW w:w="92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11/15/2022</w:t>
            </w: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SOFR +</w:t>
            </w:r>
          </w:p>
        </w:tc>
        <w:tc>
          <w:tcPr>
            <w:tcW w:w="1120" w:type="dxa"/>
            <w:vAlign w:val="bottom"/>
            <w:gridSpan w:val="3"/>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11.03 %</w:t>
            </w: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139,697</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139,875</w:t>
            </w:r>
          </w:p>
        </w:tc>
        <w:tc>
          <w:tcPr>
            <w:tcW w:w="1220" w:type="dxa"/>
            <w:vAlign w:val="bottom"/>
            <w:gridSpan w:val="3"/>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25.6 %</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25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6.50%</w:t>
            </w:r>
          </w:p>
        </w:tc>
        <w:tc>
          <w:tcPr>
            <w:tcW w:w="24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236,896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237,875</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43.5 %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3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25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880" w:type="dxa"/>
            <w:vAlign w:val="bottom"/>
            <w:tcBorders>
              <w:top w:val="single" w:sz="8" w:color="auto"/>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Debt Investments</w:t>
            </w:r>
          </w:p>
        </w:tc>
        <w:tc>
          <w:tcPr>
            <w:tcW w:w="1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801,223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800,995</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146.4 %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Equity and Other Investments</w:t>
            </w:r>
          </w:p>
        </w:tc>
        <w:tc>
          <w:tcPr>
            <w:tcW w:w="1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Human Resource Support Services</w:t>
            </w:r>
          </w:p>
        </w:tc>
        <w:tc>
          <w:tcPr>
            <w:tcW w:w="1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bswift, LLC </w:t>
            </w:r>
            <w:r>
              <w:rPr>
                <w:rFonts w:ascii="Times New Roman" w:cs="Times New Roman" w:eastAsia="Times New Roman" w:hAnsi="Times New Roman"/>
                <w:sz w:val="16"/>
                <w:szCs w:val="16"/>
                <w:color w:val="auto"/>
                <w:vertAlign w:val="superscript"/>
              </w:rPr>
              <w:t>(8)(10)</w:t>
            </w:r>
          </w:p>
        </w:tc>
        <w:tc>
          <w:tcPr>
            <w:tcW w:w="120" w:type="dxa"/>
            <w:vAlign w:val="bottom"/>
            <w:shd w:val="clear" w:color="auto" w:fill="CFF0FC"/>
          </w:tcPr>
          <w:p>
            <w:pPr>
              <w:spacing w:after="0"/>
              <w:rPr>
                <w:sz w:val="14"/>
                <w:szCs w:val="14"/>
                <w:color w:val="auto"/>
              </w:rPr>
            </w:pPr>
          </w:p>
        </w:tc>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Class A-1 Units (7,606,491 units)</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11/7/2022</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7,606</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7,606</w:t>
            </w:r>
          </w:p>
        </w:tc>
        <w:tc>
          <w:tcPr>
            <w:tcW w:w="1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Internet Services</w:t>
            </w:r>
          </w:p>
        </w:tc>
        <w:tc>
          <w:tcPr>
            <w:tcW w:w="120" w:type="dxa"/>
            <w:vAlign w:val="bottom"/>
            <w:shd w:val="clear" w:color="auto" w:fill="CFF0FC"/>
          </w:tcPr>
          <w:p>
            <w:pPr>
              <w:spacing w:after="0"/>
              <w:rPr>
                <w:sz w:val="14"/>
                <w:szCs w:val="14"/>
                <w:color w:val="auto"/>
              </w:rPr>
            </w:pPr>
          </w:p>
        </w:tc>
        <w:tc>
          <w:tcPr>
            <w:tcW w:w="2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SMA Technologies Holdings, LLC </w:t>
            </w:r>
            <w:r>
              <w:rPr>
                <w:rFonts w:ascii="Times New Roman" w:cs="Times New Roman" w:eastAsia="Times New Roman" w:hAnsi="Times New Roman"/>
                <w:sz w:val="16"/>
                <w:szCs w:val="16"/>
                <w:color w:val="auto"/>
                <w:vertAlign w:val="superscript"/>
              </w:rPr>
              <w:t>(8)(10)</w:t>
            </w:r>
          </w:p>
        </w:tc>
        <w:tc>
          <w:tcPr>
            <w:tcW w:w="120" w:type="dxa"/>
            <w:vAlign w:val="bottom"/>
          </w:tcPr>
          <w:p>
            <w:pPr>
              <w:spacing w:after="0"/>
              <w:rPr>
                <w:sz w:val="14"/>
                <w:szCs w:val="14"/>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3"/>
                <w:szCs w:val="13"/>
                <w:color w:val="auto"/>
              </w:rPr>
              <w:t>Class A Units (200 units)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11/21/2022</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Class B Units (142,038 units)</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11/21/2022</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5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22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3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25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880" w:type="dxa"/>
            <w:vAlign w:val="bottom"/>
            <w:tcBorders>
              <w:top w:val="single" w:sz="8" w:color="auto"/>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3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Equity and Other</w:t>
            </w:r>
          </w:p>
        </w:tc>
        <w:tc>
          <w:tcPr>
            <w:tcW w:w="1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7,806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7,806</w:t>
            </w:r>
          </w:p>
        </w:tc>
        <w:tc>
          <w:tcPr>
            <w:tcW w:w="12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3"/>
                <w:szCs w:val="13"/>
                <w:color w:val="auto"/>
              </w:rPr>
              <w:t>1.4 %</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38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Investments</w:t>
            </w:r>
          </w:p>
        </w:tc>
        <w:tc>
          <w:tcPr>
            <w:tcW w:w="120" w:type="dxa"/>
            <w:vAlign w:val="bottom"/>
            <w:shd w:val="clear" w:color="auto" w:fill="CFF0FC"/>
          </w:tcPr>
          <w:p>
            <w:pPr>
              <w:spacing w:after="0"/>
              <w:rPr>
                <w:sz w:val="15"/>
                <w:szCs w:val="15"/>
                <w:color w:val="auto"/>
              </w:rPr>
            </w:pPr>
          </w:p>
        </w:tc>
        <w:tc>
          <w:tcPr>
            <w:tcW w:w="2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120" w:type="dxa"/>
            <w:vAlign w:val="bottom"/>
            <w:gridSpan w:val="3"/>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809,029</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808,801</w:t>
            </w:r>
          </w:p>
        </w:tc>
        <w:tc>
          <w:tcPr>
            <w:tcW w:w="2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147.8 %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5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-4671060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-4671060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-4671060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-4070985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-4070985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-4070985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-3479800</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-3479800</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-3479800</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-1816735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-1816735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-1816735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-1593850</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-1593850</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-548005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-548005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-325120</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-325120</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right="140" w:hanging="512"/>
        <w:spacing w:after="0" w:line="261" w:lineRule="auto"/>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Company’s portfolio companies are domiciled in the United States. Under the Investment Company Act of 1940, as amended (the “1940 Act”), the Company would “control” a portfolio company if the Company owned</w:t>
      </w:r>
    </w:p>
    <w:p>
      <w:pPr>
        <w:jc w:val="both"/>
        <w:ind w:left="520" w:right="156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more than 25% of its outstanding voting securities and/or had the power to exercise control over the management or policies of such portfolio company. As of December 31, 2022, the Company does not “control” any of the portfolio companies. Also under the 1940 Act, the Company would be deemed to be an “Affiliated Person” of a portfolio company if the Company owns more</w:t>
      </w:r>
    </w:p>
    <w:p>
      <w:pPr>
        <w:ind w:left="520" w:right="4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than 5% of the portfolio company's outstanding voting securities. As of December 31, 2022, the Company does not identify any of its portfolio companies as affiliates.</w:t>
      </w:r>
    </w:p>
    <w:p>
      <w:pPr>
        <w:ind w:left="520" w:right="40" w:hanging="512"/>
        <w:spacing w:after="0" w:line="260" w:lineRule="auto"/>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and premiums, as applicable, on debt investments using the effective interest method.</w:t>
      </w:r>
    </w:p>
    <w:p>
      <w:pPr>
        <w:spacing w:after="0" w:line="1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981" w:right="299" w:bottom="1440" w:gutter="0" w:footer="0" w:header="0"/>
        </w:sectPr>
      </w:pPr>
    </w:p>
    <w:bookmarkStart w:id="88" w:name="page89"/>
    <w:bookmarkEnd w:id="88"/>
    <w:p>
      <w:pPr>
        <w:ind w:left="512" w:right="60" w:hanging="512"/>
        <w:spacing w:after="0" w:line="253" w:lineRule="auto"/>
        <w:tabs>
          <w:tab w:leader="none" w:pos="51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contains a variable rate structure, subject to an interest rate floor. Variable rate investments bear interest at a rate that may be determined by reference to either Euro Interbank Offer Rate (“Euribor” or “E”), Term Secured Overnight Financing Rate (“SOFR”) which may also contain a credit spread adjustment depending on the tenor election, Sterling Overnight Interbank Average Rate ("SONIA" or "S"),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December 31, 2022.</w:t>
      </w:r>
    </w:p>
    <w:p>
      <w:pPr>
        <w:spacing w:after="0" w:line="5" w:lineRule="exact"/>
        <w:rPr>
          <w:rFonts w:ascii="Times New Roman" w:cs="Times New Roman" w:eastAsia="Times New Roman" w:hAnsi="Times New Roman"/>
          <w:sz w:val="18"/>
          <w:szCs w:val="18"/>
          <w:color w:val="auto"/>
        </w:rPr>
      </w:pPr>
    </w:p>
    <w:p>
      <w:pPr>
        <w:ind w:left="512" w:hanging="512"/>
        <w:spacing w:after="0" w:line="250" w:lineRule="auto"/>
        <w:tabs>
          <w:tab w:leader="none" w:pos="51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2.3% of total assets as of December 31, 2022.</w:t>
      </w:r>
    </w:p>
    <w:p>
      <w:pPr>
        <w:spacing w:after="0" w:line="1" w:lineRule="exact"/>
        <w:rPr>
          <w:rFonts w:ascii="Times New Roman" w:cs="Times New Roman" w:eastAsia="Times New Roman" w:hAnsi="Times New Roman"/>
          <w:sz w:val="18"/>
          <w:szCs w:val="18"/>
          <w:color w:val="auto"/>
        </w:rPr>
      </w:pPr>
    </w:p>
    <w:p>
      <w:pPr>
        <w:ind w:left="512" w:right="20" w:hanging="512"/>
        <w:spacing w:after="0" w:line="250" w:lineRule="auto"/>
        <w:tabs>
          <w:tab w:leader="none" w:pos="51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1" w:lineRule="exact"/>
        <w:rPr>
          <w:rFonts w:ascii="Times New Roman" w:cs="Times New Roman" w:eastAsia="Times New Roman" w:hAnsi="Times New Roman"/>
          <w:sz w:val="18"/>
          <w:szCs w:val="18"/>
          <w:color w:val="auto"/>
        </w:rPr>
      </w:pPr>
    </w:p>
    <w:p>
      <w:pPr>
        <w:ind w:left="512" w:right="40" w:hanging="512"/>
        <w:spacing w:after="0" w:line="250" w:lineRule="auto"/>
        <w:tabs>
          <w:tab w:leader="none" w:pos="51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Financial Accounting Standards Board Accounting Standards Codification Topic 820, Fair Value Measurements (“ASC Topic 820”), unless otherwise indicated, the fair values of all investments were determined using significant unobservable inputs and are considered Level 3 investments. See Note 5 for further information related to investments at fair value.</w:t>
      </w:r>
    </w:p>
    <w:p>
      <w:pPr>
        <w:spacing w:after="0" w:line="1" w:lineRule="exact"/>
        <w:rPr>
          <w:rFonts w:ascii="Times New Roman" w:cs="Times New Roman" w:eastAsia="Times New Roman" w:hAnsi="Times New Roman"/>
          <w:sz w:val="18"/>
          <w:szCs w:val="18"/>
          <w:color w:val="auto"/>
        </w:rPr>
      </w:pPr>
    </w:p>
    <w:p>
      <w:pPr>
        <w:ind w:left="512" w:hanging="512"/>
        <w:spacing w:after="0" w:line="250" w:lineRule="auto"/>
        <w:tabs>
          <w:tab w:leader="none" w:pos="51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the estimated cost basis of investments for U.S. federal tax purposes was $810,241 resulting in estimated gross unrealized gains and losses of $2,806 and $5,681, respectfully.</w:t>
      </w:r>
    </w:p>
    <w:p>
      <w:pPr>
        <w:ind w:left="512" w:hanging="512"/>
        <w:spacing w:after="0"/>
        <w:tabs>
          <w:tab w:leader="none" w:pos="51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non-income producing.</w:t>
      </w:r>
    </w:p>
    <w:p>
      <w:pPr>
        <w:spacing w:after="0" w:line="9"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portfolio company investments are subject to contractual restrictions on sales.</w:t>
      </w:r>
    </w:p>
    <w:p>
      <w:pPr>
        <w:spacing w:after="0" w:line="9" w:lineRule="exact"/>
        <w:rPr>
          <w:rFonts w:ascii="Times New Roman" w:cs="Times New Roman" w:eastAsia="Times New Roman" w:hAnsi="Times New Roman"/>
          <w:sz w:val="18"/>
          <w:szCs w:val="18"/>
          <w:color w:val="auto"/>
        </w:rPr>
      </w:pPr>
    </w:p>
    <w:p>
      <w:pPr>
        <w:ind w:left="512" w:right="40" w:hanging="512"/>
        <w:spacing w:after="0" w:line="255" w:lineRule="auto"/>
        <w:tabs>
          <w:tab w:leader="none" w:pos="51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 portion of this security was acquired in a transaction exempt from registration under the Securities Act of 1933, as amended (the “Securities Act”), and may be deemed to be "restricted securities" under the Securities Act. As of December 31, 2022, the aggregate fair value of these securities is $7,806, or 1.4% of the Company's net assets.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85" w:right="359" w:bottom="1440" w:gutter="0" w:footer="0" w:header="0"/>
        </w:sectPr>
      </w:pPr>
    </w:p>
    <w:bookmarkStart w:id="89" w:name="page90"/>
    <w:bookmarkEnd w:id="89"/>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Net Assets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80" w:type="dxa"/>
            <w:vAlign w:val="bottom"/>
          </w:tcPr>
          <w:p>
            <w:pPr>
              <w:spacing w:after="0"/>
              <w:rPr>
                <w:sz w:val="16"/>
                <w:szCs w:val="16"/>
                <w:color w:val="auto"/>
              </w:rPr>
            </w:pPr>
          </w:p>
        </w:tc>
        <w:tc>
          <w:tcPr>
            <w:tcW w:w="222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Paid in Capital in</w:t>
            </w:r>
          </w:p>
        </w:tc>
        <w:tc>
          <w:tcPr>
            <w:tcW w:w="142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Accumulated Net</w:t>
            </w:r>
          </w:p>
        </w:tc>
        <w:tc>
          <w:tcPr>
            <w:tcW w:w="160" w:type="dxa"/>
            <w:vAlign w:val="bottom"/>
          </w:tcPr>
          <w:p>
            <w:pPr>
              <w:spacing w:after="0"/>
              <w:rPr>
                <w:sz w:val="16"/>
                <w:szCs w:val="16"/>
                <w:color w:val="auto"/>
              </w:rPr>
            </w:pPr>
          </w:p>
        </w:tc>
        <w:tc>
          <w:tcPr>
            <w:tcW w:w="9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 Net</w:t>
            </w:r>
          </w:p>
        </w:tc>
        <w:tc>
          <w:tcPr>
            <w:tcW w:w="0" w:type="dxa"/>
            <w:vAlign w:val="bottom"/>
          </w:tcPr>
          <w:p>
            <w:pPr>
              <w:spacing w:after="0"/>
              <w:rPr>
                <w:sz w:val="1"/>
                <w:szCs w:val="1"/>
                <w:color w:val="auto"/>
              </w:rPr>
            </w:pPr>
          </w:p>
        </w:tc>
      </w:tr>
      <w:tr>
        <w:trPr>
          <w:trHeight w:val="131"/>
        </w:trPr>
        <w:tc>
          <w:tcPr>
            <w:tcW w:w="4380" w:type="dxa"/>
            <w:vAlign w:val="bottom"/>
          </w:tcPr>
          <w:p>
            <w:pPr>
              <w:spacing w:after="0"/>
              <w:rPr>
                <w:sz w:val="11"/>
                <w:szCs w:val="11"/>
                <w:color w:val="auto"/>
              </w:rPr>
            </w:pPr>
          </w:p>
        </w:tc>
        <w:tc>
          <w:tcPr>
            <w:tcW w:w="1260" w:type="dxa"/>
            <w:vAlign w:val="bottom"/>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1"/>
                <w:szCs w:val="11"/>
                <w:color w:val="auto"/>
              </w:rPr>
            </w:pPr>
          </w:p>
        </w:tc>
        <w:tc>
          <w:tcPr>
            <w:tcW w:w="700" w:type="dxa"/>
            <w:vAlign w:val="bottom"/>
          </w:tcPr>
          <w:p>
            <w:pPr>
              <w:jc w:val="center"/>
              <w:ind w:left="104"/>
              <w:spacing w:after="0" w:line="131" w:lineRule="exact"/>
              <w:rPr>
                <w:sz w:val="20"/>
                <w:szCs w:val="20"/>
                <w:color w:val="auto"/>
              </w:rPr>
            </w:pPr>
            <w:r>
              <w:rPr>
                <w:rFonts w:ascii="Times New Roman" w:cs="Times New Roman" w:eastAsia="Times New Roman" w:hAnsi="Times New Roman"/>
                <w:sz w:val="14"/>
                <w:szCs w:val="14"/>
                <w:b w:val="1"/>
                <w:bCs w:val="1"/>
                <w:color w:val="auto"/>
              </w:rPr>
              <w:t>Par</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38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Borders>
              <w:bottom w:val="single" w:sz="8" w:color="auto"/>
            </w:tcBorders>
          </w:tcPr>
          <w:p>
            <w:pPr>
              <w:jc w:val="center"/>
              <w:ind w:left="10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Excess of Par</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Balance at April 5, 2022 (Inception)</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4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increase (decrease) in net assets resulting from operations:</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investment income (loss)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5,590</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5,590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change in unrealized gains (losses) on investments and</w:t>
            </w: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3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(1,663 )</w:t>
            </w:r>
          </w:p>
        </w:tc>
        <w:tc>
          <w:tcPr>
            <w:tcW w:w="1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(1,663 )</w:t>
            </w:r>
          </w:p>
        </w:tc>
        <w:tc>
          <w:tcPr>
            <w:tcW w:w="0" w:type="dxa"/>
            <w:vAlign w:val="bottom"/>
          </w:tcPr>
          <w:p>
            <w:pPr>
              <w:spacing w:after="0"/>
              <w:rPr>
                <w:sz w:val="1"/>
                <w:szCs w:val="1"/>
                <w:color w:val="auto"/>
              </w:rPr>
            </w:pPr>
          </w:p>
        </w:tc>
      </w:tr>
      <w:tr>
        <w:trPr>
          <w:trHeight w:val="212"/>
        </w:trPr>
        <w:tc>
          <w:tcPr>
            <w:tcW w:w="4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realized gains (losses) on investments and foreign</w:t>
            </w: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currency transactions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(80 )</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(80 )</w:t>
            </w:r>
          </w:p>
        </w:tc>
        <w:tc>
          <w:tcPr>
            <w:tcW w:w="0" w:type="dxa"/>
            <w:vAlign w:val="bottom"/>
          </w:tcPr>
          <w:p>
            <w:pPr>
              <w:spacing w:after="0"/>
              <w:rPr>
                <w:sz w:val="1"/>
                <w:szCs w:val="1"/>
                <w:color w:val="auto"/>
              </w:rPr>
            </w:pPr>
          </w:p>
        </w:tc>
      </w:tr>
      <w:tr>
        <w:trPr>
          <w:trHeight w:val="202"/>
        </w:trPr>
        <w:tc>
          <w:tcPr>
            <w:tcW w:w="4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Increase (decrease) in Net Assets Resulting from Capital Share</w:t>
            </w: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Transactions:</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Issuance of Common Shares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21,882,028</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22</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542,842</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542,864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Tax reclassification of shareholders' equity in accordance</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(246 )</w:t>
            </w:r>
          </w:p>
        </w:tc>
        <w:tc>
          <w:tcPr>
            <w:tcW w:w="28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with GAAP</w:t>
            </w:r>
          </w:p>
        </w:tc>
        <w:tc>
          <w:tcPr>
            <w:tcW w:w="12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4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21,882,028</w:t>
            </w:r>
          </w:p>
        </w:tc>
        <w:tc>
          <w:tcPr>
            <w:tcW w:w="260" w:type="dxa"/>
            <w:vAlign w:val="bottom"/>
            <w:tcBorders>
              <w:bottom w:val="single" w:sz="8" w:color="CFF0FC"/>
            </w:tcBorders>
            <w:shd w:val="clear" w:color="auto" w:fill="CFF0FC"/>
          </w:tcPr>
          <w:p>
            <w:pPr>
              <w:spacing w:after="0"/>
              <w:rPr>
                <w:sz w:val="22"/>
                <w:szCs w:val="22"/>
                <w:color w:val="auto"/>
              </w:rPr>
            </w:pPr>
          </w:p>
        </w:tc>
        <w:tc>
          <w:tcPr>
            <w:tcW w:w="7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22</w:t>
            </w: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542,596</w:t>
            </w:r>
          </w:p>
        </w:tc>
        <w:tc>
          <w:tcPr>
            <w:tcW w:w="2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4,093</w:t>
            </w:r>
          </w:p>
        </w:tc>
        <w:tc>
          <w:tcPr>
            <w:tcW w:w="2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546,711</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4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increase (decrease) in net assets resulting from operations:</w:t>
            </w: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investment income (loss)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128,279</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128,279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change in unrealized gains (losses) on investments and</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3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2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56,755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realized gains (losses) on investments and foreign</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currency transactions</w:t>
            </w:r>
          </w:p>
        </w:tc>
        <w:tc>
          <w:tcPr>
            <w:tcW w:w="126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(1,045 )</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(1,045 )</w:t>
            </w:r>
          </w:p>
        </w:tc>
        <w:tc>
          <w:tcPr>
            <w:tcW w:w="0" w:type="dxa"/>
            <w:vAlign w:val="bottom"/>
          </w:tcPr>
          <w:p>
            <w:pPr>
              <w:spacing w:after="0"/>
              <w:rPr>
                <w:sz w:val="1"/>
                <w:szCs w:val="1"/>
                <w:color w:val="auto"/>
              </w:rPr>
            </w:pPr>
          </w:p>
        </w:tc>
      </w:tr>
      <w:tr>
        <w:trPr>
          <w:trHeight w:val="202"/>
        </w:trPr>
        <w:tc>
          <w:tcPr>
            <w:tcW w:w="4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Increase (decrease) in Net Assets Resulting from Capital Share</w:t>
            </w: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Transactions:</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Issuance of common shares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41,957,644</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42</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1,149,958</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1,150,000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Dividends to shareholders:</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Shares issued in connection with dividend reinvestment plan</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1,639,103</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43,370</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43,371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Dividends declared from net investment income</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(107,004 )</w:t>
            </w:r>
          </w:p>
        </w:tc>
        <w:tc>
          <w:tcPr>
            <w:tcW w:w="1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(107,004 )</w:t>
            </w:r>
          </w:p>
        </w:tc>
        <w:tc>
          <w:tcPr>
            <w:tcW w:w="0" w:type="dxa"/>
            <w:vAlign w:val="bottom"/>
          </w:tcPr>
          <w:p>
            <w:pPr>
              <w:spacing w:after="0"/>
              <w:rPr>
                <w:sz w:val="1"/>
                <w:szCs w:val="1"/>
                <w:color w:val="auto"/>
              </w:rPr>
            </w:pPr>
          </w:p>
        </w:tc>
      </w:tr>
      <w:tr>
        <w:trPr>
          <w:trHeight w:val="211"/>
        </w:trPr>
        <w:tc>
          <w:tcPr>
            <w:tcW w:w="4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Tax reclassification of shareholders' equity in accordance</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(1,498 )</w:t>
            </w:r>
          </w:p>
        </w:tc>
        <w:tc>
          <w:tcPr>
            <w:tcW w:w="280" w:type="dxa"/>
            <w:vAlign w:val="bottom"/>
            <w:shd w:val="clear" w:color="auto" w:fill="CFF0FC"/>
          </w:tcPr>
          <w:p>
            <w:pPr>
              <w:spacing w:after="0"/>
              <w:rPr>
                <w:sz w:val="18"/>
                <w:szCs w:val="18"/>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with GAAP</w:t>
            </w:r>
          </w:p>
        </w:tc>
        <w:tc>
          <w:tcPr>
            <w:tcW w:w="126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3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65,478,775</w:t>
            </w:r>
          </w:p>
        </w:tc>
        <w:tc>
          <w:tcPr>
            <w:tcW w:w="260" w:type="dxa"/>
            <w:vAlign w:val="bottom"/>
            <w:tcBorders>
              <w:top w:val="single" w:sz="8" w:color="CFF0FC"/>
            </w:tcBorders>
          </w:tcPr>
          <w:p>
            <w:pPr>
              <w:spacing w:after="0"/>
              <w:rPr>
                <w:sz w:val="19"/>
                <w:szCs w:val="19"/>
                <w:color w:val="auto"/>
              </w:rPr>
            </w:pPr>
          </w:p>
        </w:tc>
        <w:tc>
          <w:tcPr>
            <w:tcW w:w="7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65</w:t>
            </w:r>
          </w:p>
        </w:tc>
        <w:tc>
          <w:tcPr>
            <w:tcW w:w="240" w:type="dxa"/>
            <w:vAlign w:val="bottom"/>
            <w:tcBorders>
              <w:top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1,734,426</w:t>
            </w:r>
          </w:p>
        </w:tc>
        <w:tc>
          <w:tcPr>
            <w:tcW w:w="220" w:type="dxa"/>
            <w:vAlign w:val="bottom"/>
            <w:tcBorders>
              <w:top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82,576</w:t>
            </w:r>
          </w:p>
        </w:tc>
        <w:tc>
          <w:tcPr>
            <w:tcW w:w="220" w:type="dxa"/>
            <w:vAlign w:val="bottom"/>
            <w:tcBorders>
              <w:top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1,817,067</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-2167890</wp:posOffset>
            </wp:positionV>
            <wp:extent cx="768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-2150745</wp:posOffset>
            </wp:positionV>
            <wp:extent cx="768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-2167890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-2150745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-2167890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-2150745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-2167890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-2150745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-2167890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-2150745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-179705</wp:posOffset>
            </wp:positionV>
            <wp:extent cx="7683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-179705</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-179705</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-179705</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ind w:left="448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3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gridSpan w:val="2"/>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3"/>
                <w:szCs w:val="13"/>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From April 5, 2022</w:t>
            </w:r>
          </w:p>
        </w:tc>
        <w:tc>
          <w:tcPr>
            <w:tcW w:w="0" w:type="dxa"/>
            <w:vAlign w:val="bottom"/>
          </w:tcPr>
          <w:p>
            <w:pPr>
              <w:spacing w:after="0"/>
              <w:rPr>
                <w:sz w:val="1"/>
                <w:szCs w:val="1"/>
                <w:color w:val="auto"/>
              </w:rPr>
            </w:pPr>
          </w:p>
        </w:tc>
      </w:tr>
      <w:tr>
        <w:trPr>
          <w:trHeight w:val="175"/>
        </w:trPr>
        <w:tc>
          <w:tcPr>
            <w:tcW w:w="7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(Inception) through</w:t>
            </w:r>
          </w:p>
        </w:tc>
        <w:tc>
          <w:tcPr>
            <w:tcW w:w="0" w:type="dxa"/>
            <w:vAlign w:val="bottom"/>
          </w:tcPr>
          <w:p>
            <w:pPr>
              <w:spacing w:after="0"/>
              <w:rPr>
                <w:sz w:val="1"/>
                <w:szCs w:val="1"/>
                <w:color w:val="auto"/>
              </w:rPr>
            </w:pPr>
          </w:p>
        </w:tc>
      </w:tr>
      <w:tr>
        <w:trPr>
          <w:trHeight w:val="187"/>
        </w:trPr>
        <w:tc>
          <w:tcPr>
            <w:tcW w:w="7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16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69"/>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20" w:type="dxa"/>
            <w:vAlign w:val="bottom"/>
            <w:tcBorders>
              <w:top w:val="single" w:sz="8" w:color="auto"/>
            </w:tcBorders>
            <w:shd w:val="clear" w:color="auto" w:fill="CFF0FC"/>
          </w:tcPr>
          <w:p>
            <w:pPr>
              <w:spacing w:after="0"/>
              <w:rPr>
                <w:sz w:val="14"/>
                <w:szCs w:val="14"/>
                <w:color w:val="auto"/>
              </w:rPr>
            </w:pPr>
          </w:p>
        </w:tc>
        <w:tc>
          <w:tcPr>
            <w:tcW w:w="1600" w:type="dxa"/>
            <w:vAlign w:val="bottom"/>
            <w:tcBorders>
              <w:top w:val="single" w:sz="8" w:color="auto"/>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5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 (Decrease) in net assets resulting from operations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183,989</w:t>
            </w:r>
          </w:p>
        </w:tc>
        <w:tc>
          <w:tcPr>
            <w:tcW w:w="30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2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Adjustments to reconcile increase (decrease) in net assets resulting from operations</w:t>
            </w:r>
          </w:p>
        </w:tc>
        <w:tc>
          <w:tcPr>
            <w:tcW w:w="220" w:type="dxa"/>
            <w:vAlign w:val="bottom"/>
            <w:shd w:val="clear" w:color="auto" w:fill="CFF0FC"/>
          </w:tcPr>
          <w:p>
            <w:pPr>
              <w:spacing w:after="0"/>
              <w:rPr>
                <w:sz w:val="12"/>
                <w:szCs w:val="12"/>
                <w:color w:val="auto"/>
              </w:rPr>
            </w:pPr>
          </w:p>
        </w:tc>
        <w:tc>
          <w:tcPr>
            <w:tcW w:w="16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to net cash provided by (used in) operating activities:</w:t>
            </w:r>
          </w:p>
        </w:tc>
        <w:tc>
          <w:tcPr>
            <w:tcW w:w="22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change in unrealized (gains) losses on investments</w:t>
            </w:r>
          </w:p>
        </w:tc>
        <w:tc>
          <w:tcPr>
            <w:tcW w:w="220" w:type="dxa"/>
            <w:vAlign w:val="bottom"/>
          </w:tcPr>
          <w:p>
            <w:pPr>
              <w:spacing w:after="0"/>
              <w:rPr>
                <w:sz w:val="15"/>
                <w:szCs w:val="15"/>
                <w:color w:val="auto"/>
              </w:rPr>
            </w:pP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(61,554 )</w:t>
            </w:r>
          </w:p>
        </w:tc>
        <w:tc>
          <w:tcPr>
            <w:tcW w:w="1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Net change in unrealized (gains) losses on foreign currency transactions</w:t>
            </w:r>
          </w:p>
        </w:tc>
        <w:tc>
          <w:tcPr>
            <w:tcW w:w="22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4,799</w:t>
            </w: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realized (gains) losses on foreign currency transactions</w:t>
            </w:r>
          </w:p>
        </w:tc>
        <w:tc>
          <w:tcPr>
            <w:tcW w:w="220" w:type="dxa"/>
            <w:vAlign w:val="bottom"/>
          </w:tcPr>
          <w:p>
            <w:pPr>
              <w:spacing w:after="0"/>
              <w:rPr>
                <w:sz w:val="15"/>
                <w:szCs w:val="15"/>
                <w:color w:val="auto"/>
              </w:rPr>
            </w:pP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(21 )</w:t>
            </w:r>
          </w:p>
        </w:tc>
        <w:tc>
          <w:tcPr>
            <w:tcW w:w="1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Net amortization of discount on investments</w:t>
            </w:r>
          </w:p>
        </w:tc>
        <w:tc>
          <w:tcPr>
            <w:tcW w:w="220" w:type="dxa"/>
            <w:vAlign w:val="bottom"/>
            <w:shd w:val="clear" w:color="auto" w:fill="CFF0FC"/>
          </w:tcPr>
          <w:p>
            <w:pPr>
              <w:spacing w:after="0"/>
              <w:rPr>
                <w:sz w:val="15"/>
                <w:szCs w:val="15"/>
                <w:color w:val="auto"/>
              </w:rPr>
            </w:pPr>
          </w:p>
        </w:tc>
        <w:tc>
          <w:tcPr>
            <w:tcW w:w="1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(11,819 )</w:t>
            </w:r>
          </w:p>
        </w:tc>
        <w:tc>
          <w:tcPr>
            <w:tcW w:w="16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(770 )</w:t>
            </w:r>
          </w:p>
        </w:tc>
        <w:tc>
          <w:tcPr>
            <w:tcW w:w="0" w:type="dxa"/>
            <w:vAlign w:val="bottom"/>
          </w:tcPr>
          <w:p>
            <w:pPr>
              <w:spacing w:after="0"/>
              <w:rPr>
                <w:sz w:val="1"/>
                <w:szCs w:val="1"/>
                <w:color w:val="auto"/>
              </w:rPr>
            </w:pPr>
          </w:p>
        </w:tc>
      </w:tr>
      <w:tr>
        <w:trPr>
          <w:trHeight w:val="176"/>
        </w:trPr>
        <w:tc>
          <w:tcPr>
            <w:tcW w:w="7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2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5,216</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Purchases and originations of investments, net</w:t>
            </w:r>
          </w:p>
        </w:tc>
        <w:tc>
          <w:tcPr>
            <w:tcW w:w="220" w:type="dxa"/>
            <w:vAlign w:val="bottom"/>
            <w:shd w:val="clear" w:color="auto" w:fill="CFF0FC"/>
          </w:tcPr>
          <w:p>
            <w:pPr>
              <w:spacing w:after="0"/>
              <w:rPr>
                <w:sz w:val="15"/>
                <w:szCs w:val="15"/>
                <w:color w:val="auto"/>
              </w:rPr>
            </w:pPr>
          </w:p>
        </w:tc>
        <w:tc>
          <w:tcPr>
            <w:tcW w:w="1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(2,285,956 )</w:t>
            </w:r>
          </w:p>
        </w:tc>
        <w:tc>
          <w:tcPr>
            <w:tcW w:w="16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(808,259 )</w:t>
            </w:r>
          </w:p>
        </w:tc>
        <w:tc>
          <w:tcPr>
            <w:tcW w:w="0" w:type="dxa"/>
            <w:vAlign w:val="bottom"/>
          </w:tcPr>
          <w:p>
            <w:pPr>
              <w:spacing w:after="0"/>
              <w:rPr>
                <w:sz w:val="1"/>
                <w:szCs w:val="1"/>
                <w:color w:val="auto"/>
              </w:rPr>
            </w:pPr>
          </w:p>
        </w:tc>
      </w:tr>
      <w:tr>
        <w:trPr>
          <w:trHeight w:val="176"/>
        </w:trPr>
        <w:tc>
          <w:tcPr>
            <w:tcW w:w="7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Repayments on investments</w:t>
            </w:r>
          </w:p>
        </w:tc>
        <w:tc>
          <w:tcPr>
            <w:tcW w:w="2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80,121</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7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Paid-in-kind interest</w:t>
            </w:r>
          </w:p>
        </w:tc>
        <w:tc>
          <w:tcPr>
            <w:tcW w:w="220" w:type="dxa"/>
            <w:vAlign w:val="bottom"/>
            <w:shd w:val="clear" w:color="auto" w:fill="CFF0FC"/>
          </w:tcPr>
          <w:p>
            <w:pPr>
              <w:spacing w:after="0"/>
              <w:rPr>
                <w:sz w:val="15"/>
                <w:szCs w:val="15"/>
                <w:color w:val="auto"/>
              </w:rPr>
            </w:pPr>
          </w:p>
        </w:tc>
        <w:tc>
          <w:tcPr>
            <w:tcW w:w="1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(11,144 )</w:t>
            </w:r>
          </w:p>
        </w:tc>
        <w:tc>
          <w:tcPr>
            <w:tcW w:w="16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72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Interest receivable</w:t>
            </w:r>
          </w:p>
        </w:tc>
        <w:tc>
          <w:tcPr>
            <w:tcW w:w="220" w:type="dxa"/>
            <w:vAlign w:val="bottom"/>
            <w:shd w:val="clear" w:color="auto" w:fill="CFF0FC"/>
          </w:tcPr>
          <w:p>
            <w:pPr>
              <w:spacing w:after="0"/>
              <w:rPr>
                <w:sz w:val="15"/>
                <w:szCs w:val="15"/>
                <w:color w:val="auto"/>
              </w:rPr>
            </w:pPr>
          </w:p>
        </w:tc>
        <w:tc>
          <w:tcPr>
            <w:tcW w:w="1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(16,842 )</w:t>
            </w:r>
          </w:p>
        </w:tc>
        <w:tc>
          <w:tcPr>
            <w:tcW w:w="16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(7,814 )</w:t>
            </w:r>
          </w:p>
        </w:tc>
        <w:tc>
          <w:tcPr>
            <w:tcW w:w="0" w:type="dxa"/>
            <w:vAlign w:val="bottom"/>
          </w:tcPr>
          <w:p>
            <w:pPr>
              <w:spacing w:after="0"/>
              <w:rPr>
                <w:sz w:val="1"/>
                <w:szCs w:val="1"/>
                <w:color w:val="auto"/>
              </w:rPr>
            </w:pPr>
          </w:p>
        </w:tc>
      </w:tr>
      <w:tr>
        <w:trPr>
          <w:trHeight w:val="175"/>
        </w:trPr>
        <w:tc>
          <w:tcPr>
            <w:tcW w:w="7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Interest receivable paid-in-kind</w:t>
            </w:r>
          </w:p>
        </w:tc>
        <w:tc>
          <w:tcPr>
            <w:tcW w:w="220" w:type="dxa"/>
            <w:vAlign w:val="bottom"/>
          </w:tcPr>
          <w:p>
            <w:pPr>
              <w:spacing w:after="0"/>
              <w:rPr>
                <w:sz w:val="15"/>
                <w:szCs w:val="15"/>
                <w:color w:val="auto"/>
              </w:rPr>
            </w:pP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(3,282 )</w:t>
            </w:r>
          </w:p>
        </w:tc>
        <w:tc>
          <w:tcPr>
            <w:tcW w:w="160" w:type="dxa"/>
            <w:vAlign w:val="bottom"/>
          </w:tcPr>
          <w:p>
            <w:pPr>
              <w:spacing w:after="0"/>
              <w:rPr>
                <w:sz w:val="15"/>
                <w:szCs w:val="15"/>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7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20" w:type="dxa"/>
            <w:vAlign w:val="bottom"/>
            <w:shd w:val="clear" w:color="auto" w:fill="CFF0FC"/>
          </w:tcPr>
          <w:p>
            <w:pPr>
              <w:spacing w:after="0"/>
              <w:rPr>
                <w:sz w:val="15"/>
                <w:szCs w:val="15"/>
                <w:color w:val="auto"/>
              </w:rPr>
            </w:pPr>
          </w:p>
        </w:tc>
        <w:tc>
          <w:tcPr>
            <w:tcW w:w="1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(1,878 )</w:t>
            </w:r>
          </w:p>
        </w:tc>
        <w:tc>
          <w:tcPr>
            <w:tcW w:w="16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(485 )</w:t>
            </w:r>
          </w:p>
        </w:tc>
        <w:tc>
          <w:tcPr>
            <w:tcW w:w="0" w:type="dxa"/>
            <w:vAlign w:val="bottom"/>
          </w:tcPr>
          <w:p>
            <w:pPr>
              <w:spacing w:after="0"/>
              <w:rPr>
                <w:sz w:val="1"/>
                <w:szCs w:val="1"/>
                <w:color w:val="auto"/>
              </w:rPr>
            </w:pPr>
          </w:p>
        </w:tc>
      </w:tr>
      <w:tr>
        <w:trPr>
          <w:trHeight w:val="175"/>
        </w:trPr>
        <w:tc>
          <w:tcPr>
            <w:tcW w:w="7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Management fees payable to affiliate</w:t>
            </w:r>
          </w:p>
        </w:tc>
        <w:tc>
          <w:tcPr>
            <w:tcW w:w="2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2,245</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Incentive fees on net investment income payable to affiliate</w:t>
            </w:r>
          </w:p>
        </w:tc>
        <w:tc>
          <w:tcPr>
            <w:tcW w:w="22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6,156</w:t>
            </w: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Incentive fees on net capital gains accrued to affiliate</w:t>
            </w:r>
          </w:p>
        </w:tc>
        <w:tc>
          <w:tcPr>
            <w:tcW w:w="2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6,746</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7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Other payables to affiliate</w:t>
            </w:r>
          </w:p>
        </w:tc>
        <w:tc>
          <w:tcPr>
            <w:tcW w:w="220" w:type="dxa"/>
            <w:vAlign w:val="bottom"/>
            <w:shd w:val="clear" w:color="auto" w:fill="CFF0FC"/>
          </w:tcPr>
          <w:p>
            <w:pPr>
              <w:spacing w:after="0"/>
              <w:rPr>
                <w:sz w:val="15"/>
                <w:szCs w:val="15"/>
                <w:color w:val="auto"/>
              </w:rPr>
            </w:pPr>
          </w:p>
        </w:tc>
        <w:tc>
          <w:tcPr>
            <w:tcW w:w="1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(1,656 )</w:t>
            </w: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4,062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liabilities</w:t>
            </w:r>
          </w:p>
        </w:tc>
        <w:tc>
          <w:tcPr>
            <w:tcW w:w="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13,053</w:t>
            </w: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b w:val="1"/>
                <w:bCs w:val="1"/>
                <w:color w:val="auto"/>
              </w:rPr>
              <w:t>Net Cash Provided by (Used in) Operating Activities</w:t>
            </w:r>
          </w:p>
        </w:tc>
        <w:tc>
          <w:tcPr>
            <w:tcW w:w="220" w:type="dxa"/>
            <w:vAlign w:val="bottom"/>
            <w:shd w:val="clear" w:color="auto" w:fill="CFF0FC"/>
          </w:tcPr>
          <w:p>
            <w:pPr>
              <w:spacing w:after="0"/>
              <w:rPr>
                <w:sz w:val="14"/>
                <w:szCs w:val="14"/>
                <w:color w:val="auto"/>
              </w:rPr>
            </w:pPr>
          </w:p>
        </w:tc>
        <w:tc>
          <w:tcPr>
            <w:tcW w:w="1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(2,091,827 )</w:t>
            </w:r>
          </w:p>
        </w:tc>
        <w:tc>
          <w:tcPr>
            <w:tcW w:w="160" w:type="dxa"/>
            <w:vAlign w:val="bottom"/>
            <w:shd w:val="clear" w:color="auto" w:fill="CFF0FC"/>
          </w:tcPr>
          <w:p>
            <w:pPr>
              <w:spacing w:after="0"/>
              <w:rPr>
                <w:sz w:val="14"/>
                <w:szCs w:val="14"/>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(800,417 )</w:t>
            </w:r>
          </w:p>
        </w:tc>
        <w:tc>
          <w:tcPr>
            <w:tcW w:w="0" w:type="dxa"/>
            <w:vAlign w:val="bottom"/>
          </w:tcPr>
          <w:p>
            <w:pPr>
              <w:spacing w:after="0"/>
              <w:rPr>
                <w:sz w:val="1"/>
                <w:szCs w:val="1"/>
                <w:color w:val="auto"/>
              </w:rPr>
            </w:pPr>
          </w:p>
        </w:tc>
      </w:tr>
      <w:tr>
        <w:trPr>
          <w:trHeight w:val="169"/>
        </w:trPr>
        <w:tc>
          <w:tcPr>
            <w:tcW w:w="72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2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30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Borrowings on debt</w:t>
            </w:r>
          </w:p>
        </w:tc>
        <w:tc>
          <w:tcPr>
            <w:tcW w:w="22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2,886,747</w:t>
            </w: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816,536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Repayments on debt</w:t>
            </w:r>
          </w:p>
        </w:tc>
        <w:tc>
          <w:tcPr>
            <w:tcW w:w="220" w:type="dxa"/>
            <w:vAlign w:val="bottom"/>
          </w:tcPr>
          <w:p>
            <w:pPr>
              <w:spacing w:after="0"/>
              <w:rPr>
                <w:sz w:val="15"/>
                <w:szCs w:val="15"/>
                <w:color w:val="auto"/>
              </w:rPr>
            </w:pP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(2,181,500 )</w:t>
            </w:r>
          </w:p>
        </w:tc>
        <w:tc>
          <w:tcPr>
            <w:tcW w:w="160" w:type="dxa"/>
            <w:vAlign w:val="bottom"/>
          </w:tcPr>
          <w:p>
            <w:pPr>
              <w:spacing w:after="0"/>
              <w:rPr>
                <w:sz w:val="15"/>
                <w:szCs w:val="15"/>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(280,000 )</w:t>
            </w:r>
          </w:p>
        </w:tc>
        <w:tc>
          <w:tcPr>
            <w:tcW w:w="0" w:type="dxa"/>
            <w:vAlign w:val="bottom"/>
          </w:tcPr>
          <w:p>
            <w:pPr>
              <w:spacing w:after="0"/>
              <w:rPr>
                <w:sz w:val="1"/>
                <w:szCs w:val="1"/>
                <w:color w:val="auto"/>
              </w:rPr>
            </w:pPr>
          </w:p>
        </w:tc>
      </w:tr>
      <w:tr>
        <w:trPr>
          <w:trHeight w:val="175"/>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Deferred financing costs</w:t>
            </w:r>
          </w:p>
        </w:tc>
        <w:tc>
          <w:tcPr>
            <w:tcW w:w="220" w:type="dxa"/>
            <w:vAlign w:val="bottom"/>
            <w:shd w:val="clear" w:color="auto" w:fill="CFF0FC"/>
          </w:tcPr>
          <w:p>
            <w:pPr>
              <w:spacing w:after="0"/>
              <w:rPr>
                <w:sz w:val="15"/>
                <w:szCs w:val="15"/>
                <w:color w:val="auto"/>
              </w:rPr>
            </w:pPr>
          </w:p>
        </w:tc>
        <w:tc>
          <w:tcPr>
            <w:tcW w:w="1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(9,458 )</w:t>
            </w:r>
          </w:p>
        </w:tc>
        <w:tc>
          <w:tcPr>
            <w:tcW w:w="16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(4,371 )</w:t>
            </w:r>
          </w:p>
        </w:tc>
        <w:tc>
          <w:tcPr>
            <w:tcW w:w="0" w:type="dxa"/>
            <w:vAlign w:val="bottom"/>
          </w:tcPr>
          <w:p>
            <w:pPr>
              <w:spacing w:after="0"/>
              <w:rPr>
                <w:sz w:val="1"/>
                <w:szCs w:val="1"/>
                <w:color w:val="auto"/>
              </w:rPr>
            </w:pPr>
          </w:p>
        </w:tc>
      </w:tr>
      <w:tr>
        <w:trPr>
          <w:trHeight w:val="175"/>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paid to shareholders</w:t>
            </w:r>
          </w:p>
        </w:tc>
        <w:tc>
          <w:tcPr>
            <w:tcW w:w="220" w:type="dxa"/>
            <w:vAlign w:val="bottom"/>
          </w:tcPr>
          <w:p>
            <w:pPr>
              <w:spacing w:after="0"/>
              <w:rPr>
                <w:sz w:val="15"/>
                <w:szCs w:val="15"/>
                <w:color w:val="auto"/>
              </w:rPr>
            </w:pP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(19,761 )</w:t>
            </w:r>
          </w:p>
        </w:tc>
        <w:tc>
          <w:tcPr>
            <w:tcW w:w="160" w:type="dxa"/>
            <w:vAlign w:val="bottom"/>
          </w:tcPr>
          <w:p>
            <w:pPr>
              <w:spacing w:after="0"/>
              <w:rPr>
                <w:sz w:val="15"/>
                <w:szCs w:val="15"/>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7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Capital calls</w:t>
            </w:r>
          </w:p>
        </w:tc>
        <w:tc>
          <w:tcPr>
            <w:tcW w:w="220" w:type="dxa"/>
            <w:vAlign w:val="bottom"/>
            <w:tcBorders>
              <w:bottom w:val="single" w:sz="8" w:color="auto"/>
            </w:tcBorders>
            <w:shd w:val="clear" w:color="auto" w:fill="CFF0FC"/>
          </w:tcPr>
          <w:p>
            <w:pPr>
              <w:spacing w:after="0"/>
              <w:rPr>
                <w:sz w:val="15"/>
                <w:szCs w:val="15"/>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1,150,000</w:t>
            </w:r>
          </w:p>
        </w:tc>
        <w:tc>
          <w:tcPr>
            <w:tcW w:w="3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542,864</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2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Net Cash Provided by (Used in) Financing Activities</w:t>
            </w: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1,826,028</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1,075,029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b w:val="1"/>
                <w:bCs w:val="1"/>
                <w:color w:val="auto"/>
              </w:rPr>
              <w:t>Net Increase (Decrease) in Cash and Cash Equivalents</w:t>
            </w:r>
          </w:p>
        </w:tc>
        <w:tc>
          <w:tcPr>
            <w:tcW w:w="220" w:type="dxa"/>
            <w:vAlign w:val="bottom"/>
            <w:shd w:val="clear" w:color="auto" w:fill="CFF0FC"/>
          </w:tcPr>
          <w:p>
            <w:pPr>
              <w:spacing w:after="0"/>
              <w:rPr>
                <w:sz w:val="14"/>
                <w:szCs w:val="14"/>
                <w:color w:val="auto"/>
              </w:rPr>
            </w:pPr>
          </w:p>
        </w:tc>
        <w:tc>
          <w:tcPr>
            <w:tcW w:w="1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(265,799 )</w:t>
            </w:r>
          </w:p>
        </w:tc>
        <w:tc>
          <w:tcPr>
            <w:tcW w:w="160" w:type="dxa"/>
            <w:vAlign w:val="bottom"/>
            <w:shd w:val="clear" w:color="auto" w:fill="CFF0FC"/>
          </w:tcPr>
          <w:p>
            <w:pPr>
              <w:spacing w:after="0"/>
              <w:rPr>
                <w:sz w:val="14"/>
                <w:szCs w:val="14"/>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274,612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2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274,612</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72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b w:val="1"/>
                <w:bCs w:val="1"/>
                <w:color w:val="auto"/>
              </w:rPr>
              <w:t>Cash and Cash Equivalents, End of Period</w:t>
            </w:r>
          </w:p>
        </w:tc>
        <w:tc>
          <w:tcPr>
            <w:tcW w:w="22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8,813</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274,612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28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Supplemental Information:</w:t>
            </w: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Interest paid during the period</w:t>
            </w:r>
          </w:p>
        </w:tc>
        <w:tc>
          <w:tcPr>
            <w:tcW w:w="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57,313</w:t>
            </w: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Excise and other taxes paid during the period</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30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7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Dividends declared during the period</w:t>
            </w:r>
          </w:p>
        </w:tc>
        <w:tc>
          <w:tcPr>
            <w:tcW w:w="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107,004</w:t>
            </w: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7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Non-Cash Financing Activities:</w:t>
            </w:r>
          </w:p>
        </w:tc>
        <w:tc>
          <w:tcPr>
            <w:tcW w:w="22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Reinvestment of dividends during the period</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43,371</w:t>
            </w:r>
          </w:p>
        </w:tc>
        <w:tc>
          <w:tcPr>
            <w:tcW w:w="3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-1962150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-1284605</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-1284605</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-813435</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-796290</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-813435</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unless otherwise indicated)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119" w:lineRule="exact"/>
        <w:rPr>
          <w:sz w:val="20"/>
          <w:szCs w:val="20"/>
          <w:color w:val="auto"/>
        </w:rPr>
      </w:pPr>
    </w:p>
    <w:p>
      <w:pPr>
        <w:ind w:right="40" w:firstLine="255"/>
        <w:spacing w:after="0" w:line="254" w:lineRule="auto"/>
        <w:rPr>
          <w:sz w:val="20"/>
          <w:szCs w:val="20"/>
          <w:color w:val="auto"/>
        </w:rPr>
      </w:pPr>
      <w:r>
        <w:rPr>
          <w:rFonts w:ascii="Times New Roman" w:cs="Times New Roman" w:eastAsia="Times New Roman" w:hAnsi="Times New Roman"/>
          <w:sz w:val="18"/>
          <w:szCs w:val="18"/>
          <w:color w:val="auto"/>
        </w:rPr>
        <w:t>Sixth Street Lending Partners (the “Company”) is a Delaware statutory trust formed on April 5, 2022 (“Inception”). The Company was formed primarily to lend to, and selectively invest in, upper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The Company is managed by Sixth Street Lending Partners Advisers, LLC (the “Adviser”). On May 12, 2022, the Company formed a wholly-owned subsidiary, Sixth Street LP Holding, LLC, a Delaware limited liability company. On May 12, 2022, the Company formed a wholly-owned subsidiary, SSLP Lending, LLC, a Delaware limited liability company. On December 8, 2022, the Company formed a wholly-owned subsidiary, Sixth Street LP Holding II, LLC, a Delaware limited liability company. On December 21, 2023, the Company formed a wholly-owned subsidiary, Sixth Street Lending Partners Sub, LLC, a Cayman Islands limited liability company. Sixth Street LP Holding, LLC has legally dissolved as of December 31, 2023.</w:t>
      </w:r>
    </w:p>
    <w:p>
      <w:pPr>
        <w:spacing w:after="0" w:line="80" w:lineRule="exact"/>
        <w:rPr>
          <w:sz w:val="20"/>
          <w:szCs w:val="20"/>
          <w:color w:val="auto"/>
        </w:rPr>
      </w:pPr>
    </w:p>
    <w:p>
      <w:pPr>
        <w:ind w:firstLine="255"/>
        <w:spacing w:after="0" w:line="274" w:lineRule="auto"/>
        <w:rPr>
          <w:sz w:val="20"/>
          <w:szCs w:val="20"/>
          <w:color w:val="auto"/>
        </w:rPr>
      </w:pPr>
      <w:r>
        <w:rPr>
          <w:rFonts w:ascii="Times New Roman" w:cs="Times New Roman" w:eastAsia="Times New Roman" w:hAnsi="Times New Roman"/>
          <w:sz w:val="17"/>
          <w:szCs w:val="17"/>
          <w:color w:val="auto"/>
        </w:rPr>
        <w:t>The Company is conducting a private offering (the “Private Offering”) of its Common Shares of beneficial interest (the “Common Shares”) to accredited investors, as defined in Regulation D under the Securities Act of 1933 (the “1933 Act”) in reliance on exemptions from the registration requirements of the 1933 Act. Common Shares will be offered for subscription continuously throughout an initial closing period and may be offered from time to time thereafter. Each investor in the Private Offering will make a capital commitment (a “Capital Commitment”) to purchase Common Shares of the Company pursuant to a subscription agreement entered into with the Company. Investors will be required to fund drawdowns to purchase the Company’s Common Shares up to the amount of their respective Capital Commitments on an as-needed basis each time the Company delivers a notice to the investors.</w:t>
      </w:r>
    </w:p>
    <w:p>
      <w:pPr>
        <w:spacing w:after="0" w:line="173"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The Company completed its initial closing of Capital Commitments and commenced its loan origination and investment activities on August 31, 2022 (“Commencement of Operations”), the date of receipt of the initial drawdown from investors in the Private Offering.</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right="200" w:firstLine="255"/>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75" w:lineRule="exact"/>
        <w:rPr>
          <w:sz w:val="20"/>
          <w:szCs w:val="20"/>
          <w:color w:val="auto"/>
        </w:rPr>
      </w:pPr>
    </w:p>
    <w:p>
      <w:pPr>
        <w:ind w:right="920" w:firstLine="255"/>
        <w:spacing w:after="0" w:line="282" w:lineRule="auto"/>
        <w:rPr>
          <w:sz w:val="20"/>
          <w:szCs w:val="20"/>
          <w:color w:val="auto"/>
        </w:rPr>
      </w:pPr>
      <w:r>
        <w:rPr>
          <w:rFonts w:ascii="Times New Roman" w:cs="Times New Roman" w:eastAsia="Times New Roman" w:hAnsi="Times New Roman"/>
          <w:sz w:val="18"/>
          <w:szCs w:val="18"/>
          <w:color w:val="auto"/>
        </w:rPr>
        <w:t xml:space="preserve">The Company is an investment company and, therefore, applies the specialized accounting and reporting guidance in Accounting Standards Codification (“ASC”) Topic 946, </w:t>
      </w:r>
      <w:r>
        <w:rPr>
          <w:rFonts w:ascii="Times New Roman" w:cs="Times New Roman" w:eastAsia="Times New Roman" w:hAnsi="Times New Roman"/>
          <w:sz w:val="18"/>
          <w:szCs w:val="18"/>
          <w:i w:val="1"/>
          <w:iCs w:val="1"/>
          <w:color w:val="auto"/>
        </w:rPr>
        <w:t>Financial Services – Investment Companies.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End</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fiscal year ends on December 31.</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ind w:right="20" w:firstLine="255"/>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8"/>
          <w:szCs w:val="18"/>
          <w:color w:val="auto"/>
        </w:rPr>
        <w:t>Cash and cash equivalents may consist of demand deposits, highly liquid investments (e.g., money market funds, U.S. Treasury notes, and similar type instruments) with original maturities of three months or less, and restricted cash pledged as collateral for certain centrally cleared derivative instruments.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i w:val="1"/>
          <w:iCs w:val="1"/>
          <w:color w:val="auto"/>
        </w:rPr>
        <w:t>Investments at Fair Value</w:t>
      </w:r>
    </w:p>
    <w:p>
      <w:pPr>
        <w:spacing w:after="0" w:line="119"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83" w:lineRule="exact"/>
        <w:rPr>
          <w:sz w:val="20"/>
          <w:szCs w:val="20"/>
          <w:color w:val="auto"/>
        </w:rPr>
      </w:pPr>
    </w:p>
    <w:p>
      <w:pPr>
        <w:ind w:right="360" w:firstLine="255"/>
        <w:spacing w:after="0" w:line="258" w:lineRule="auto"/>
        <w:rPr>
          <w:sz w:val="20"/>
          <w:szCs w:val="20"/>
          <w:color w:val="auto"/>
        </w:rPr>
      </w:pPr>
      <w:r>
        <w:rPr>
          <w:rFonts w:ascii="Times New Roman" w:cs="Times New Roman" w:eastAsia="Times New Roman" w:hAnsi="Times New Roman"/>
          <w:sz w:val="18"/>
          <w:szCs w:val="18"/>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Trustees (the “Board”), based on, among other things, the input of the Adviser, the Company’s Audit Committee and independent third-party valuation firms engaged at the direction of the Board.</w:t>
      </w:r>
    </w:p>
    <w:p>
      <w:pPr>
        <w:spacing w:after="0" w:line="183"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As part of the valuation process, the Board takes into account relevant factors in determining the fair value of its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Board undertakes a multi-step valuation process, which includes, among other procedures, the following:</w:t>
      </w:r>
    </w:p>
    <w:p>
      <w:pPr>
        <w:spacing w:after="0" w:line="117" w:lineRule="exact"/>
        <w:rPr>
          <w:sz w:val="20"/>
          <w:szCs w:val="20"/>
          <w:color w:val="auto"/>
        </w:rPr>
      </w:pPr>
    </w:p>
    <w:p>
      <w:pPr>
        <w:ind w:left="520" w:right="80" w:hanging="257"/>
        <w:spacing w:after="0" w:line="282" w:lineRule="auto"/>
        <w:tabs>
          <w:tab w:leader="none" w:pos="5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53" w:lineRule="exact"/>
        <w:rPr>
          <w:rFonts w:ascii="Times New Roman" w:cs="Times New Roman" w:eastAsia="Times New Roman" w:hAnsi="Times New Roman"/>
          <w:sz w:val="18"/>
          <w:szCs w:val="18"/>
          <w:color w:val="auto"/>
        </w:rPr>
      </w:pPr>
    </w:p>
    <w:p>
      <w:pPr>
        <w:ind w:left="520" w:right="420" w:hanging="257"/>
        <w:spacing w:after="0" w:line="282" w:lineRule="auto"/>
        <w:tabs>
          <w:tab w:leader="none" w:pos="5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management reviews the preliminary valuations with the investment professionals. Agreed upon valuation recommendations are presented to the Audit Committee.</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reviews the valuations presented and recommends values for each investment to the Board.</w:t>
      </w:r>
    </w:p>
    <w:p>
      <w:pPr>
        <w:spacing w:after="0" w:line="117" w:lineRule="exact"/>
        <w:rPr>
          <w:rFonts w:ascii="Times New Roman" w:cs="Times New Roman" w:eastAsia="Times New Roman" w:hAnsi="Times New Roman"/>
          <w:sz w:val="18"/>
          <w:szCs w:val="18"/>
          <w:color w:val="auto"/>
        </w:rPr>
      </w:pPr>
    </w:p>
    <w:p>
      <w:pPr>
        <w:ind w:left="520" w:right="100" w:hanging="257"/>
        <w:spacing w:after="0" w:line="266" w:lineRule="auto"/>
        <w:tabs>
          <w:tab w:leader="none" w:pos="5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conducts this valuation process on a quarterly basis.</w:t>
      </w:r>
    </w:p>
    <w:p>
      <w:pPr>
        <w:spacing w:after="0" w:line="225" w:lineRule="exact"/>
        <w:rPr>
          <w:sz w:val="20"/>
          <w:szCs w:val="20"/>
          <w:color w:val="auto"/>
        </w:rPr>
      </w:pPr>
    </w:p>
    <w:p>
      <w:pPr>
        <w:jc w:val="both"/>
        <w:ind w:right="140" w:firstLine="255"/>
        <w:spacing w:after="0" w:line="261" w:lineRule="auto"/>
        <w:rPr>
          <w:sz w:val="20"/>
          <w:szCs w:val="20"/>
          <w:color w:val="auto"/>
        </w:rPr>
      </w:pPr>
      <w:r>
        <w:rPr>
          <w:rFonts w:ascii="Times New Roman" w:cs="Times New Roman" w:eastAsia="Times New Roman" w:hAnsi="Times New Roman"/>
          <w:sz w:val="18"/>
          <w:szCs w:val="18"/>
          <w:color w:val="auto"/>
        </w:rPr>
        <w:t>The Board has engaged independent third-party valuation firms to perform certain limited procedures that the Board has identified and requested them to perform in connection with the valuation process. At December 31, 2023, the independent third-party valuation firms performed their procedures over substantially all of the Company’s investments. Upon completion of such limited procedures, the third-party valuation firms concluded that the fair value, as determined by the Board, of those investments subjected to their limited procedures, appeared reasonable.</w:t>
      </w:r>
    </w:p>
    <w:p>
      <w:pPr>
        <w:spacing w:after="0" w:line="178"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8"/>
          <w:szCs w:val="18"/>
          <w:color w:val="auto"/>
        </w:rPr>
        <w:t xml:space="preserve">The Company applies Financial Accounting Standards Board Accounting Standards Codification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the Company considers its principal market to be the market that has the greatest volume and level of activity. ASC Topic 820 specifies a fair value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93" w:name="page94"/>
    <w:bookmarkEnd w:id="93"/>
    <w:p>
      <w:pPr>
        <w:ind w:right="120"/>
        <w:spacing w:after="0" w:line="282" w:lineRule="auto"/>
        <w:rPr>
          <w:sz w:val="20"/>
          <w:szCs w:val="20"/>
          <w:color w:val="auto"/>
        </w:rPr>
      </w:pPr>
      <w:r>
        <w:rPr>
          <w:rFonts w:ascii="Times New Roman" w:cs="Times New Roman" w:eastAsia="Times New Roman" w:hAnsi="Times New Roman"/>
          <w:sz w:val="18"/>
          <w:szCs w:val="18"/>
          <w:color w:val="auto"/>
        </w:rPr>
        <w:t>hierarchy that prioritizes and ranks the level of observability of inputs used in determination of fair value. In accordance with ASC Topic 820, these levels are summarized below:</w:t>
      </w:r>
    </w:p>
    <w:p>
      <w:pPr>
        <w:spacing w:after="0" w:line="54" w:lineRule="exact"/>
        <w:rPr>
          <w:sz w:val="20"/>
          <w:szCs w:val="20"/>
          <w:color w:val="auto"/>
        </w:rPr>
      </w:pPr>
    </w:p>
    <w:p>
      <w:pPr>
        <w:ind w:left="520" w:hanging="257"/>
        <w:spacing w:after="0"/>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based on quoted prices in active markets for identical assets or liabilities that the Company has the ability to access.</w:t>
      </w:r>
    </w:p>
    <w:p>
      <w:pPr>
        <w:spacing w:after="0" w:line="117" w:lineRule="exact"/>
        <w:rPr>
          <w:rFonts w:ascii="Times New Roman" w:cs="Times New Roman" w:eastAsia="Times New Roman" w:hAnsi="Times New Roman"/>
          <w:sz w:val="18"/>
          <w:szCs w:val="18"/>
          <w:color w:val="auto"/>
        </w:rPr>
      </w:pPr>
    </w:p>
    <w:p>
      <w:pPr>
        <w:ind w:left="520" w:right="580" w:hanging="257"/>
        <w:spacing w:after="0" w:line="282" w:lineRule="auto"/>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based on quoted prices in markets that are not active or for which all significant inputs are observable, either directly or indirectly.</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right="120" w:firstLine="255"/>
        <w:spacing w:after="0" w:line="254" w:lineRule="auto"/>
        <w:rPr>
          <w:sz w:val="20"/>
          <w:szCs w:val="20"/>
          <w:color w:val="auto"/>
        </w:rPr>
      </w:pPr>
      <w:r>
        <w:rPr>
          <w:rFonts w:ascii="Times New Roman" w:cs="Times New Roman" w:eastAsia="Times New Roman" w:hAnsi="Times New Roman"/>
          <w:sz w:val="18"/>
          <w:szCs w:val="18"/>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Topic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88" w:lineRule="exact"/>
        <w:rPr>
          <w:sz w:val="20"/>
          <w:szCs w:val="20"/>
          <w:color w:val="auto"/>
        </w:rPr>
      </w:pPr>
    </w:p>
    <w:p>
      <w:pPr>
        <w:ind w:right="80" w:firstLine="255"/>
        <w:spacing w:after="0" w:line="256" w:lineRule="auto"/>
        <w:rPr>
          <w:sz w:val="20"/>
          <w:szCs w:val="20"/>
          <w:color w:val="auto"/>
        </w:rPr>
      </w:pPr>
      <w:r>
        <w:rPr>
          <w:rFonts w:ascii="Times New Roman" w:cs="Times New Roman" w:eastAsia="Times New Roman" w:hAnsi="Times New Roman"/>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87"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In addition, changes in the market environment including the impact of changes in broader market indices and credit spreads and other events that may occur over the life of the investments may cause the gains or losses ultimately realized on these investments to be different than the unrealized gains or losses reflected herein.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Foreign currency amounts are translated into U.S. dollars on the following basis:</w:t>
      </w:r>
    </w:p>
    <w:p>
      <w:pPr>
        <w:spacing w:after="0" w:line="117" w:lineRule="exact"/>
        <w:rPr>
          <w:sz w:val="20"/>
          <w:szCs w:val="20"/>
          <w:color w:val="auto"/>
        </w:rPr>
      </w:pPr>
    </w:p>
    <w:p>
      <w:pPr>
        <w:ind w:left="520" w:right="580" w:hanging="257"/>
        <w:spacing w:after="0" w:line="282" w:lineRule="auto"/>
        <w:tabs>
          <w:tab w:leader="none" w:pos="5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53" w:lineRule="exact"/>
        <w:rPr>
          <w:rFonts w:ascii="Times New Roman" w:cs="Times New Roman" w:eastAsia="Times New Roman" w:hAnsi="Times New Roman"/>
          <w:sz w:val="18"/>
          <w:szCs w:val="18"/>
          <w:color w:val="auto"/>
        </w:rPr>
      </w:pPr>
    </w:p>
    <w:p>
      <w:pPr>
        <w:ind w:left="520" w:hanging="257"/>
        <w:spacing w:after="0" w:line="282" w:lineRule="auto"/>
        <w:tabs>
          <w:tab w:leader="none" w:pos="5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and sales of investments, borrowings and repayments of such borrowings, income and expenses: at the rates of exchange prevailing on the respective dates of such transactions.</w:t>
      </w:r>
    </w:p>
    <w:p>
      <w:pPr>
        <w:spacing w:after="0" w:line="162" w:lineRule="exact"/>
        <w:rPr>
          <w:sz w:val="20"/>
          <w:szCs w:val="20"/>
          <w:color w:val="auto"/>
        </w:rPr>
      </w:pPr>
    </w:p>
    <w:p>
      <w:pPr>
        <w:ind w:right="100" w:firstLine="255"/>
        <w:spacing w:after="0" w:line="256" w:lineRule="auto"/>
        <w:rPr>
          <w:sz w:val="20"/>
          <w:szCs w:val="20"/>
          <w:color w:val="auto"/>
        </w:rPr>
      </w:pPr>
      <w:r>
        <w:rPr>
          <w:rFonts w:ascii="Times New Roman" w:cs="Times New Roman" w:eastAsia="Times New Roman" w:hAnsi="Times New Roman"/>
          <w:sz w:val="18"/>
          <w:szCs w:val="18"/>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Credit Facilities,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87"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 and Offering Expenses</w:t>
      </w:r>
    </w:p>
    <w:p>
      <w:pPr>
        <w:spacing w:after="0" w:line="119" w:lineRule="exact"/>
        <w:rPr>
          <w:sz w:val="20"/>
          <w:szCs w:val="20"/>
          <w:color w:val="auto"/>
        </w:rPr>
      </w:pPr>
    </w:p>
    <w:p>
      <w:pPr>
        <w:jc w:val="both"/>
        <w:ind w:right="120" w:firstLine="255"/>
        <w:spacing w:after="0" w:line="266" w:lineRule="auto"/>
        <w:rPr>
          <w:sz w:val="20"/>
          <w:szCs w:val="20"/>
          <w:color w:val="auto"/>
        </w:rPr>
      </w:pPr>
      <w:r>
        <w:rPr>
          <w:rFonts w:ascii="Times New Roman" w:cs="Times New Roman" w:eastAsia="Times New Roman" w:hAnsi="Times New Roman"/>
          <w:sz w:val="18"/>
          <w:szCs w:val="18"/>
          <w:color w:val="auto"/>
        </w:rPr>
        <w:t>Organization and offering costs will be borne by the Company and have been advanced from the Adviser subject to recoupment. Costs associated with the organization of the Company have been expensed as incurred, subject to the limitation described below. These expenses consist primarily of legal fees and other costs of organizing the Company.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4" w:name="page95"/>
    <w:bookmarkEnd w:id="94"/>
    <w:p>
      <w:pPr>
        <w:jc w:val="both"/>
        <w:ind w:right="260" w:firstLine="255"/>
        <w:spacing w:after="0" w:line="266" w:lineRule="auto"/>
        <w:rPr>
          <w:sz w:val="20"/>
          <w:szCs w:val="20"/>
          <w:color w:val="auto"/>
        </w:rPr>
      </w:pPr>
      <w:r>
        <w:rPr>
          <w:rFonts w:ascii="Times New Roman" w:cs="Times New Roman" w:eastAsia="Times New Roman" w:hAnsi="Times New Roman"/>
          <w:sz w:val="18"/>
          <w:szCs w:val="18"/>
          <w:color w:val="auto"/>
        </w:rPr>
        <w:t>Costs associated with the offering of Common Shares of the Company will be capitalized as deferred offering expenses on the Consolidated Balance Sheet and amortized over a twelve-month period from incurrence. These expenses consist primarily of legal fees and other costs incurred in connection with the Company’s private offering of its Common Shares.</w:t>
      </w:r>
    </w:p>
    <w:p>
      <w:pPr>
        <w:spacing w:after="0" w:line="68"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The Company will not bear more than an amount equal to 0.10% of the aggregate Commitments of the Company for organization and offering expenses in connection with the offering of Common Shares. If actual organization and offering costs incurred exceed 0.10% of the Company’s total Capital Commitments, the Adviser or its affiliates will bear the excess costs. To the extent that the Company’s Capital Commitments later increase, the Adviser or its affiliates may be reimbursed for past payments of excess organization and offering costs made on the Company’s behalf, provided that the total organization and offering costs borne by the Company do not exceed 0.10% of total Capital Commitments and provided further that the Adviser or its affiliates may not be reimbursed for payment of excess organization and offering expenses that were incurred more than three years prior to the proposed reimbursement.</w:t>
      </w:r>
    </w:p>
    <w:p>
      <w:pPr>
        <w:spacing w:after="0" w:line="81"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8"/>
          <w:szCs w:val="18"/>
          <w:color w:val="auto"/>
        </w:rPr>
        <w:t>As of December 31, 2023, there were no expenses borne by the Adviser subject to future recoupment. As of December 31, 2022, the Company incurred less than $0.1 million of organization and offering costs in excess of 0.10% of the Company’s total Capital Commitments, all of which have been borne by the Adviser and is subject to future recoupment. Any sales load, platform fees, servicing fees or similar fees or expenses charged directly to an investor in an offering by a placement agent or similar party will not be considered organization or offering expenses of the Company for purposes of the Company’s cap on organization and offering expenses.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 Costs</w:t>
      </w:r>
    </w:p>
    <w:p>
      <w:pPr>
        <w:spacing w:after="0" w:line="119" w:lineRule="exact"/>
        <w:rPr>
          <w:sz w:val="20"/>
          <w:szCs w:val="20"/>
          <w:color w:val="auto"/>
        </w:rPr>
      </w:pPr>
    </w:p>
    <w:p>
      <w:pPr>
        <w:ind w:right="220" w:firstLine="255"/>
        <w:spacing w:after="0" w:line="266" w:lineRule="auto"/>
        <w:rPr>
          <w:sz w:val="20"/>
          <w:szCs w:val="20"/>
          <w:color w:val="auto"/>
        </w:rPr>
      </w:pPr>
      <w:r>
        <w:rPr>
          <w:rFonts w:ascii="Times New Roman" w:cs="Times New Roman" w:eastAsia="Times New Roman" w:hAnsi="Times New Roman"/>
          <w:sz w:val="18"/>
          <w:szCs w:val="18"/>
          <w:color w:val="auto"/>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debt obligation.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Dividend Income Recognition</w:t>
      </w:r>
    </w:p>
    <w:p>
      <w:pPr>
        <w:spacing w:after="0" w:line="119"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76" w:lineRule="exact"/>
        <w:rPr>
          <w:sz w:val="20"/>
          <w:szCs w:val="20"/>
          <w:color w:val="auto"/>
        </w:rPr>
      </w:pPr>
    </w:p>
    <w:p>
      <w:pPr>
        <w:ind w:right="180" w:firstLine="255"/>
        <w:spacing w:after="0" w:line="282" w:lineRule="auto"/>
        <w:rPr>
          <w:sz w:val="20"/>
          <w:szCs w:val="20"/>
          <w:color w:val="auto"/>
        </w:rPr>
      </w:pPr>
      <w:r>
        <w:rPr>
          <w:rFonts w:ascii="Times New Roman" w:cs="Times New Roman" w:eastAsia="Times New Roman" w:hAnsi="Times New Roman"/>
          <w:sz w:val="18"/>
          <w:szCs w:val="18"/>
          <w:color w:val="auto"/>
        </w:rPr>
        <w:t>Unless providing services in connection with an investment, such as syndication, structuring or diligence, all or a portion of any loan fees received by the Company will be deferred and amortized over the investment’s life using the effective interest method.</w:t>
      </w:r>
    </w:p>
    <w:p>
      <w:pPr>
        <w:spacing w:after="0" w:line="162"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87"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receive fees for services provided to portfolio companies by the Adviser. The services that the Adviser provides vary by investment, but may include syndication, structuring, diligence fees, or other service-based fees and fees for providing managerial assistance to our portfolio companies and are recognized as revenue when earned.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119" w:lineRule="exact"/>
        <w:rPr>
          <w:sz w:val="20"/>
          <w:szCs w:val="20"/>
          <w:color w:val="auto"/>
        </w:rPr>
      </w:pPr>
    </w:p>
    <w:p>
      <w:pPr>
        <w:ind w:right="460" w:firstLine="255"/>
        <w:spacing w:after="0" w:line="266" w:lineRule="auto"/>
        <w:rPr>
          <w:sz w:val="20"/>
          <w:szCs w:val="20"/>
          <w:color w:val="auto"/>
        </w:rPr>
      </w:pPr>
      <w:r>
        <w:rPr>
          <w:rFonts w:ascii="Times New Roman" w:cs="Times New Roman" w:eastAsia="Times New Roman" w:hAnsi="Times New Roman"/>
          <w:sz w:val="18"/>
          <w:szCs w:val="18"/>
          <w:color w:val="auto"/>
        </w:rPr>
        <w:t>The Company’s earnings per share (“EPS”) amounts have been computed based on the weighted-average number of shares of Common Shares outstanding for the period. Basic EPS is computed by dividing net increase (decrease) in net assets resulting from operations by the weighted average number of shares of Common Shares outstanding during the period.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i w:val="1"/>
          <w:iCs w:val="1"/>
          <w:color w:val="auto"/>
        </w:rPr>
        <w:t>Reimbursement of Transaction-Related Expenses</w:t>
      </w:r>
    </w:p>
    <w:p>
      <w:pPr>
        <w:spacing w:after="0" w:line="119"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w:t>
      </w:r>
    </w:p>
    <w:p>
      <w:pPr>
        <w:spacing w:after="0" w:line="180" w:lineRule="exact"/>
        <w:rPr>
          <w:sz w:val="20"/>
          <w:szCs w:val="20"/>
          <w:color w:val="auto"/>
        </w:rPr>
      </w:pPr>
    </w:p>
    <w:p>
      <w:pPr>
        <w:ind w:right="80" w:firstLine="255"/>
        <w:spacing w:after="0" w:line="282" w:lineRule="auto"/>
        <w:rPr>
          <w:sz w:val="20"/>
          <w:szCs w:val="20"/>
          <w:color w:val="auto"/>
        </w:rPr>
      </w:pPr>
      <w:r>
        <w:rPr>
          <w:rFonts w:ascii="Times New Roman" w:cs="Times New Roman" w:eastAsia="Times New Roman" w:hAnsi="Times New Roman"/>
          <w:sz w:val="18"/>
          <w:szCs w:val="18"/>
          <w:color w:val="auto"/>
        </w:rPr>
        <w:t>Cash advances received in respect of transaction-related expenses are recorded as Cash and cash equivalents with an offset to Other liabilities or Other payables to affiliates. Other liabilities or Other payables to affiliates are relieved as reimbursable expenses are incurred.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Including Excise Taxes</w:t>
      </w:r>
    </w:p>
    <w:p>
      <w:pPr>
        <w:spacing w:after="0" w:line="119"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The Company has elected to be treated as a RIC under Subchapter M of the Code, and the Company intends to operate in a manner so as to continue to qualify for the tax treatment applicable to RICs. To qualify as a RIC, the Company must, among other things, distribute to its shareholders in each taxable year generally at least 90% of its investment company taxable income, as defined by the Code, and net tax-exempt income for that taxable year. To maintain its RIC status, the Company, among other things, has made and intends to continue to make the requisite distributions to its shareholders, which generally relieves the Company from corporate-level U.S. federal income taxes.</w:t>
      </w:r>
    </w:p>
    <w:p>
      <w:pPr>
        <w:spacing w:after="0" w:line="183"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 As of December 31, 2023, the Company did not have any uncertain tax positions that met the recognition or measurement criteria, nor did the Company have any unrecognized tax benefits.</w:t>
      </w:r>
    </w:p>
    <w:p>
      <w:pPr>
        <w:spacing w:after="0" w:line="187"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Depending on the level of taxable income earned in a tax year, the Company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the Company determines that the estimated current year annual taxable income will be in excess of estimated current year dividend distributions from such income, the Company accrues excise tax on estimated excess taxable income.</w:t>
      </w:r>
    </w:p>
    <w:p>
      <w:pPr>
        <w:spacing w:after="0" w:line="180" w:lineRule="exact"/>
        <w:rPr>
          <w:sz w:val="20"/>
          <w:szCs w:val="20"/>
          <w:color w:val="auto"/>
        </w:rPr>
      </w:pPr>
    </w:p>
    <w:p>
      <w:pPr>
        <w:ind w:right="80" w:firstLine="255"/>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the Company recorded a net expense of $1.5 million for U.S. federal excise tax and other taxes. For the period from April 5, 2022 (Inception) through December 31, 2022, the Company recorded a net expense of $0.2 million for U.S. federal excise tax and other taxes.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to Common Shareholders</w:t>
      </w:r>
    </w:p>
    <w:p>
      <w:pPr>
        <w:spacing w:after="0" w:line="119" w:lineRule="exact"/>
        <w:rPr>
          <w:sz w:val="20"/>
          <w:szCs w:val="20"/>
          <w:color w:val="auto"/>
        </w:rPr>
      </w:pPr>
    </w:p>
    <w:p>
      <w:pPr>
        <w:ind w:right="200" w:firstLine="255"/>
        <w:spacing w:after="0" w:line="266" w:lineRule="auto"/>
        <w:rPr>
          <w:sz w:val="20"/>
          <w:szCs w:val="20"/>
          <w:color w:val="auto"/>
        </w:rPr>
      </w:pPr>
      <w:r>
        <w:rPr>
          <w:rFonts w:ascii="Times New Roman" w:cs="Times New Roman" w:eastAsia="Times New Roman" w:hAnsi="Times New Roman"/>
          <w:sz w:val="18"/>
          <w:szCs w:val="18"/>
          <w:color w:val="auto"/>
        </w:rPr>
        <w:t>Dividends to common shareholders are recorded on the record date. 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w:t>
      </w:r>
    </w:p>
    <w:p>
      <w:pPr>
        <w:spacing w:after="0" w:line="176"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The Company has adopted a dividend reinvestment plan that provides for reinvestment of any dividends declared in cash on behalf of shareholders, unless a shareholder elects to receive cash. As a result, if the Board authorizes and declares a cash dividend, then the shareholders who have not “opted out” of the dividend reinvestment plan will have their cash dividends automatically reinvested in additional shares of the Company’s Common Shares, rather than receiving the cash dividend. The Company expects to use newly issued shares to satisfy the dividend reinvestment plan. See Note 10 for further information related to dividends.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w:t>
      </w:r>
    </w:p>
    <w:p>
      <w:pPr>
        <w:spacing w:after="0" w:line="227" w:lineRule="exact"/>
        <w:rPr>
          <w:sz w:val="20"/>
          <w:szCs w:val="20"/>
          <w:color w:val="auto"/>
        </w:rPr>
      </w:pPr>
    </w:p>
    <w:p>
      <w:pPr>
        <w:ind w:right="200" w:firstLine="255"/>
        <w:spacing w:after="0" w:line="258" w:lineRule="auto"/>
        <w:rPr>
          <w:sz w:val="20"/>
          <w:szCs w:val="20"/>
          <w:color w:val="auto"/>
        </w:rPr>
      </w:pPr>
      <w:r>
        <w:rPr>
          <w:rFonts w:ascii="Times New Roman" w:cs="Times New Roman" w:eastAsia="Times New Roman" w:hAnsi="Times New Roman"/>
          <w:sz w:val="18"/>
          <w:szCs w:val="18"/>
          <w:color w:val="auto"/>
        </w:rPr>
        <w:t>In December 2022, the Financial Accounting Standards Board issued Accounting Standards Update 2022-06 (“ASU 2022-06”) “Reference Rate Reform (Topic 848): Deferral of the Sunset Date of Topic 848.” Topic 848 provides optional expedients and exceptions for applying generally accepted accounting principles to contract modifications and hedging relationships, subject to meeting certain criteria, that reference LIBOR or another reference rate expected to be discontinued. ASU 2022-06 defers the sunset date of Topic 848 from December 31, 2022, to December 31, 2024, after which entities will no longer be permitted to apply the relief</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7" w:right="399" w:bottom="1440" w:gutter="0" w:footer="0" w:header="0"/>
        </w:sectPr>
      </w:pPr>
    </w:p>
    <w:bookmarkStart w:id="96" w:name="page97"/>
    <w:bookmarkEnd w:id="96"/>
    <w:p>
      <w:pPr>
        <w:ind w:right="460"/>
        <w:spacing w:after="0" w:line="282" w:lineRule="auto"/>
        <w:rPr>
          <w:sz w:val="20"/>
          <w:szCs w:val="20"/>
          <w:color w:val="auto"/>
        </w:rPr>
      </w:pPr>
      <w:r>
        <w:rPr>
          <w:rFonts w:ascii="Times New Roman" w:cs="Times New Roman" w:eastAsia="Times New Roman" w:hAnsi="Times New Roman"/>
          <w:sz w:val="18"/>
          <w:szCs w:val="18"/>
          <w:color w:val="auto"/>
        </w:rPr>
        <w:t>in Topic 848. ASU 2022-06 is effective for all entities in scope upon issuance of ASU 2022-06. The adoption of this guidance did not have a material impact on the Company’s financial position, result of operations or cash flows</w:t>
      </w:r>
      <w:r>
        <w:rPr>
          <w:rFonts w:ascii="Times New Roman" w:cs="Times New Roman" w:eastAsia="Times New Roman" w:hAnsi="Times New Roman"/>
          <w:sz w:val="18"/>
          <w:szCs w:val="18"/>
          <w:i w:val="1"/>
          <w:iCs w:val="1"/>
          <w:color w:val="auto"/>
        </w:rPr>
        <w: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Agreements and Related Party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 Agreement</w:t>
      </w:r>
    </w:p>
    <w:p>
      <w:pPr>
        <w:spacing w:after="0" w:line="119"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On June 28, 2022,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shareholders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pacing w:after="0" w:line="79"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On November 2, 2023, the Board renewed the Administration Agreement. Unless earlier terminated as described below, the Administration Agreement will remain in effect until November 2, 2024, and may be extended subject to required approvals. The Administration Agreement may be terminated by either party without penalty on 60 days’ written notice to the other party.</w:t>
      </w:r>
    </w:p>
    <w:p>
      <w:pPr>
        <w:spacing w:after="0" w:line="68" w:lineRule="exact"/>
        <w:rPr>
          <w:sz w:val="20"/>
          <w:szCs w:val="20"/>
          <w:color w:val="auto"/>
        </w:rPr>
      </w:pPr>
    </w:p>
    <w:p>
      <w:pPr>
        <w:ind w:right="60" w:firstLine="255"/>
        <w:spacing w:after="0" w:line="253" w:lineRule="auto"/>
        <w:rPr>
          <w:sz w:val="20"/>
          <w:szCs w:val="20"/>
          <w:color w:val="auto"/>
        </w:rPr>
      </w:pPr>
      <w:r>
        <w:rPr>
          <w:rFonts w:ascii="Times New Roman" w:cs="Times New Roman" w:eastAsia="Times New Roman" w:hAnsi="Times New Roman"/>
          <w:sz w:val="18"/>
          <w:szCs w:val="18"/>
          <w:color w:val="auto"/>
        </w:rPr>
        <w:t>No person who is an officer, trustee or employee of the Adviser or its affiliates and who serves as a trustee of the Company receives any compensation from the Company for his or her services as a trustee. However, the Company reimburses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 allocable portion of the compensation paid by the Adviser or its affiliates to the Company’s Chief Financial Officer, Chief Compliance Officer, and other professionals who provide operational and administrative services to us pursuant to the Administration Agreement, including individuals who provide “back office” or “middle office” financial, operational, legal and/or compliance services to us. The Company reimburses the Adviser (or its affiliates) for the allocable portion of the compensation paid by the Adviser (or its affiliates) to such individuals based on the percentage of time those individuals devote, on an estimated basis, to the business and affairs of the Company and in acting on behalf of the Company. The Company may also reimburse the Adviser or its affiliates for the allocable portion of overhead expenses (including rent, office equipment and utilities) attributable thereto. Trustees who are not affiliated with the Adviser receive compensation for their services and reimbursement of expenses incurred to attend meetings.</w:t>
      </w:r>
    </w:p>
    <w:p>
      <w:pPr>
        <w:spacing w:after="0" w:line="190"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the Company has incurred $2.7 million for administrative services payable to the Adviser under the terms of the Administration Agreement, which is included in other general and administrative expenses in the Consolidated Statements of Operations. For the period from April 5, 2022 (Inception) through December 31, 2022, the Company incurred expenses of $0.5 million for administrative services payable to the Adviser under the terms of the Administration Agreement.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Advisory Agreement</w:t>
      </w:r>
    </w:p>
    <w:p>
      <w:pPr>
        <w:spacing w:after="0" w:line="119"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On June 28, 2022, the Company entered into the Investment Advisory Agreement with the Adviser.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a base management fee (the “Management Fee”) and may also pay an incentive fee (the “Incentive Fee”).</w:t>
      </w:r>
    </w:p>
    <w:p>
      <w:pPr>
        <w:spacing w:after="0" w:line="75" w:lineRule="exact"/>
        <w:rPr>
          <w:sz w:val="20"/>
          <w:szCs w:val="20"/>
          <w:color w:val="auto"/>
        </w:rPr>
      </w:pPr>
    </w:p>
    <w:p>
      <w:pPr>
        <w:jc w:val="both"/>
        <w:ind w:right="60" w:firstLine="255"/>
        <w:spacing w:after="0" w:line="266" w:lineRule="auto"/>
        <w:rPr>
          <w:sz w:val="20"/>
          <w:szCs w:val="20"/>
          <w:color w:val="auto"/>
        </w:rPr>
      </w:pPr>
      <w:r>
        <w:rPr>
          <w:rFonts w:ascii="Times New Roman" w:cs="Times New Roman" w:eastAsia="Times New Roman" w:hAnsi="Times New Roman"/>
          <w:sz w:val="18"/>
          <w:szCs w:val="18"/>
          <w:color w:val="auto"/>
        </w:rPr>
        <w:t>On November 2, 2023, the Board renewed the Investment Advisory Agreement. Unless earlier terminated as described below, the Investment Advisory Agreement will remain in effect until November 2, 2024, and may be extended subject to required approvals. The Investment Advisory Agreement may be terminated by either party without penalty on 60 days’ written notice to the other party.</w:t>
      </w:r>
    </w:p>
    <w:p>
      <w:pPr>
        <w:spacing w:after="0" w:line="68"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The Management Fee shall be calculated at an annual rate of 1.25% of the Company’s gross assets, payable quarterly in arrears. The Management Fee will be calculated based on the average value of the Company’s gross assets at the end of the two most recently completed calendar quarters, and appropriately adjusted for any share issuances or repurchases during the current calendar quarter. Management Fees for any partial month or quarter will be appropriately prorated.</w:t>
      </w:r>
    </w:p>
    <w:p>
      <w:pPr>
        <w:spacing w:after="0" w:line="180" w:lineRule="exact"/>
        <w:rPr>
          <w:sz w:val="20"/>
          <w:szCs w:val="20"/>
          <w:color w:val="auto"/>
        </w:rPr>
      </w:pPr>
    </w:p>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Management Fees (gross of waivers) were $25.2 million. For the period from April 5, 2022 (Inception) through December 31, 2022, Management Fees (gross of waivers) were $2.7 million.</w:t>
      </w:r>
    </w:p>
    <w:p>
      <w:pPr>
        <w:spacing w:after="0" w:line="162"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8"/>
          <w:szCs w:val="18"/>
          <w:color w:val="auto"/>
        </w:rPr>
        <w:t>Prior to any Exchange Listing that may occur, the Adviser will waive its right to receive Management Fees in excess of the sum of 1.00% of the Company’s average aggregate drawn capital (including capital drawn to pay Company expenses) as of the end of the two most recently completed calendar quarters, appropriately adjusted for any share issuances or repurchases during the relevant calendar quarter. The fee waiver will terminate if and when the Company consummates an Exchange Listing. For the year ended December 31, 2023, Management Fees of $16.7 million have been waived. For the period from April 5, 2022 (Inception) through December 31,</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color w:val="auto"/>
        </w:rPr>
        <w:t>2022, Management Fees of $2.0 million have been waived. Any waived Management Fees are not subject to recoupment by the Adviser.</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Incentive Fee consists of two parts, as follows:</w:t>
      </w:r>
    </w:p>
    <w:p>
      <w:pPr>
        <w:spacing w:after="0" w:line="117" w:lineRule="exact"/>
        <w:rPr>
          <w:sz w:val="20"/>
          <w:szCs w:val="20"/>
          <w:color w:val="auto"/>
        </w:rPr>
      </w:pPr>
    </w:p>
    <w:p>
      <w:pPr>
        <w:ind w:left="520" w:right="260" w:hanging="257"/>
        <w:spacing w:after="0" w:line="261" w:lineRule="auto"/>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component, payable at the end of each quarter in arrears, will equal 100% of the excess of pre-Incentive Fee net investment income in excess of a 1.5% quarterly hurdle rate, until the Adviser has received 12.5% (17.5% subsequent to an Exchange Listing) of total net investment income for that quarter, and 12.5% (17.5% subsequent to an Exchange Listing) of all remaining pre-Incentive Fee net investment income for that quarter.</w:t>
      </w:r>
    </w:p>
    <w:p>
      <w:pPr>
        <w:spacing w:after="0" w:line="71" w:lineRule="exact"/>
        <w:rPr>
          <w:rFonts w:ascii="Times New Roman" w:cs="Times New Roman" w:eastAsia="Times New Roman" w:hAnsi="Times New Roman"/>
          <w:sz w:val="18"/>
          <w:szCs w:val="18"/>
          <w:color w:val="auto"/>
        </w:rPr>
      </w:pPr>
    </w:p>
    <w:p>
      <w:pPr>
        <w:ind w:left="52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Pre-Incentive Fee net investment income means dividends (including reinvested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shares, but excluding the Incentive Fee). Pre-Incentive Fee net investment income includes, in the case of investments with a deferred interest feature (such as original issue discount, debt instruments with pay-in-kind interest and zero coupon securities), accrued income that the Company has not yet received in cash. Pre-Incentive Fee net investment income does not include any realized capital gains, realized capital losses or unrealized capital appreciation or depreciation.</w:t>
      </w:r>
    </w:p>
    <w:p>
      <w:pPr>
        <w:spacing w:after="0" w:line="80" w:lineRule="exact"/>
        <w:rPr>
          <w:rFonts w:ascii="Times New Roman" w:cs="Times New Roman" w:eastAsia="Times New Roman" w:hAnsi="Times New Roman"/>
          <w:sz w:val="18"/>
          <w:szCs w:val="18"/>
          <w:color w:val="auto"/>
        </w:rPr>
      </w:pPr>
    </w:p>
    <w:p>
      <w:pPr>
        <w:ind w:left="520" w:right="20" w:hanging="257"/>
        <w:spacing w:after="0" w:line="253" w:lineRule="auto"/>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component, payable at the end of each fiscal year in arrears, will, prior to an Exchange Listing, equal 12.5% of cumulative realized capital gains from the inception of the Company to the end of such fiscal year, less the aggregate amount of any previously paid capital gain Incentive Fee for prior periods (the “Capital Gains Fee”). Following an Exchange Listing, the Capital Gains Fee will equal a weighted percentage of the Company’s realized capital gains, if any, on a cumulative basis as between the inception of the Company to an Exchange Listing and from such Exchange Listing to the end of such fiscal year. The weighted percentage is intended to ensure that for each fiscal year following an Exchange Listing, the portion of the Company’s realized capital gains that accrued prior to an Exchange Listing will be subject to an Incentive Fee rate of</w:t>
      </w:r>
    </w:p>
    <w:p>
      <w:pPr>
        <w:spacing w:after="0" w:line="5"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12.5% and the portion of the Company’s realized capital gains that accrued following an Exchange Listing will be subject to an Incentive Fee rate of</w:t>
      </w:r>
    </w:p>
    <w:p>
      <w:pPr>
        <w:spacing w:after="0" w:line="20"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w:t>
      </w:r>
    </w:p>
    <w:p>
      <w:pPr>
        <w:spacing w:after="0" w:line="207" w:lineRule="exact"/>
        <w:rPr>
          <w:sz w:val="20"/>
          <w:szCs w:val="20"/>
          <w:color w:val="auto"/>
        </w:rPr>
      </w:pPr>
    </w:p>
    <w:p>
      <w:pPr>
        <w:ind w:right="420" w:firstLine="255"/>
        <w:spacing w:after="0" w:line="282" w:lineRule="auto"/>
        <w:rPr>
          <w:sz w:val="20"/>
          <w:szCs w:val="20"/>
          <w:color w:val="auto"/>
        </w:rPr>
      </w:pPr>
      <w:r>
        <w:rPr>
          <w:rFonts w:ascii="Times New Roman" w:cs="Times New Roman" w:eastAsia="Times New Roman" w:hAnsi="Times New Roman"/>
          <w:sz w:val="18"/>
          <w:szCs w:val="18"/>
          <w:color w:val="auto"/>
        </w:rPr>
        <w:t>For purposes of determining whether pre-Incentive Fee net investment income exceeds the hurdle rate, pre-Incentive Fee net investment income is expressed as a rate of return on the average daily hurdle calculation value throughout the immediately preceding calendar quarter.</w:t>
      </w:r>
    </w:p>
    <w:p>
      <w:pPr>
        <w:spacing w:after="0" w:line="54" w:lineRule="exact"/>
        <w:rPr>
          <w:sz w:val="20"/>
          <w:szCs w:val="20"/>
          <w:color w:val="auto"/>
        </w:rPr>
      </w:pPr>
    </w:p>
    <w:p>
      <w:pPr>
        <w:ind w:right="180" w:firstLine="255"/>
        <w:spacing w:after="0" w:line="282" w:lineRule="auto"/>
        <w:rPr>
          <w:sz w:val="20"/>
          <w:szCs w:val="20"/>
          <w:color w:val="auto"/>
        </w:rPr>
      </w:pPr>
      <w:r>
        <w:rPr>
          <w:rFonts w:ascii="Times New Roman" w:cs="Times New Roman" w:eastAsia="Times New Roman" w:hAnsi="Times New Roman"/>
          <w:sz w:val="18"/>
          <w:szCs w:val="18"/>
          <w:color w:val="auto"/>
        </w:rPr>
        <w:t>Section 205(b)(3) of the Investment Advisers Act of 1940, as amended, or the Advisers Act, prohibits the Adviser from receiving the payment of fees on unrealized gains until those gains are realized, if ever. There can be no assurance that such unrealized gains will be realized in the future.</w:t>
      </w:r>
    </w:p>
    <w:p>
      <w:pPr>
        <w:spacing w:after="0" w:line="162" w:lineRule="exact"/>
        <w:rPr>
          <w:sz w:val="20"/>
          <w:szCs w:val="20"/>
          <w:color w:val="auto"/>
        </w:rPr>
      </w:pPr>
    </w:p>
    <w:p>
      <w:pPr>
        <w:ind w:right="140" w:firstLine="255"/>
        <w:spacing w:after="0" w:line="289" w:lineRule="auto"/>
        <w:rPr>
          <w:sz w:val="20"/>
          <w:szCs w:val="20"/>
          <w:color w:val="auto"/>
        </w:rPr>
      </w:pPr>
      <w:r>
        <w:rPr>
          <w:rFonts w:ascii="Times New Roman" w:cs="Times New Roman" w:eastAsia="Times New Roman" w:hAnsi="Times New Roman"/>
          <w:sz w:val="17"/>
          <w:szCs w:val="17"/>
          <w:color w:val="auto"/>
        </w:rPr>
        <w:t>For the year ended December 31, 2023, Incentive Fees on net investment income were $19.3 million. For the period from April 5, 2022 (Inception) through December 31, 2022, the Company recorded $1.0 million of Incentive Fees on net investment income. For the year ended December 31, 2023 the Company had an accrual of $6.7 million related to Capital Gains Fees. For the year ended December 31, 2022 there was no accrual of Capital Gains Fees.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 Support Agreement</w:t>
      </w:r>
    </w:p>
    <w:p>
      <w:pPr>
        <w:spacing w:after="0" w:line="227"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On June 28, 2022, the Company entered into an expense support and conditional reimbursement agreement (the “Expense Support Agreement”) with the Adviser. The Expense Support Agreement provides that, at such times as the Adviser determines, the Adviser may pay certain expenses of the Company, provided that no portion of the payment will be used to pay any interest (each an “Expense Payment”). Such Expense Payment will be made in any combination of cash or other immediately available funds no later than forty-five days after a written commitment from the Adviser to pay such expense, and/or by an offset against amounts due from us to the Adviser or its affiliates. Following any calendar quarter in which Available Operating Funds (as defined in the Expense Support Agreement) exceed the cumulative distributions accrued to the Company's shareholders based on distributions declared with respect to record dates occurring in such calendar quarter (such amount referred to as the “Excess Operating Funds”), the Company shall pay such Excess Operating Funds, or a portion thereof (each, a “Reimbursement Payment”), to the Adviser until such time as all Expense Payments made by the Adviser to us within three years prior to the last business day of such calendar quarter have been reimbursed. The amount of the Reimbursement Payment for any calendar quarter shall equal the lesser of (i) the Excess Operating Funds in such quarter and (ii) the aggregate amount of all Expense Payments made by the Adviser to us within three years prior to the last business day of such calendar quarter that have not been previously reimbursed by us to the Adviser. The Adviser may waive its right to receive all or a portion of any Reimbursement Payment in any particular calendar quarter, so that such Reimbursement Payment may be reimbursable in a future calendar quarter.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8" w:name="page99"/>
    <w:bookmarkEnd w:id="98"/>
    <w:p>
      <w:pPr>
        <w:ind w:right="240" w:firstLine="255"/>
        <w:spacing w:after="0" w:line="282" w:lineRule="auto"/>
        <w:rPr>
          <w:sz w:val="20"/>
          <w:szCs w:val="20"/>
          <w:color w:val="auto"/>
        </w:rPr>
      </w:pPr>
      <w:r>
        <w:rPr>
          <w:rFonts w:ascii="Times New Roman" w:cs="Times New Roman" w:eastAsia="Times New Roman" w:hAnsi="Times New Roman"/>
          <w:sz w:val="18"/>
          <w:szCs w:val="18"/>
          <w:color w:val="auto"/>
        </w:rPr>
        <w:t>As of December 31, 2023 and December 31, 2022, the Adviser had not provided any written commitments for Expense Payments. The Company has not made any Reimbursement Payments to the Adviser. The Company may or may not reimburse remaining expense support in the future.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at Fair Value</w:t>
      </w:r>
    </w:p>
    <w:p>
      <w:pPr>
        <w:spacing w:after="0" w:line="121" w:lineRule="exact"/>
        <w:rPr>
          <w:sz w:val="20"/>
          <w:szCs w:val="20"/>
          <w:color w:val="auto"/>
        </w:rPr>
      </w:pPr>
    </w:p>
    <w:p>
      <w:pPr>
        <w:ind w:right="180" w:firstLine="255"/>
        <w:spacing w:after="0" w:line="255" w:lineRule="auto"/>
        <w:rPr>
          <w:sz w:val="20"/>
          <w:szCs w:val="20"/>
          <w:color w:val="auto"/>
        </w:rPr>
      </w:pPr>
      <w:r>
        <w:rPr>
          <w:rFonts w:ascii="Times New Roman" w:cs="Times New Roman" w:eastAsia="Times New Roman" w:hAnsi="Times New Roman"/>
          <w:sz w:val="18"/>
          <w:szCs w:val="18"/>
          <w:color w:val="auto"/>
        </w:rPr>
        <w:t>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Investments at fair value consisted of the following at December 31, 2023 and December 31, 2022:</w:t>
      </w:r>
    </w:p>
    <w:p>
      <w:pPr>
        <w:spacing w:after="0" w:line="273" w:lineRule="exact"/>
        <w:rPr>
          <w:sz w:val="20"/>
          <w:szCs w:val="20"/>
          <w:color w:val="auto"/>
        </w:rPr>
      </w:pPr>
    </w:p>
    <w:tbl>
      <w:tblPr>
        <w:tblLayout w:type="fixed"/>
        <w:tblInd w:w="1580" w:type="dxa"/>
        <w:tblCellMar>
          <w:top w:w="0" w:type="dxa"/>
          <w:left w:w="0" w:type="dxa"/>
          <w:bottom w:w="0" w:type="dxa"/>
          <w:right w:w="0" w:type="dxa"/>
        </w:tblCellMar>
      </w:tblPr>
      <w:tr>
        <w:trPr>
          <w:trHeight w:val="187"/>
        </w:trPr>
        <w:tc>
          <w:tcPr>
            <w:tcW w:w="3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 xml:space="preserve">Amortized Cost </w:t>
            </w:r>
            <w:r>
              <w:rPr>
                <w:rFonts w:ascii="Times New Roman" w:cs="Times New Roman" w:eastAsia="Times New Roman" w:hAnsi="Times New Roman"/>
                <w:sz w:val="19"/>
                <w:szCs w:val="19"/>
                <w:b w:val="1"/>
                <w:bCs w:val="1"/>
                <w:color w:val="auto"/>
                <w:vertAlign w:val="superscript"/>
              </w:rPr>
              <w:t>(1)</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right"/>
              <w:ind w:right="76"/>
              <w:spacing w:after="0" w:line="131"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06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2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2,792,928</w:t>
            </w:r>
          </w:p>
        </w:tc>
        <w:tc>
          <w:tcPr>
            <w:tcW w:w="400" w:type="dxa"/>
            <w:vAlign w:val="bottom"/>
            <w:gridSpan w:val="2"/>
            <w:shd w:val="clear" w:color="auto" w:fill="CFF0FC"/>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2,850,885</w:t>
            </w:r>
          </w:p>
        </w:tc>
        <w:tc>
          <w:tcPr>
            <w:tcW w:w="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57,957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200" w:type="dxa"/>
            <w:vAlign w:val="bottom"/>
          </w:tcPr>
          <w:p>
            <w:pPr>
              <w:spacing w:after="0"/>
              <w:rPr>
                <w:sz w:val="20"/>
                <w:szCs w:val="20"/>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77,895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79,091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06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20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104,352</w:t>
            </w:r>
          </w:p>
        </w:tc>
        <w:tc>
          <w:tcPr>
            <w:tcW w:w="20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106,524</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62,651</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62,651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3060" w:type="dxa"/>
            <w:vAlign w:val="bottom"/>
            <w:tcBorders>
              <w:bottom w:val="single" w:sz="8" w:color="CFF0FC"/>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0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3,037,826</w:t>
            </w:r>
          </w:p>
        </w:tc>
        <w:tc>
          <w:tcPr>
            <w:tcW w:w="200" w:type="dxa"/>
            <w:vAlign w:val="bottom"/>
            <w:tcBorders>
              <w:bottom w:val="single" w:sz="8" w:color="CFF0FC"/>
              <w:right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27"/>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3,099,151</w:t>
            </w:r>
          </w:p>
        </w:tc>
        <w:tc>
          <w:tcPr>
            <w:tcW w:w="180" w:type="dxa"/>
            <w:vAlign w:val="bottom"/>
            <w:tcBorders>
              <w:bottom w:val="single" w:sz="8" w:color="CFF0FC"/>
            </w:tcBorders>
            <w:gridSpan w:val="2"/>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61,325</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30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 xml:space="preserve">Amortized Cost </w:t>
            </w:r>
            <w:r>
              <w:rPr>
                <w:rFonts w:ascii="Times New Roman" w:cs="Times New Roman" w:eastAsia="Times New Roman" w:hAnsi="Times New Roman"/>
                <w:sz w:val="19"/>
                <w:szCs w:val="19"/>
                <w:b w:val="1"/>
                <w:bCs w:val="1"/>
                <w:color w:val="auto"/>
                <w:vertAlign w:val="superscript"/>
              </w:rPr>
              <w:t>(1)</w:t>
            </w:r>
          </w:p>
        </w:tc>
        <w:tc>
          <w:tcPr>
            <w:tcW w:w="8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right"/>
              <w:ind w:right="116"/>
              <w:spacing w:after="0" w:line="131"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06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801,223</w:t>
            </w:r>
          </w:p>
        </w:tc>
        <w:tc>
          <w:tcPr>
            <w:tcW w:w="8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67"/>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800,995</w:t>
            </w:r>
          </w:p>
        </w:tc>
        <w:tc>
          <w:tcPr>
            <w:tcW w:w="160" w:type="dxa"/>
            <w:vAlign w:val="bottom"/>
            <w:shd w:val="clear" w:color="auto" w:fill="CFF0FC"/>
          </w:tcPr>
          <w:p>
            <w:pPr>
              <w:spacing w:after="0"/>
              <w:rPr>
                <w:sz w:val="20"/>
                <w:szCs w:val="20"/>
                <w:color w:val="auto"/>
              </w:rPr>
            </w:pPr>
          </w:p>
        </w:tc>
        <w:tc>
          <w:tcPr>
            <w:tcW w:w="28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0" w:type="dxa"/>
            <w:vAlign w:val="bottom"/>
          </w:tcPr>
          <w:p>
            <w:pPr>
              <w:spacing w:after="0"/>
              <w:rPr>
                <w:sz w:val="1"/>
                <w:szCs w:val="1"/>
                <w:color w:val="auto"/>
              </w:rPr>
            </w:pPr>
          </w:p>
        </w:tc>
      </w:tr>
      <w:tr>
        <w:trPr>
          <w:trHeight w:val="239"/>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306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809,029</w:t>
            </w:r>
          </w:p>
        </w:tc>
        <w:tc>
          <w:tcPr>
            <w:tcW w:w="80" w:type="dxa"/>
            <w:vAlign w:val="bottom"/>
            <w:shd w:val="clear" w:color="auto" w:fill="CFF0FC"/>
          </w:tcPr>
          <w:p>
            <w:pPr>
              <w:spacing w:after="0"/>
              <w:rPr>
                <w:sz w:val="22"/>
                <w:szCs w:val="22"/>
                <w:color w:val="auto"/>
              </w:rPr>
            </w:pPr>
          </w:p>
        </w:tc>
        <w:tc>
          <w:tcPr>
            <w:tcW w:w="200" w:type="dxa"/>
            <w:vAlign w:val="bottom"/>
            <w:tcBorders>
              <w:right w:val="single" w:sz="8" w:color="CFF0FC"/>
            </w:tcBorders>
            <w:shd w:val="clear" w:color="auto" w:fill="CFF0FC"/>
          </w:tcPr>
          <w:p>
            <w:pPr>
              <w:spacing w:after="0"/>
              <w:rPr>
                <w:sz w:val="22"/>
                <w:szCs w:val="22"/>
                <w:color w:val="auto"/>
              </w:rPr>
            </w:pPr>
          </w:p>
        </w:tc>
        <w:tc>
          <w:tcPr>
            <w:tcW w:w="20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808,801</w:t>
            </w:r>
          </w:p>
        </w:tc>
        <w:tc>
          <w:tcPr>
            <w:tcW w:w="1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0" w:type="dxa"/>
            <w:vAlign w:val="bottom"/>
          </w:tcPr>
          <w:p>
            <w:pPr>
              <w:spacing w:after="0"/>
              <w:rPr>
                <w:sz w:val="1"/>
                <w:szCs w:val="1"/>
                <w:color w:val="auto"/>
              </w:rPr>
            </w:pPr>
          </w:p>
        </w:tc>
      </w:tr>
      <w:tr>
        <w:trPr>
          <w:trHeight w:val="20"/>
        </w:trPr>
        <w:tc>
          <w:tcPr>
            <w:tcW w:w="30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-1053465</wp:posOffset>
            </wp:positionV>
            <wp:extent cx="514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-1036320</wp:posOffset>
            </wp:positionV>
            <wp:extent cx="514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-1053465</wp:posOffset>
            </wp:positionV>
            <wp:extent cx="514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-1036320</wp:posOffset>
            </wp:positionV>
            <wp:extent cx="5143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-1053465</wp:posOffset>
            </wp:positionV>
            <wp:extent cx="431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-1036320</wp:posOffset>
            </wp:positionV>
            <wp:extent cx="431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-24765</wp:posOffset>
            </wp:positionV>
            <wp:extent cx="5143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-7620</wp:posOffset>
            </wp:positionV>
            <wp:extent cx="5143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-24765</wp:posOffset>
            </wp:positionV>
            <wp:extent cx="5143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5143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4318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431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ind w:left="520" w:right="120" w:hanging="512"/>
        <w:spacing w:after="0" w:line="282" w:lineRule="auto"/>
        <w:tabs>
          <w:tab w:leader="none" w:pos="5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or premiums, as applicable, on debt investments using the effective interest method.</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industry composition of investments at fair value at December 31, 2023 and December 31, 2022,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36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920" w:type="dxa"/>
            <w:vAlign w:val="bottom"/>
            <w:gridSpan w:val="3"/>
          </w:tcPr>
          <w:p>
            <w:pPr>
              <w:jc w:val="right"/>
              <w:ind w:right="19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17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1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6"/>
                <w:szCs w:val="16"/>
                <w:color w:val="auto"/>
              </w:rPr>
            </w:pPr>
          </w:p>
        </w:tc>
        <w:tc>
          <w:tcPr>
            <w:tcW w:w="11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37"/>
        </w:trPr>
        <w:tc>
          <w:tcPr>
            <w:tcW w:w="1700" w:type="dxa"/>
            <w:vAlign w:val="bottom"/>
          </w:tcPr>
          <w:p>
            <w:pPr>
              <w:spacing w:after="0"/>
              <w:rPr>
                <w:sz w:val="20"/>
                <w:szCs w:val="20"/>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Automotive</w:t>
            </w:r>
          </w:p>
        </w:tc>
        <w:tc>
          <w:tcPr>
            <w:tcW w:w="3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0"/>
                <w:szCs w:val="20"/>
                <w:color w:val="auto"/>
              </w:rPr>
            </w:pPr>
          </w:p>
        </w:tc>
      </w:tr>
      <w:tr>
        <w:trPr>
          <w:trHeight w:val="234"/>
        </w:trPr>
        <w:tc>
          <w:tcPr>
            <w:tcW w:w="170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Business Services</w:t>
            </w:r>
          </w:p>
        </w:tc>
        <w:tc>
          <w:tcPr>
            <w:tcW w:w="3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2920" w:type="dxa"/>
            <w:vAlign w:val="bottom"/>
            <w:gridSpan w:val="3"/>
          </w:tcPr>
          <w:p>
            <w:pPr>
              <w:jc w:val="right"/>
              <w:ind w:right="1600"/>
              <w:spacing w:after="0"/>
              <w:rPr>
                <w:sz w:val="20"/>
                <w:szCs w:val="20"/>
                <w:color w:val="auto"/>
              </w:rPr>
            </w:pPr>
            <w:r>
              <w:rPr>
                <w:rFonts w:ascii="Times New Roman" w:cs="Times New Roman" w:eastAsia="Times New Roman" w:hAnsi="Times New Roman"/>
                <w:sz w:val="18"/>
                <w:szCs w:val="18"/>
                <w:color w:val="auto"/>
              </w:rPr>
              <w:t>0.8 %</w:t>
            </w:r>
          </w:p>
        </w:tc>
      </w:tr>
      <w:tr>
        <w:trPr>
          <w:trHeight w:val="238"/>
        </w:trPr>
        <w:tc>
          <w:tcPr>
            <w:tcW w:w="170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Chemicals</w:t>
            </w:r>
          </w:p>
        </w:tc>
        <w:tc>
          <w:tcPr>
            <w:tcW w:w="3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2920" w:type="dxa"/>
            <w:vAlign w:val="bottom"/>
            <w:gridSpan w:val="3"/>
          </w:tcPr>
          <w:p>
            <w:pPr>
              <w:jc w:val="right"/>
              <w:ind w:right="1600"/>
              <w:spacing w:after="0"/>
              <w:rPr>
                <w:sz w:val="20"/>
                <w:szCs w:val="20"/>
                <w:color w:val="auto"/>
              </w:rPr>
            </w:pPr>
            <w:r>
              <w:rPr>
                <w:rFonts w:ascii="Times New Roman" w:cs="Times New Roman" w:eastAsia="Times New Roman" w:hAnsi="Times New Roman"/>
                <w:sz w:val="18"/>
                <w:szCs w:val="18"/>
                <w:color w:val="auto"/>
              </w:rPr>
              <w:t>2.4 %</w:t>
            </w:r>
          </w:p>
        </w:tc>
      </w:tr>
      <w:tr>
        <w:trPr>
          <w:trHeight w:val="243"/>
        </w:trPr>
        <w:tc>
          <w:tcPr>
            <w:tcW w:w="1700" w:type="dxa"/>
            <w:vAlign w:val="bottom"/>
          </w:tcPr>
          <w:p>
            <w:pPr>
              <w:spacing w:after="0"/>
              <w:rPr>
                <w:sz w:val="21"/>
                <w:szCs w:val="21"/>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3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2920" w:type="dxa"/>
            <w:vAlign w:val="bottom"/>
            <w:gridSpan w:val="3"/>
          </w:tcPr>
          <w:p>
            <w:pPr>
              <w:jc w:val="right"/>
              <w:ind w:right="17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700" w:type="dxa"/>
            <w:vAlign w:val="bottom"/>
          </w:tcPr>
          <w:p>
            <w:pPr>
              <w:spacing w:after="0"/>
              <w:rPr>
                <w:sz w:val="22"/>
                <w:szCs w:val="22"/>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Education</w:t>
            </w:r>
          </w:p>
        </w:tc>
        <w:tc>
          <w:tcPr>
            <w:tcW w:w="3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2"/>
                <w:szCs w:val="22"/>
                <w:color w:val="auto"/>
              </w:rPr>
            </w:pPr>
          </w:p>
        </w:tc>
      </w:tr>
      <w:tr>
        <w:trPr>
          <w:trHeight w:val="234"/>
        </w:trPr>
        <w:tc>
          <w:tcPr>
            <w:tcW w:w="170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3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2920" w:type="dxa"/>
            <w:vAlign w:val="bottom"/>
            <w:gridSpan w:val="3"/>
          </w:tcPr>
          <w:p>
            <w:pPr>
              <w:jc w:val="right"/>
              <w:ind w:right="1600"/>
              <w:spacing w:after="0"/>
              <w:rPr>
                <w:sz w:val="20"/>
                <w:szCs w:val="20"/>
                <w:color w:val="auto"/>
              </w:rPr>
            </w:pPr>
            <w:r>
              <w:rPr>
                <w:rFonts w:ascii="Times New Roman" w:cs="Times New Roman" w:eastAsia="Times New Roman" w:hAnsi="Times New Roman"/>
                <w:sz w:val="18"/>
                <w:szCs w:val="18"/>
                <w:color w:val="auto"/>
              </w:rPr>
              <w:t>32.4 %</w:t>
            </w:r>
          </w:p>
        </w:tc>
      </w:tr>
      <w:tr>
        <w:trPr>
          <w:trHeight w:val="252"/>
        </w:trPr>
        <w:tc>
          <w:tcPr>
            <w:tcW w:w="1700" w:type="dxa"/>
            <w:vAlign w:val="bottom"/>
          </w:tcPr>
          <w:p>
            <w:pPr>
              <w:spacing w:after="0"/>
              <w:rPr>
                <w:sz w:val="21"/>
                <w:szCs w:val="21"/>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Healthcare</w:t>
            </w:r>
          </w:p>
        </w:tc>
        <w:tc>
          <w:tcPr>
            <w:tcW w:w="3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1"/>
                <w:szCs w:val="21"/>
                <w:color w:val="auto"/>
              </w:rPr>
            </w:pPr>
          </w:p>
        </w:tc>
      </w:tr>
      <w:tr>
        <w:trPr>
          <w:trHeight w:val="234"/>
        </w:trPr>
        <w:tc>
          <w:tcPr>
            <w:tcW w:w="170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Human Resource Support Services</w:t>
            </w:r>
          </w:p>
        </w:tc>
        <w:tc>
          <w:tcPr>
            <w:tcW w:w="3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2920" w:type="dxa"/>
            <w:vAlign w:val="bottom"/>
            <w:gridSpan w:val="3"/>
          </w:tcPr>
          <w:p>
            <w:pPr>
              <w:jc w:val="right"/>
              <w:ind w:right="1600"/>
              <w:spacing w:after="0"/>
              <w:rPr>
                <w:sz w:val="20"/>
                <w:szCs w:val="20"/>
                <w:color w:val="auto"/>
              </w:rPr>
            </w:pPr>
            <w:r>
              <w:rPr>
                <w:rFonts w:ascii="Times New Roman" w:cs="Times New Roman" w:eastAsia="Times New Roman" w:hAnsi="Times New Roman"/>
                <w:sz w:val="18"/>
                <w:szCs w:val="18"/>
                <w:color w:val="auto"/>
              </w:rPr>
              <w:t>18.0 %</w:t>
            </w:r>
          </w:p>
        </w:tc>
      </w:tr>
      <w:tr>
        <w:trPr>
          <w:trHeight w:val="252"/>
        </w:trPr>
        <w:tc>
          <w:tcPr>
            <w:tcW w:w="1700" w:type="dxa"/>
            <w:vAlign w:val="bottom"/>
          </w:tcPr>
          <w:p>
            <w:pPr>
              <w:spacing w:after="0"/>
              <w:rPr>
                <w:sz w:val="21"/>
                <w:szCs w:val="21"/>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w:t>
            </w:r>
          </w:p>
        </w:tc>
        <w:tc>
          <w:tcPr>
            <w:tcW w:w="3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1"/>
                <w:szCs w:val="21"/>
                <w:color w:val="auto"/>
              </w:rPr>
            </w:pPr>
          </w:p>
        </w:tc>
      </w:tr>
      <w:tr>
        <w:trPr>
          <w:trHeight w:val="234"/>
        </w:trPr>
        <w:tc>
          <w:tcPr>
            <w:tcW w:w="170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Internet Services</w:t>
            </w:r>
          </w:p>
        </w:tc>
        <w:tc>
          <w:tcPr>
            <w:tcW w:w="3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2920" w:type="dxa"/>
            <w:vAlign w:val="bottom"/>
            <w:gridSpan w:val="3"/>
          </w:tcPr>
          <w:p>
            <w:pPr>
              <w:jc w:val="right"/>
              <w:ind w:right="1600"/>
              <w:spacing w:after="0"/>
              <w:rPr>
                <w:sz w:val="20"/>
                <w:szCs w:val="20"/>
                <w:color w:val="auto"/>
              </w:rPr>
            </w:pPr>
            <w:r>
              <w:rPr>
                <w:rFonts w:ascii="Times New Roman" w:cs="Times New Roman" w:eastAsia="Times New Roman" w:hAnsi="Times New Roman"/>
                <w:sz w:val="18"/>
                <w:szCs w:val="18"/>
                <w:color w:val="auto"/>
              </w:rPr>
              <w:t>0.7 %</w:t>
            </w:r>
          </w:p>
        </w:tc>
      </w:tr>
      <w:tr>
        <w:trPr>
          <w:trHeight w:val="238"/>
        </w:trPr>
        <w:tc>
          <w:tcPr>
            <w:tcW w:w="170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3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2920" w:type="dxa"/>
            <w:vAlign w:val="bottom"/>
            <w:gridSpan w:val="3"/>
          </w:tcPr>
          <w:p>
            <w:pPr>
              <w:jc w:val="right"/>
              <w:ind w:right="1600"/>
              <w:spacing w:after="0"/>
              <w:rPr>
                <w:sz w:val="20"/>
                <w:szCs w:val="20"/>
                <w:color w:val="auto"/>
              </w:rPr>
            </w:pPr>
            <w:r>
              <w:rPr>
                <w:rFonts w:ascii="Times New Roman" w:cs="Times New Roman" w:eastAsia="Times New Roman" w:hAnsi="Times New Roman"/>
                <w:sz w:val="18"/>
                <w:szCs w:val="18"/>
                <w:color w:val="auto"/>
              </w:rPr>
              <w:t>16.3 %</w:t>
            </w:r>
          </w:p>
        </w:tc>
      </w:tr>
      <w:tr>
        <w:trPr>
          <w:trHeight w:val="243"/>
        </w:trPr>
        <w:tc>
          <w:tcPr>
            <w:tcW w:w="1700" w:type="dxa"/>
            <w:vAlign w:val="bottom"/>
          </w:tcPr>
          <w:p>
            <w:pPr>
              <w:spacing w:after="0"/>
              <w:rPr>
                <w:sz w:val="21"/>
                <w:szCs w:val="21"/>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Oil, Gas and Consumable Fuels</w:t>
            </w:r>
          </w:p>
        </w:tc>
        <w:tc>
          <w:tcPr>
            <w:tcW w:w="3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2920" w:type="dxa"/>
            <w:vAlign w:val="bottom"/>
            <w:gridSpan w:val="3"/>
          </w:tcPr>
          <w:p>
            <w:pPr>
              <w:jc w:val="right"/>
              <w:ind w:right="176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1700" w:type="dxa"/>
            <w:vAlign w:val="bottom"/>
          </w:tcPr>
          <w:p>
            <w:pPr>
              <w:spacing w:after="0"/>
              <w:rPr>
                <w:sz w:val="21"/>
                <w:szCs w:val="21"/>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Retail and Consumer Products</w:t>
            </w:r>
          </w:p>
        </w:tc>
        <w:tc>
          <w:tcPr>
            <w:tcW w:w="3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2920" w:type="dxa"/>
            <w:vAlign w:val="bottom"/>
            <w:gridSpan w:val="3"/>
          </w:tcPr>
          <w:p>
            <w:pPr>
              <w:jc w:val="right"/>
              <w:ind w:right="1600"/>
              <w:spacing w:after="0"/>
              <w:rPr>
                <w:sz w:val="20"/>
                <w:szCs w:val="20"/>
                <w:color w:val="auto"/>
              </w:rPr>
            </w:pPr>
            <w:r>
              <w:rPr>
                <w:rFonts w:ascii="Times New Roman" w:cs="Times New Roman" w:eastAsia="Times New Roman" w:hAnsi="Times New Roman"/>
                <w:sz w:val="18"/>
                <w:szCs w:val="18"/>
                <w:color w:val="auto"/>
              </w:rPr>
              <w:t>29.4 %</w:t>
            </w:r>
          </w:p>
        </w:tc>
      </w:tr>
      <w:tr>
        <w:trPr>
          <w:trHeight w:val="239"/>
        </w:trPr>
        <w:tc>
          <w:tcPr>
            <w:tcW w:w="1700" w:type="dxa"/>
            <w:vAlign w:val="bottom"/>
          </w:tcPr>
          <w:p>
            <w:pPr>
              <w:spacing w:after="0"/>
              <w:rPr>
                <w:sz w:val="20"/>
                <w:szCs w:val="20"/>
                <w:color w:val="auto"/>
              </w:rPr>
            </w:pPr>
          </w:p>
        </w:tc>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2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760" w:type="dxa"/>
            <w:vAlign w:val="bottom"/>
            <w:gridSpan w:val="2"/>
          </w:tcPr>
          <w:p>
            <w:pPr>
              <w:jc w:val="right"/>
              <w:ind w:right="160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17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633"/>
        </w:trPr>
        <w:tc>
          <w:tcPr>
            <w:tcW w:w="17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480" w:type="dxa"/>
            <w:vAlign w:val="bottom"/>
            <w:gridSpan w:val="3"/>
          </w:tcPr>
          <w:p>
            <w:pPr>
              <w:jc w:val="right"/>
              <w:ind w:right="2430"/>
              <w:spacing w:after="0"/>
              <w:rPr>
                <w:sz w:val="20"/>
                <w:szCs w:val="20"/>
                <w:color w:val="auto"/>
              </w:rPr>
            </w:pPr>
            <w:r>
              <w:rPr>
                <w:rFonts w:ascii="Times New Roman" w:cs="Times New Roman" w:eastAsia="Times New Roman" w:hAnsi="Times New Roman"/>
                <w:sz w:val="18"/>
                <w:szCs w:val="18"/>
                <w:color w:val="auto"/>
              </w:rPr>
              <w:t>F-19</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50"/>
        </w:trPr>
        <w:tc>
          <w:tcPr>
            <w:tcW w:w="170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-2785110</wp:posOffset>
            </wp:positionV>
            <wp:extent cx="4989195" cy="15430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-1550670</wp:posOffset>
            </wp:positionV>
            <wp:extent cx="4989195" cy="1543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-1242695</wp:posOffset>
            </wp:positionV>
            <wp:extent cx="4989195" cy="1543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9" w:name="page100"/>
    <w:bookmarkEnd w:id="99"/>
    <w:p>
      <w:pPr>
        <w:ind w:left="260"/>
        <w:spacing w:after="0"/>
        <w:rPr>
          <w:sz w:val="20"/>
          <w:szCs w:val="20"/>
          <w:color w:val="auto"/>
        </w:rPr>
      </w:pPr>
      <w:r>
        <w:rPr>
          <w:rFonts w:ascii="Times New Roman" w:cs="Times New Roman" w:eastAsia="Times New Roman" w:hAnsi="Times New Roman"/>
          <w:sz w:val="18"/>
          <w:szCs w:val="18"/>
          <w:color w:val="auto"/>
        </w:rPr>
        <w:t>The geographic composition of investments at fair value at December 31, 2023 and December 31, 2022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9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74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spacing w:after="0"/>
              <w:rPr>
                <w:sz w:val="20"/>
                <w:szCs w:val="20"/>
                <w:color w:val="auto"/>
              </w:rPr>
            </w:pPr>
          </w:p>
        </w:tc>
        <w:tc>
          <w:tcPr>
            <w:tcW w:w="160" w:type="dxa"/>
            <w:vAlign w:val="bottom"/>
            <w:tcBorders>
              <w:left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Midwest</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16.0 %</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Northeast</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23.1 %</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45.5 %</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South</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7.4 %</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West</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40.3 %</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1.9 %</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320" w:type="dxa"/>
            <w:vAlign w:val="bottom"/>
            <w:shd w:val="clear" w:color="auto" w:fill="CFF0FC"/>
          </w:tcPr>
          <w:p>
            <w:pPr>
              <w:ind w:left="20"/>
              <w:spacing w:after="0" w:line="257" w:lineRule="exact"/>
              <w:rPr>
                <w:sz w:val="20"/>
                <w:szCs w:val="20"/>
                <w:color w:val="auto"/>
              </w:rPr>
            </w:pPr>
            <w:r>
              <w:rPr>
                <w:rFonts w:ascii="Times New Roman" w:cs="Times New Roman" w:eastAsia="Times New Roman" w:hAnsi="Times New Roman"/>
                <w:sz w:val="18"/>
                <w:szCs w:val="18"/>
                <w:color w:val="auto"/>
              </w:rPr>
              <w:t xml:space="preserve">Finland </w:t>
            </w:r>
            <w:r>
              <w:rPr>
                <w:rFonts w:ascii="Times New Roman" w:cs="Times New Roman" w:eastAsia="Times New Roman" w:hAnsi="Times New Roman"/>
                <w:sz w:val="24"/>
                <w:szCs w:val="24"/>
                <w:color w:val="auto"/>
                <w:vertAlign w:val="superscript"/>
              </w:rPr>
              <w:t>(1)</w:t>
            </w:r>
          </w:p>
        </w:tc>
        <w:tc>
          <w:tcPr>
            <w:tcW w:w="1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0.3 %</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Luxembourg</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Norway</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5.4 %</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5.4 %</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3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320" w:type="dxa"/>
            <w:vAlign w:val="bottom"/>
            <w:vMerge w:val="continue"/>
          </w:tcPr>
          <w:p>
            <w:pPr>
              <w:spacing w:after="0"/>
              <w:rPr>
                <w:sz w:val="20"/>
                <w:szCs w:val="20"/>
                <w:color w:val="auto"/>
              </w:rPr>
            </w:pP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95"/>
              </w:rPr>
              <w:t>(1)</w:t>
            </w:r>
          </w:p>
        </w:tc>
        <w:tc>
          <w:tcPr>
            <w:tcW w:w="57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Value rounds to less than 0.1%.</w:t>
            </w: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60" w:type="dxa"/>
            <w:vAlign w:val="bottom"/>
            <w:vMerge w:val="continue"/>
          </w:tcPr>
          <w:p>
            <w:pPr>
              <w:spacing w:after="0"/>
              <w:rPr>
                <w:sz w:val="24"/>
                <w:szCs w:val="24"/>
                <w:color w:val="auto"/>
              </w:rPr>
            </w:pPr>
          </w:p>
        </w:tc>
        <w:tc>
          <w:tcPr>
            <w:tcW w:w="5700" w:type="dxa"/>
            <w:vAlign w:val="bottom"/>
            <w:gridSpan w:val="2"/>
            <w:vMerge w:val="continue"/>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-2005330</wp:posOffset>
            </wp:positionV>
            <wp:extent cx="4920615" cy="15430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920615" cy="154305"/>
                    </a:xfrm>
                    <a:prstGeom prst="rect">
                      <a:avLst/>
                    </a:prstGeom>
                    <a:noFill/>
                  </pic:spPr>
                </pic:pic>
              </a:graphicData>
            </a:graphic>
          </wp:anchor>
        </w:drawing>
        <w:drawing>
          <wp:anchor simplePos="0" relativeHeight="251657728" behindDoc="1" locked="0" layoutInCell="0" allowOverlap="1">
            <wp:simplePos x="0" y="0"/>
            <wp:positionH relativeFrom="column">
              <wp:posOffset>1110615</wp:posOffset>
            </wp:positionH>
            <wp:positionV relativeFrom="paragraph">
              <wp:posOffset>-1696720</wp:posOffset>
            </wp:positionV>
            <wp:extent cx="4920615" cy="15430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920615" cy="154305"/>
                    </a:xfrm>
                    <a:prstGeom prst="rect">
                      <a:avLst/>
                    </a:prstGeom>
                    <a:noFill/>
                  </pic:spPr>
                </pic:pic>
              </a:graphicData>
            </a:graphic>
          </wp:anchor>
        </w:drawing>
        <w:drawing>
          <wp:anchor simplePos="0" relativeHeight="251657728" behindDoc="1" locked="0" layoutInCell="0" allowOverlap="1">
            <wp:simplePos x="0" y="0"/>
            <wp:positionH relativeFrom="column">
              <wp:posOffset>1110615</wp:posOffset>
            </wp:positionH>
            <wp:positionV relativeFrom="paragraph">
              <wp:posOffset>-1079500</wp:posOffset>
            </wp:positionV>
            <wp:extent cx="4920615" cy="15430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920615" cy="154305"/>
                    </a:xfrm>
                    <a:prstGeom prst="rect">
                      <a:avLst/>
                    </a:prstGeom>
                    <a:noFill/>
                  </pic:spPr>
                </pic:pic>
              </a:graphicData>
            </a:graphic>
          </wp:anchor>
        </w:drawing>
        <w:drawing>
          <wp:anchor simplePos="0" relativeHeight="251657728" behindDoc="1" locked="0" layoutInCell="0" allowOverlap="1">
            <wp:simplePos x="0" y="0"/>
            <wp:positionH relativeFrom="column">
              <wp:posOffset>1110615</wp:posOffset>
            </wp:positionH>
            <wp:positionV relativeFrom="paragraph">
              <wp:posOffset>-770890</wp:posOffset>
            </wp:positionV>
            <wp:extent cx="4920615" cy="15430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920615" cy="154305"/>
                    </a:xfrm>
                    <a:prstGeom prst="rect">
                      <a:avLst/>
                    </a:prstGeom>
                    <a:noFill/>
                  </pic:spPr>
                </pic:pic>
              </a:graphicData>
            </a:graphic>
          </wp:anchor>
        </w:drawing>
        <w:drawing>
          <wp:anchor simplePos="0" relativeHeight="251657728" behindDoc="1" locked="0" layoutInCell="0" allowOverlap="1">
            <wp:simplePos x="0" y="0"/>
            <wp:positionH relativeFrom="column">
              <wp:posOffset>1110615</wp:posOffset>
            </wp:positionH>
            <wp:positionV relativeFrom="paragraph">
              <wp:posOffset>-453390</wp:posOffset>
            </wp:positionV>
            <wp:extent cx="4920615" cy="17970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920615" cy="17970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of Financial Instruments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tables present fair value measurements of investments as of December 31, 2023 and December 31, 2022</w:t>
      </w:r>
    </w:p>
    <w:p>
      <w:pPr>
        <w:spacing w:after="0" w:line="232" w:lineRule="exact"/>
        <w:rPr>
          <w:sz w:val="20"/>
          <w:szCs w:val="20"/>
          <w:color w:val="auto"/>
        </w:rPr>
      </w:pPr>
    </w:p>
    <w:tbl>
      <w:tblPr>
        <w:tblLayout w:type="fixed"/>
        <w:tblInd w:w="1580" w:type="dxa"/>
        <w:tblCellMar>
          <w:top w:w="0" w:type="dxa"/>
          <w:left w:w="0" w:type="dxa"/>
          <w:bottom w:w="0" w:type="dxa"/>
          <w:right w:w="0" w:type="dxa"/>
        </w:tblCellMar>
      </w:tblPr>
      <w:tr>
        <w:trPr>
          <w:trHeight w:val="187"/>
        </w:trPr>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Hierarchy at December 31, 2023</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4"/>
                <w:szCs w:val="14"/>
                <w:color w:val="auto"/>
              </w:rPr>
            </w:pPr>
          </w:p>
        </w:tc>
      </w:tr>
      <w:tr>
        <w:trPr>
          <w:trHeight w:val="236"/>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800" w:type="dxa"/>
            <w:vAlign w:val="bottom"/>
            <w:gridSpan w:val="2"/>
            <w:shd w:val="clear" w:color="auto" w:fill="CFF0FC"/>
          </w:tcPr>
          <w:p>
            <w:pPr>
              <w:jc w:val="right"/>
              <w:ind w:right="52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0"/>
                <w:szCs w:val="20"/>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2,848,805</w:t>
            </w:r>
          </w:p>
        </w:tc>
        <w:tc>
          <w:tcPr>
            <w:tcW w:w="180" w:type="dxa"/>
            <w:vAlign w:val="bottom"/>
            <w:tcBorders>
              <w:right w:val="single" w:sz="8" w:color="CFF0FC"/>
            </w:tcBorders>
            <w:shd w:val="clear" w:color="auto" w:fill="CFF0FC"/>
          </w:tcPr>
          <w:p>
            <w:pPr>
              <w:spacing w:after="0"/>
              <w:rPr>
                <w:sz w:val="20"/>
                <w:szCs w:val="20"/>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2,850,885</w:t>
            </w:r>
          </w:p>
        </w:tc>
        <w:tc>
          <w:tcPr>
            <w:tcW w:w="80" w:type="dxa"/>
            <w:vAlign w:val="bottom"/>
            <w:shd w:val="clear" w:color="auto" w:fill="CFF0FC"/>
          </w:tcPr>
          <w:p>
            <w:pPr>
              <w:spacing w:after="0"/>
              <w:rPr>
                <w:sz w:val="20"/>
                <w:szCs w:val="20"/>
                <w:color w:val="auto"/>
              </w:rPr>
            </w:pPr>
          </w:p>
        </w:tc>
      </w:tr>
      <w:tr>
        <w:trPr>
          <w:trHeight w:val="239"/>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79,091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79,091</w:t>
            </w:r>
          </w:p>
        </w:tc>
        <w:tc>
          <w:tcPr>
            <w:tcW w:w="80" w:type="dxa"/>
            <w:vAlign w:val="bottom"/>
          </w:tcPr>
          <w:p>
            <w:pPr>
              <w:spacing w:after="0"/>
              <w:rPr>
                <w:sz w:val="20"/>
                <w:szCs w:val="20"/>
                <w:color w:val="auto"/>
              </w:rPr>
            </w:pPr>
          </w:p>
        </w:tc>
      </w:tr>
      <w:tr>
        <w:trPr>
          <w:trHeight w:val="247"/>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105,918</w:t>
            </w:r>
          </w:p>
        </w:tc>
        <w:tc>
          <w:tcPr>
            <w:tcW w:w="18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106,524</w:t>
            </w:r>
          </w:p>
        </w:tc>
        <w:tc>
          <w:tcPr>
            <w:tcW w:w="80" w:type="dxa"/>
            <w:vAlign w:val="bottom"/>
            <w:shd w:val="clear" w:color="auto" w:fill="CFF0FC"/>
          </w:tcPr>
          <w:p>
            <w:pPr>
              <w:spacing w:after="0"/>
              <w:rPr>
                <w:sz w:val="21"/>
                <w:szCs w:val="21"/>
                <w:color w:val="auto"/>
              </w:rPr>
            </w:pPr>
          </w:p>
        </w:tc>
      </w:tr>
      <w:tr>
        <w:trPr>
          <w:trHeight w:val="239"/>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1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62,651</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62,651</w:t>
            </w:r>
          </w:p>
        </w:tc>
        <w:tc>
          <w:tcPr>
            <w:tcW w:w="80" w:type="dxa"/>
            <w:vAlign w:val="bottom"/>
          </w:tcPr>
          <w:p>
            <w:pPr>
              <w:spacing w:after="0"/>
              <w:rPr>
                <w:sz w:val="20"/>
                <w:szCs w:val="20"/>
                <w:color w:val="auto"/>
              </w:rPr>
            </w:pPr>
          </w:p>
        </w:tc>
      </w:tr>
      <w:tr>
        <w:trPr>
          <w:trHeight w:val="258"/>
        </w:trPr>
        <w:tc>
          <w:tcPr>
            <w:tcW w:w="2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shd w:val="clear" w:color="auto" w:fill="CFF0FC"/>
          </w:tcPr>
          <w:p>
            <w:pPr>
              <w:spacing w:after="0"/>
              <w:rPr>
                <w:sz w:val="22"/>
                <w:szCs w:val="22"/>
                <w:color w:val="auto"/>
              </w:rPr>
            </w:pPr>
          </w:p>
        </w:tc>
        <w:tc>
          <w:tcPr>
            <w:tcW w:w="700" w:type="dxa"/>
            <w:vAlign w:val="bottom"/>
            <w:shd w:val="clear" w:color="auto" w:fill="CFF0FC"/>
          </w:tcPr>
          <w:p>
            <w:pPr>
              <w:jc w:val="right"/>
              <w:ind w:right="522"/>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2"/>
                <w:szCs w:val="22"/>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3,096,465</w:t>
            </w:r>
          </w:p>
        </w:tc>
        <w:tc>
          <w:tcPr>
            <w:tcW w:w="180" w:type="dxa"/>
            <w:vAlign w:val="bottom"/>
            <w:tcBorders>
              <w:right w:val="single" w:sz="8" w:color="CFF0FC"/>
            </w:tcBorders>
            <w:shd w:val="clear" w:color="auto" w:fill="CFF0FC"/>
          </w:tcPr>
          <w:p>
            <w:pPr>
              <w:spacing w:after="0"/>
              <w:rPr>
                <w:sz w:val="22"/>
                <w:szCs w:val="22"/>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3,099,151</w:t>
            </w:r>
          </w:p>
        </w:tc>
        <w:tc>
          <w:tcPr>
            <w:tcW w:w="80" w:type="dxa"/>
            <w:vAlign w:val="bottom"/>
            <w:shd w:val="clear" w:color="auto" w:fill="CFF0FC"/>
          </w:tcPr>
          <w:p>
            <w:pPr>
              <w:spacing w:after="0"/>
              <w:rPr>
                <w:sz w:val="22"/>
                <w:szCs w:val="22"/>
                <w:color w:val="auto"/>
              </w:rPr>
            </w:pPr>
          </w:p>
        </w:tc>
      </w:tr>
      <w:tr>
        <w:trPr>
          <w:trHeight w:val="20"/>
        </w:trPr>
        <w:tc>
          <w:tcPr>
            <w:tcW w:w="28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590"/>
        </w:trPr>
        <w:tc>
          <w:tcPr>
            <w:tcW w:w="28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Hierarchy at December 31, 2022</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69"/>
        </w:trPr>
        <w:tc>
          <w:tcPr>
            <w:tcW w:w="2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4"/>
                <w:szCs w:val="14"/>
                <w:color w:val="auto"/>
              </w:rPr>
            </w:pPr>
          </w:p>
        </w:tc>
      </w:tr>
      <w:tr>
        <w:trPr>
          <w:trHeight w:val="236"/>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800" w:type="dxa"/>
            <w:vAlign w:val="bottom"/>
            <w:gridSpan w:val="2"/>
            <w:shd w:val="clear" w:color="auto" w:fill="CFF0FC"/>
          </w:tcPr>
          <w:p>
            <w:pPr>
              <w:jc w:val="right"/>
              <w:ind w:right="622"/>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800,995</w:t>
            </w:r>
          </w:p>
        </w:tc>
        <w:tc>
          <w:tcPr>
            <w:tcW w:w="180" w:type="dxa"/>
            <w:vAlign w:val="bottom"/>
            <w:tcBorders>
              <w:right w:val="single" w:sz="8" w:color="CFF0FC"/>
            </w:tcBorders>
            <w:shd w:val="clear" w:color="auto" w:fill="CFF0FC"/>
          </w:tcPr>
          <w:p>
            <w:pPr>
              <w:spacing w:after="0"/>
              <w:rPr>
                <w:sz w:val="20"/>
                <w:szCs w:val="20"/>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800,995</w:t>
            </w:r>
          </w:p>
        </w:tc>
        <w:tc>
          <w:tcPr>
            <w:tcW w:w="80" w:type="dxa"/>
            <w:vAlign w:val="bottom"/>
            <w:shd w:val="clear" w:color="auto" w:fill="CFF0FC"/>
          </w:tcPr>
          <w:p>
            <w:pPr>
              <w:spacing w:after="0"/>
              <w:rPr>
                <w:sz w:val="20"/>
                <w:szCs w:val="20"/>
                <w:color w:val="auto"/>
              </w:rPr>
            </w:pPr>
          </w:p>
        </w:tc>
      </w:tr>
      <w:tr>
        <w:trPr>
          <w:trHeight w:val="239"/>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7,806</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7,806</w:t>
            </w:r>
          </w:p>
        </w:tc>
        <w:tc>
          <w:tcPr>
            <w:tcW w:w="80" w:type="dxa"/>
            <w:vAlign w:val="bottom"/>
          </w:tcPr>
          <w:p>
            <w:pPr>
              <w:spacing w:after="0"/>
              <w:rPr>
                <w:sz w:val="20"/>
                <w:szCs w:val="20"/>
                <w:color w:val="auto"/>
              </w:rPr>
            </w:pPr>
          </w:p>
        </w:tc>
      </w:tr>
      <w:tr>
        <w:trPr>
          <w:trHeight w:val="259"/>
        </w:trPr>
        <w:tc>
          <w:tcPr>
            <w:tcW w:w="2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gridSpan w:val="2"/>
            <w:shd w:val="clear" w:color="auto" w:fill="CFF0FC"/>
          </w:tcPr>
          <w:p>
            <w:pPr>
              <w:jc w:val="right"/>
              <w:ind w:right="622"/>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808,801</w:t>
            </w:r>
          </w:p>
        </w:tc>
        <w:tc>
          <w:tcPr>
            <w:tcW w:w="180" w:type="dxa"/>
            <w:vAlign w:val="bottom"/>
            <w:tcBorders>
              <w:right w:val="single" w:sz="8" w:color="CFF0FC"/>
            </w:tcBorders>
            <w:shd w:val="clear" w:color="auto" w:fill="CFF0FC"/>
          </w:tcPr>
          <w:p>
            <w:pPr>
              <w:spacing w:after="0"/>
              <w:rPr>
                <w:sz w:val="22"/>
                <w:szCs w:val="22"/>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808,801</w:t>
            </w:r>
          </w:p>
        </w:tc>
        <w:tc>
          <w:tcPr>
            <w:tcW w:w="80" w:type="dxa"/>
            <w:vAlign w:val="bottom"/>
            <w:shd w:val="clear" w:color="auto" w:fill="CFF0FC"/>
          </w:tcPr>
          <w:p>
            <w:pPr>
              <w:spacing w:after="0"/>
              <w:rPr>
                <w:sz w:val="22"/>
                <w:szCs w:val="22"/>
                <w:color w:val="auto"/>
              </w:rPr>
            </w:pPr>
          </w:p>
        </w:tc>
      </w:tr>
      <w:tr>
        <w:trPr>
          <w:trHeight w:val="20"/>
        </w:trPr>
        <w:tc>
          <w:tcPr>
            <w:tcW w:w="28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-1036320</wp:posOffset>
            </wp:positionV>
            <wp:extent cx="5143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-1019175</wp:posOffset>
            </wp:positionV>
            <wp:extent cx="5143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-1036320</wp:posOffset>
            </wp:positionV>
            <wp:extent cx="5143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-1019175</wp:posOffset>
            </wp:positionV>
            <wp:extent cx="5143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-1036320</wp:posOffset>
            </wp:positionV>
            <wp:extent cx="4318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-1019175</wp:posOffset>
            </wp:positionV>
            <wp:extent cx="431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-1036320</wp:posOffset>
            </wp:positionV>
            <wp:extent cx="4318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-1019175</wp:posOffset>
            </wp:positionV>
            <wp:extent cx="431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-24765</wp:posOffset>
            </wp:positionV>
            <wp:extent cx="5143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-7620</wp:posOffset>
            </wp:positionV>
            <wp:extent cx="5143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-24765</wp:posOffset>
            </wp:positionV>
            <wp:extent cx="5143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5143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-24765</wp:posOffset>
            </wp:positionV>
            <wp:extent cx="431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431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431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431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Transfers between levels, if any, are recognized at the beginning of the quarter in which the transfers occur.</w:t>
      </w:r>
    </w:p>
    <w:p>
      <w:pPr>
        <w:spacing w:after="0" w:line="22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5" w:right="1440" w:bottom="1440" w:gutter="0" w:footer="0" w:header="0"/>
        </w:sectPr>
      </w:pPr>
    </w:p>
    <w:bookmarkStart w:id="100" w:name="page101"/>
    <w:bookmarkEnd w:id="100"/>
    <w:p>
      <w:pPr>
        <w:ind w:right="20"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changes in the fair value of investments for which Level 3 inputs were used to determine the fair value as of and for the year ended December 31, 2023 and for the period from April 5, 2022 (Inception) through December 31, 2022:</w:t>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0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10"/>
          </w:tcPr>
          <w:p>
            <w:pPr>
              <w:jc w:val="center"/>
              <w:ind w:left="295"/>
              <w:spacing w:after="0"/>
              <w:rPr>
                <w:sz w:val="20"/>
                <w:szCs w:val="20"/>
                <w:color w:val="auto"/>
              </w:rPr>
            </w:pPr>
            <w:r>
              <w:rPr>
                <w:rFonts w:ascii="Times New Roman" w:cs="Times New Roman" w:eastAsia="Times New Roman" w:hAnsi="Times New Roman"/>
                <w:sz w:val="14"/>
                <w:szCs w:val="14"/>
                <w:b w:val="1"/>
                <w:bCs w:val="1"/>
                <w:color w:val="auto"/>
              </w:rPr>
              <w:t>As of and for the Year Ended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0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First-lien</w:t>
            </w:r>
          </w:p>
        </w:tc>
        <w:tc>
          <w:tcPr>
            <w:tcW w:w="140" w:type="dxa"/>
            <w:vAlign w:val="bottom"/>
          </w:tcPr>
          <w:p>
            <w:pPr>
              <w:spacing w:after="0"/>
              <w:rPr>
                <w:sz w:val="11"/>
                <w:szCs w:val="11"/>
                <w:color w:val="auto"/>
              </w:rPr>
            </w:pPr>
          </w:p>
        </w:tc>
        <w:tc>
          <w:tcPr>
            <w:tcW w:w="9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Second-lien</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4"/>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Mezzanine</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3"/>
          </w:tcPr>
          <w:p>
            <w:pPr>
              <w:jc w:val="center"/>
              <w:ind w:right="192"/>
              <w:spacing w:after="0" w:line="131" w:lineRule="exact"/>
              <w:rPr>
                <w:sz w:val="20"/>
                <w:szCs w:val="20"/>
                <w:color w:val="auto"/>
              </w:rPr>
            </w:pPr>
            <w:r>
              <w:rPr>
                <w:rFonts w:ascii="Times New Roman" w:cs="Times New Roman" w:eastAsia="Times New Roman" w:hAnsi="Times New Roman"/>
                <w:sz w:val="14"/>
                <w:szCs w:val="14"/>
                <w:b w:val="1"/>
                <w:bCs w:val="1"/>
                <w:color w:val="auto"/>
              </w:rPr>
              <w:t>Equity</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debt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295"/>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140" w:type="dxa"/>
            <w:vAlign w:val="bottom"/>
          </w:tcPr>
          <w:p>
            <w:pPr>
              <w:spacing w:after="0"/>
              <w:rPr>
                <w:sz w:val="12"/>
                <w:szCs w:val="12"/>
                <w:color w:val="auto"/>
              </w:rPr>
            </w:pPr>
          </w:p>
        </w:tc>
        <w:tc>
          <w:tcPr>
            <w:tcW w:w="102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800,995</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7,806</w:t>
            </w:r>
          </w:p>
        </w:tc>
        <w:tc>
          <w:tcPr>
            <w:tcW w:w="4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808,801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or originations</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2,053,661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77,776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54,845</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2,283,282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Repayments / redemptions</w:t>
            </w:r>
          </w:p>
        </w:tc>
        <w:tc>
          <w:tcPr>
            <w:tcW w:w="1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(80,115 )</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(80,115 )</w:t>
            </w:r>
          </w:p>
        </w:tc>
        <w:tc>
          <w:tcPr>
            <w:tcW w:w="0" w:type="dxa"/>
            <w:vAlign w:val="bottom"/>
          </w:tcPr>
          <w:p>
            <w:pPr>
              <w:spacing w:after="0"/>
              <w:rPr>
                <w:sz w:val="1"/>
                <w:szCs w:val="1"/>
                <w:color w:val="auto"/>
              </w:rPr>
            </w:pPr>
          </w:p>
        </w:tc>
      </w:tr>
      <w:tr>
        <w:trPr>
          <w:trHeight w:val="239"/>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Paid-in-kind interest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 in unrealized gains (losses)</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58,158</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61,552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11,412</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Transfers within Level 3</w:t>
            </w:r>
          </w:p>
        </w:tc>
        <w:tc>
          <w:tcPr>
            <w:tcW w:w="1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Transfers into (out of) Level 3</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482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2,848,805</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79,091</w:t>
            </w:r>
          </w:p>
        </w:tc>
        <w:tc>
          <w:tcPr>
            <w:tcW w:w="20" w:type="dxa"/>
            <w:vAlign w:val="bottom"/>
            <w:tcBorders>
              <w:bottom w:val="single" w:sz="8" w:color="auto"/>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105,918</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62,651</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3,096,465</w:t>
            </w:r>
          </w:p>
        </w:tc>
        <w:tc>
          <w:tcPr>
            <w:tcW w:w="12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633"/>
        </w:trPr>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1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As of and for the Period Ended</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0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5"/>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First-lien debt</w:t>
            </w:r>
          </w:p>
        </w:tc>
        <w:tc>
          <w:tcPr>
            <w:tcW w:w="100" w:type="dxa"/>
            <w:vAlign w:val="bottom"/>
          </w:tcPr>
          <w:p>
            <w:pPr>
              <w:spacing w:after="0"/>
              <w:rPr>
                <w:sz w:val="11"/>
                <w:szCs w:val="11"/>
                <w:color w:val="auto"/>
              </w:rPr>
            </w:pPr>
          </w:p>
        </w:tc>
        <w:tc>
          <w:tcPr>
            <w:tcW w:w="1080" w:type="dxa"/>
            <w:vAlign w:val="bottom"/>
            <w:gridSpan w:val="4"/>
          </w:tcPr>
          <w:p>
            <w:pPr>
              <w:jc w:val="right"/>
              <w:ind w:right="253"/>
              <w:spacing w:after="0" w:line="131" w:lineRule="exact"/>
              <w:rPr>
                <w:sz w:val="20"/>
                <w:szCs w:val="20"/>
                <w:color w:val="auto"/>
              </w:rPr>
            </w:pPr>
            <w:r>
              <w:rPr>
                <w:rFonts w:ascii="Times New Roman" w:cs="Times New Roman" w:eastAsia="Times New Roman" w:hAnsi="Times New Roman"/>
                <w:sz w:val="14"/>
                <w:szCs w:val="14"/>
                <w:b w:val="1"/>
                <w:bCs w:val="1"/>
                <w:color w:val="auto"/>
              </w:rPr>
              <w:t>Equity</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tcPr>
          <w:p>
            <w:pPr>
              <w:jc w:val="right"/>
              <w:ind w:right="153"/>
              <w:spacing w:after="0" w:line="149"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vMerge w:val="restart"/>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auto"/>
            </w:tcBorders>
            <w:gridSpan w:val="4"/>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3"/>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020" w:type="dxa"/>
            <w:vAlign w:val="bottom"/>
          </w:tcPr>
          <w:p>
            <w:pPr>
              <w:spacing w:after="0"/>
              <w:rPr>
                <w:sz w:val="20"/>
                <w:szCs w:val="20"/>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0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20"/>
                <w:szCs w:val="20"/>
                <w:color w:val="auto"/>
              </w:rPr>
            </w:pPr>
          </w:p>
        </w:tc>
        <w:tc>
          <w:tcPr>
            <w:tcW w:w="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0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Purchases or originations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800,453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7,806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808,259</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020" w:type="dxa"/>
            <w:vAlign w:val="bottom"/>
          </w:tcPr>
          <w:p>
            <w:pPr>
              <w:spacing w:after="0"/>
              <w:rPr>
                <w:sz w:val="21"/>
                <w:szCs w:val="21"/>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 redemptions</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0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0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Paid-in-kind interest</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020" w:type="dxa"/>
            <w:vAlign w:val="bottom"/>
          </w:tcPr>
          <w:p>
            <w:pPr>
              <w:spacing w:after="0"/>
              <w:rPr>
                <w:sz w:val="21"/>
                <w:szCs w:val="21"/>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unrealized gains (losses)</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1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(228 )</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0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gains (losses)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020" w:type="dxa"/>
            <w:vAlign w:val="bottom"/>
          </w:tcPr>
          <w:p>
            <w:pPr>
              <w:spacing w:after="0"/>
              <w:rPr>
                <w:sz w:val="21"/>
                <w:szCs w:val="21"/>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770</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80" w:type="dxa"/>
            <w:vAlign w:val="bottom"/>
            <w:shd w:val="clear" w:color="auto" w:fill="CFF0FC"/>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0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Transfers within Level 3</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Transfers into (out of) Level 3</w:t>
            </w:r>
          </w:p>
        </w:tc>
        <w:tc>
          <w:tcPr>
            <w:tcW w:w="1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020" w:type="dxa"/>
            <w:vAlign w:val="bottom"/>
          </w:tcPr>
          <w:p>
            <w:pPr>
              <w:spacing w:after="0"/>
              <w:rPr>
                <w:sz w:val="20"/>
                <w:szCs w:val="20"/>
                <w:color w:val="auto"/>
              </w:rPr>
            </w:pPr>
          </w:p>
        </w:tc>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800,995</w:t>
            </w:r>
          </w:p>
        </w:tc>
        <w:tc>
          <w:tcPr>
            <w:tcW w:w="120" w:type="dxa"/>
            <w:vAlign w:val="bottom"/>
          </w:tcPr>
          <w:p>
            <w:pPr>
              <w:spacing w:after="0"/>
              <w:rPr>
                <w:sz w:val="20"/>
                <w:szCs w:val="20"/>
                <w:color w:val="auto"/>
              </w:rPr>
            </w:pP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7,806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808,801</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-2451100</wp:posOffset>
            </wp:positionV>
            <wp:extent cx="7747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-2433955</wp:posOffset>
            </wp:positionV>
            <wp:extent cx="7747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-2451100</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-2433955</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-2451100</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-2433955</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-2451100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-2433955</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-2451100</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-2433955</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-187960</wp:posOffset>
            </wp:positionV>
            <wp:extent cx="6032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-187960</wp:posOffset>
            </wp:positionV>
            <wp:extent cx="6032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with respect to the net change in unrealized gains or losses on investments for which Level 3 inputs were used in determining fair value that are still held by the Company at December 31, 2023 and 2022:</w:t>
      </w:r>
    </w:p>
    <w:p>
      <w:pPr>
        <w:sectPr>
          <w:pgSz w:w="11900" w:h="16838" w:orient="portrait"/>
          <w:cols w:equalWidth="0" w:num="1">
            <w:col w:w="11240"/>
          </w:cols>
          <w:pgMar w:left="320" w:top="1201" w:right="339" w:bottom="1440" w:gutter="0" w:footer="0" w:header="0"/>
        </w:sectPr>
      </w:pPr>
    </w:p>
    <w:p>
      <w:pPr>
        <w:spacing w:after="0" w:line="344"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4"/>
          <w:szCs w:val="14"/>
          <w:b w:val="1"/>
          <w:bCs w:val="1"/>
          <w:color w:val="auto"/>
        </w:rPr>
        <w:t>Net Change in Unrealized</w:t>
      </w:r>
    </w:p>
    <w:p>
      <w:pPr>
        <w:spacing w:after="0" w:line="29"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4"/>
          <w:szCs w:val="14"/>
          <w:b w:val="1"/>
          <w:bCs w:val="1"/>
          <w:color w:val="auto"/>
        </w:rPr>
        <w:t>Gains or (Losses)</w:t>
      </w:r>
    </w:p>
    <w:p>
      <w:pPr>
        <w:spacing w:after="0" w:line="15"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spacing w:after="0" w:line="15"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4"/>
          <w:szCs w:val="14"/>
          <w:b w:val="1"/>
          <w:bCs w:val="1"/>
          <w:color w:val="auto"/>
        </w:rPr>
        <w:t>December 31, 2023 on</w:t>
      </w:r>
    </w:p>
    <w:p>
      <w:pPr>
        <w:spacing w:after="0" w:line="15"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4"/>
          <w:szCs w:val="14"/>
          <w:b w:val="1"/>
          <w:bCs w:val="1"/>
          <w:color w:val="auto"/>
        </w:rPr>
        <w:t>Investments Held at</w:t>
      </w:r>
    </w:p>
    <w:p>
      <w:pPr>
        <w:spacing w:after="0" w:line="15"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4"/>
          <w:szCs w:val="14"/>
          <w:b w:val="1"/>
          <w:bCs w:val="1"/>
          <w:color w:val="auto"/>
        </w:rPr>
        <w:t>December 31, 2023</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4"/>
          <w:szCs w:val="14"/>
          <w:b w:val="1"/>
          <w:bCs w:val="1"/>
          <w:color w:val="auto"/>
        </w:rPr>
        <w:t>Net Change in Unrealized</w:t>
      </w:r>
    </w:p>
    <w:p>
      <w:pPr>
        <w:spacing w:after="0" w:line="29"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4"/>
          <w:szCs w:val="14"/>
          <w:b w:val="1"/>
          <w:bCs w:val="1"/>
          <w:color w:val="auto"/>
        </w:rPr>
        <w:t>Gains or (Losses)</w:t>
      </w:r>
    </w:p>
    <w:p>
      <w:pPr>
        <w:spacing w:after="0" w:line="15"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4"/>
          <w:szCs w:val="14"/>
          <w:b w:val="1"/>
          <w:bCs w:val="1"/>
          <w:color w:val="auto"/>
        </w:rPr>
        <w:t>from April 5, 2022</w:t>
      </w:r>
    </w:p>
    <w:p>
      <w:pPr>
        <w:spacing w:after="0" w:line="15"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4"/>
          <w:szCs w:val="14"/>
          <w:b w:val="1"/>
          <w:bCs w:val="1"/>
          <w:color w:val="auto"/>
        </w:rPr>
        <w:t>(Inception) through</w:t>
      </w:r>
    </w:p>
    <w:p>
      <w:pPr>
        <w:spacing w:after="0" w:line="15"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4"/>
          <w:szCs w:val="14"/>
          <w:b w:val="1"/>
          <w:bCs w:val="1"/>
          <w:color w:val="auto"/>
        </w:rPr>
        <w:t>December 31, 2022 on</w:t>
      </w:r>
    </w:p>
    <w:p>
      <w:pPr>
        <w:spacing w:after="0" w:line="15"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4"/>
          <w:szCs w:val="14"/>
          <w:b w:val="1"/>
          <w:bCs w:val="1"/>
          <w:color w:val="auto"/>
        </w:rPr>
        <w:t>Investments Held at</w:t>
      </w:r>
    </w:p>
    <w:p>
      <w:pPr>
        <w:spacing w:after="0" w:line="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31" w:lineRule="exact"/>
        <w:rPr>
          <w:sz w:val="20"/>
          <w:szCs w:val="20"/>
          <w:color w:val="auto"/>
        </w:rPr>
      </w:pPr>
    </w:p>
    <w:p>
      <w:pPr>
        <w:sectPr>
          <w:pgSz w:w="11900" w:h="16838" w:orient="portrait"/>
          <w:cols w:equalWidth="0" w:num="2">
            <w:col w:w="7700" w:space="540"/>
            <w:col w:w="3000"/>
          </w:cols>
          <w:pgMar w:left="320" w:top="1201"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12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5"/>
        </w:trPr>
        <w:tc>
          <w:tcPr>
            <w:tcW w:w="12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580" w:type="dxa"/>
            <w:vAlign w:val="bottom"/>
          </w:tcPr>
          <w:p>
            <w:pPr>
              <w:spacing w:after="0"/>
              <w:rPr>
                <w:sz w:val="18"/>
                <w:szCs w:val="18"/>
                <w:color w:val="auto"/>
              </w:rPr>
            </w:pP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58,158</w:t>
            </w:r>
          </w:p>
        </w:tc>
        <w:tc>
          <w:tcPr>
            <w:tcW w:w="240" w:type="dxa"/>
            <w:vAlign w:val="bottom"/>
          </w:tcPr>
          <w:p>
            <w:pPr>
              <w:spacing w:after="0"/>
              <w:rPr>
                <w:sz w:val="18"/>
                <w:szCs w:val="18"/>
                <w:color w:val="auto"/>
              </w:rPr>
            </w:pP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1180" w:type="dxa"/>
            <w:vAlign w:val="bottom"/>
          </w:tcPr>
          <w:p>
            <w:pPr>
              <w:spacing w:after="0"/>
              <w:rPr>
                <w:sz w:val="18"/>
                <w:szCs w:val="18"/>
                <w:color w:val="auto"/>
              </w:rPr>
            </w:pPr>
          </w:p>
        </w:tc>
      </w:tr>
      <w:tr>
        <w:trPr>
          <w:trHeight w:val="244"/>
        </w:trPr>
        <w:tc>
          <w:tcPr>
            <w:tcW w:w="1200" w:type="dxa"/>
            <w:vAlign w:val="bottom"/>
          </w:tcPr>
          <w:p>
            <w:pPr>
              <w:spacing w:after="0"/>
              <w:rPr>
                <w:sz w:val="21"/>
                <w:szCs w:val="21"/>
                <w:color w:val="auto"/>
              </w:rPr>
            </w:pPr>
          </w:p>
        </w:tc>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5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21"/>
                <w:szCs w:val="21"/>
                <w:color w:val="auto"/>
              </w:rPr>
            </w:pPr>
          </w:p>
        </w:tc>
      </w:tr>
      <w:tr>
        <w:trPr>
          <w:trHeight w:val="263"/>
        </w:trPr>
        <w:tc>
          <w:tcPr>
            <w:tcW w:w="1200" w:type="dxa"/>
            <w:vAlign w:val="bottom"/>
          </w:tcPr>
          <w:p>
            <w:pPr>
              <w:spacing w:after="0"/>
              <w:rPr>
                <w:sz w:val="22"/>
                <w:szCs w:val="22"/>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580" w:type="dxa"/>
            <w:vAlign w:val="bottom"/>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22"/>
                <w:szCs w:val="22"/>
                <w:color w:val="auto"/>
              </w:rPr>
            </w:pPr>
          </w:p>
        </w:tc>
      </w:tr>
      <w:tr>
        <w:trPr>
          <w:trHeight w:val="266"/>
        </w:trPr>
        <w:tc>
          <w:tcPr>
            <w:tcW w:w="1200" w:type="dxa"/>
            <w:vAlign w:val="bottom"/>
          </w:tcPr>
          <w:p>
            <w:pPr>
              <w:spacing w:after="0"/>
              <w:rPr>
                <w:sz w:val="23"/>
                <w:szCs w:val="23"/>
                <w:color w:val="auto"/>
              </w:rPr>
            </w:pPr>
          </w:p>
        </w:tc>
        <w:tc>
          <w:tcPr>
            <w:tcW w:w="3180" w:type="dxa"/>
            <w:vAlign w:val="bottom"/>
            <w:tcBorders>
              <w:top w:val="single" w:sz="8" w:color="CFF0FC"/>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80" w:type="dxa"/>
            <w:vAlign w:val="bottom"/>
            <w:tcBorders>
              <w:top w:val="single" w:sz="8" w:color="CFF0FC"/>
              <w:bottom w:val="single" w:sz="8" w:color="CFF0FC"/>
            </w:tcBorders>
            <w:shd w:val="clear" w:color="auto" w:fill="CFF0FC"/>
          </w:tcPr>
          <w:p>
            <w:pPr>
              <w:spacing w:after="0"/>
              <w:rPr>
                <w:sz w:val="23"/>
                <w:szCs w:val="23"/>
                <w:color w:val="auto"/>
              </w:rPr>
            </w:pPr>
          </w:p>
        </w:tc>
        <w:tc>
          <w:tcPr>
            <w:tcW w:w="740" w:type="dxa"/>
            <w:vAlign w:val="bottom"/>
            <w:tcBorders>
              <w:top w:val="single" w:sz="8" w:color="CFF0FC"/>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61,552</w:t>
            </w:r>
          </w:p>
        </w:tc>
        <w:tc>
          <w:tcPr>
            <w:tcW w:w="240" w:type="dxa"/>
            <w:vAlign w:val="bottom"/>
            <w:tcBorders>
              <w:top w:val="single" w:sz="8" w:color="CFF0FC"/>
              <w:bottom w:val="single" w:sz="8" w:color="CFF0FC"/>
            </w:tcBorders>
            <w:shd w:val="clear" w:color="auto" w:fill="CFF0FC"/>
          </w:tcPr>
          <w:p>
            <w:pPr>
              <w:spacing w:after="0"/>
              <w:rPr>
                <w:sz w:val="23"/>
                <w:szCs w:val="23"/>
                <w:color w:val="auto"/>
              </w:rPr>
            </w:pPr>
          </w:p>
        </w:tc>
        <w:tc>
          <w:tcPr>
            <w:tcW w:w="820" w:type="dxa"/>
            <w:vAlign w:val="bottom"/>
            <w:tcBorders>
              <w:top w:val="single" w:sz="8" w:color="auto"/>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Pr>
          <w:p>
            <w:pPr>
              <w:spacing w:after="0"/>
              <w:rPr>
                <w:sz w:val="23"/>
                <w:szCs w:val="23"/>
                <w:color w:val="auto"/>
              </w:rPr>
            </w:pPr>
          </w:p>
        </w:tc>
      </w:tr>
      <w:tr>
        <w:trPr>
          <w:trHeight w:val="633"/>
        </w:trPr>
        <w:tc>
          <w:tcPr>
            <w:tcW w:w="12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32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F-21</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763"/>
        </w:trPr>
        <w:tc>
          <w:tcPr>
            <w:tcW w:w="120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-933450</wp:posOffset>
            </wp:positionV>
            <wp:extent cx="5969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-916305</wp:posOffset>
            </wp:positionV>
            <wp:extent cx="596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-933450</wp:posOffset>
            </wp:positionV>
            <wp:extent cx="5143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-916305</wp:posOffset>
            </wp:positionV>
            <wp:extent cx="5143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-1096645</wp:posOffset>
            </wp:positionV>
            <wp:extent cx="5143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101" w:name="page102"/>
    <w:bookmarkEnd w:id="101"/>
    <w:p>
      <w:pPr>
        <w:ind w:right="320" w:firstLine="255"/>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fair value of Level 3 Investments at fair value and the significant unobservable inputs used in the valuations as of December 31, 2023 and 2022. The tables are not intended to be all-inclusive, but instead capture the significant unobservable inputs relevant to the Company’s determination of fair values.</w:t>
      </w:r>
    </w:p>
    <w:p>
      <w:pPr>
        <w:sectPr>
          <w:pgSz w:w="11900" w:h="16838" w:orient="portrait"/>
          <w:cols w:equalWidth="0" w:num="1">
            <w:col w:w="11100"/>
          </w:cols>
          <w:pgMar w:left="320" w:top="985"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First-lien debt investments</w:t>
      </w:r>
    </w:p>
    <w:p>
      <w:pPr>
        <w:spacing w:after="0" w:line="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Second-lien debt investments</w:t>
      </w:r>
    </w:p>
    <w:p>
      <w:pPr>
        <w:spacing w:after="0" w:line="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Mezzanine debt investments</w:t>
      </w:r>
    </w:p>
    <w:p>
      <w:pPr>
        <w:spacing w:after="0" w:line="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Equity and other investments</w:t>
      </w:r>
    </w:p>
    <w:p>
      <w:pPr>
        <w:spacing w:after="0" w:line="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Total</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2023</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2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00" w:type="dxa"/>
            <w:vAlign w:val="bottom"/>
            <w:tcBorders>
              <w:top w:val="single" w:sz="8" w:color="auto"/>
            </w:tcBorders>
          </w:tcPr>
          <w:p>
            <w:pPr>
              <w:spacing w:after="0"/>
              <w:rPr>
                <w:sz w:val="11"/>
                <w:szCs w:val="11"/>
                <w:color w:val="auto"/>
              </w:rPr>
            </w:pPr>
          </w:p>
        </w:tc>
        <w:tc>
          <w:tcPr>
            <w:tcW w:w="19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Range (Weighted</w:t>
            </w:r>
          </w:p>
        </w:tc>
        <w:tc>
          <w:tcPr>
            <w:tcW w:w="1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Impact to Valuation</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from an</w:t>
            </w:r>
          </w:p>
        </w:tc>
        <w:tc>
          <w:tcPr>
            <w:tcW w:w="0" w:type="dxa"/>
            <w:vAlign w:val="bottom"/>
          </w:tcPr>
          <w:p>
            <w:pPr>
              <w:spacing w:after="0"/>
              <w:rPr>
                <w:sz w:val="1"/>
                <w:szCs w:val="1"/>
                <w:color w:val="auto"/>
              </w:rPr>
            </w:pPr>
          </w:p>
        </w:tc>
      </w:tr>
      <w:tr>
        <w:trPr>
          <w:trHeight w:val="187"/>
        </w:trPr>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6"/>
                <w:szCs w:val="16"/>
                <w:color w:val="auto"/>
              </w:rPr>
            </w:pPr>
          </w:p>
        </w:tc>
        <w:tc>
          <w:tcPr>
            <w:tcW w:w="14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120" w:type="dxa"/>
            <w:vAlign w:val="bottom"/>
          </w:tcPr>
          <w:p>
            <w:pPr>
              <w:spacing w:after="0"/>
              <w:rPr>
                <w:sz w:val="16"/>
                <w:szCs w:val="16"/>
                <w:color w:val="auto"/>
              </w:rPr>
            </w:pPr>
          </w:p>
        </w:tc>
        <w:tc>
          <w:tcPr>
            <w:tcW w:w="16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00" w:type="dxa"/>
            <w:vAlign w:val="bottom"/>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 to Input</w:t>
            </w:r>
          </w:p>
        </w:tc>
        <w:tc>
          <w:tcPr>
            <w:tcW w:w="0" w:type="dxa"/>
            <w:vAlign w:val="bottom"/>
          </w:tcPr>
          <w:p>
            <w:pPr>
              <w:spacing w:after="0"/>
              <w:rPr>
                <w:sz w:val="1"/>
                <w:szCs w:val="1"/>
                <w:color w:val="auto"/>
              </w:rPr>
            </w:pPr>
          </w:p>
        </w:tc>
      </w:tr>
      <w:tr>
        <w:trPr>
          <w:trHeight w:val="223"/>
        </w:trPr>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2,848,805</w:t>
            </w:r>
          </w:p>
        </w:tc>
        <w:tc>
          <w:tcPr>
            <w:tcW w:w="220" w:type="dxa"/>
            <w:vAlign w:val="bottom"/>
          </w:tcPr>
          <w:p>
            <w:pPr>
              <w:spacing w:after="0"/>
              <w:rPr>
                <w:sz w:val="19"/>
                <w:szCs w:val="19"/>
                <w:color w:val="auto"/>
              </w:rPr>
            </w:pPr>
          </w:p>
        </w:tc>
        <w:tc>
          <w:tcPr>
            <w:tcW w:w="1460" w:type="dxa"/>
            <w:vAlign w:val="bottom"/>
          </w:tcPr>
          <w:p>
            <w:pPr>
              <w:ind w:left="20"/>
              <w:spacing w:after="0" w:line="223" w:lineRule="exact"/>
              <w:rPr>
                <w:sz w:val="20"/>
                <w:szCs w:val="20"/>
                <w:color w:val="auto"/>
              </w:rPr>
            </w:pPr>
            <w:r>
              <w:rPr>
                <w:rFonts w:ascii="Times New Roman" w:cs="Times New Roman" w:eastAsia="Times New Roman" w:hAnsi="Times New Roman"/>
                <w:sz w:val="16"/>
                <w:szCs w:val="16"/>
                <w:color w:val="auto"/>
              </w:rPr>
              <w:t xml:space="preserve">Income approach </w:t>
            </w:r>
            <w:r>
              <w:rPr>
                <w:rFonts w:ascii="Times New Roman" w:cs="Times New Roman" w:eastAsia="Times New Roman" w:hAnsi="Times New Roman"/>
                <w:sz w:val="21"/>
                <w:szCs w:val="21"/>
                <w:color w:val="auto"/>
                <w:vertAlign w:val="superscript"/>
              </w:rPr>
              <w:t>(1)</w:t>
            </w:r>
          </w:p>
        </w:tc>
        <w:tc>
          <w:tcPr>
            <w:tcW w:w="1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8.7% — 16.4% (12.8%)</w:t>
            </w:r>
          </w:p>
        </w:tc>
        <w:tc>
          <w:tcPr>
            <w:tcW w:w="180" w:type="dxa"/>
            <w:vAlign w:val="bottom"/>
          </w:tcPr>
          <w:p>
            <w:pPr>
              <w:spacing w:after="0"/>
              <w:rPr>
                <w:sz w:val="19"/>
                <w:szCs w:val="19"/>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79,091</w:t>
            </w:r>
          </w:p>
        </w:tc>
        <w:tc>
          <w:tcPr>
            <w:tcW w:w="220" w:type="dxa"/>
            <w:vAlign w:val="bottom"/>
          </w:tcPr>
          <w:p>
            <w:pPr>
              <w:spacing w:after="0"/>
              <w:rPr>
                <w:sz w:val="18"/>
                <w:szCs w:val="18"/>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approach</w:t>
            </w:r>
          </w:p>
        </w:tc>
        <w:tc>
          <w:tcPr>
            <w:tcW w:w="1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1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21.7% — 21.7% (21.7%)</w:t>
            </w:r>
          </w:p>
        </w:tc>
        <w:tc>
          <w:tcPr>
            <w:tcW w:w="18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21"/>
        </w:trPr>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105,918</w:t>
            </w:r>
          </w:p>
        </w:tc>
        <w:tc>
          <w:tcPr>
            <w:tcW w:w="220" w:type="dxa"/>
            <w:vAlign w:val="bottom"/>
          </w:tcPr>
          <w:p>
            <w:pPr>
              <w:spacing w:after="0"/>
              <w:rPr>
                <w:sz w:val="19"/>
                <w:szCs w:val="19"/>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approach</w:t>
            </w:r>
          </w:p>
        </w:tc>
        <w:tc>
          <w:tcPr>
            <w:tcW w:w="1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15.0% — 15.0% (15.0%)</w:t>
            </w:r>
          </w:p>
        </w:tc>
        <w:tc>
          <w:tcPr>
            <w:tcW w:w="180" w:type="dxa"/>
            <w:vAlign w:val="bottom"/>
          </w:tcPr>
          <w:p>
            <w:pPr>
              <w:spacing w:after="0"/>
              <w:rPr>
                <w:sz w:val="19"/>
                <w:szCs w:val="19"/>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86"/>
        </w:trPr>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62,651</w:t>
            </w:r>
          </w:p>
        </w:tc>
        <w:tc>
          <w:tcPr>
            <w:tcW w:w="220" w:type="dxa"/>
            <w:vAlign w:val="bottom"/>
          </w:tcPr>
          <w:p>
            <w:pPr>
              <w:spacing w:after="0"/>
              <w:rPr>
                <w:sz w:val="24"/>
                <w:szCs w:val="24"/>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Market Multiple </w:t>
            </w:r>
            <w:r>
              <w:rPr>
                <w:rFonts w:ascii="Times New Roman" w:cs="Times New Roman" w:eastAsia="Times New Roman" w:hAnsi="Times New Roman"/>
                <w:sz w:val="21"/>
                <w:szCs w:val="21"/>
                <w:color w:val="auto"/>
                <w:vertAlign w:val="superscript"/>
              </w:rPr>
              <w:t>(2)</w:t>
            </w:r>
          </w:p>
        </w:tc>
        <w:tc>
          <w:tcPr>
            <w:tcW w:w="120" w:type="dxa"/>
            <w:vAlign w:val="bottom"/>
          </w:tcPr>
          <w:p>
            <w:pPr>
              <w:spacing w:after="0"/>
              <w:rPr>
                <w:sz w:val="24"/>
                <w:szCs w:val="24"/>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Comparable multiple</w:t>
            </w:r>
          </w:p>
        </w:tc>
        <w:tc>
          <w:tcPr>
            <w:tcW w:w="10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2.6x — 16.1x (10.2x)</w:t>
            </w:r>
          </w:p>
        </w:tc>
        <w:tc>
          <w:tcPr>
            <w:tcW w:w="18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Increase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-1570990</wp:posOffset>
            </wp:positionH>
            <wp:positionV relativeFrom="paragraph">
              <wp:posOffset>-600710</wp:posOffset>
            </wp:positionV>
            <wp:extent cx="6703695" cy="1454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703695" cy="145415"/>
                    </a:xfrm>
                    <a:prstGeom prst="rect">
                      <a:avLst/>
                    </a:prstGeom>
                    <a:noFill/>
                  </pic:spPr>
                </pic:pic>
              </a:graphicData>
            </a:graphic>
          </wp:anchor>
        </w:drawing>
        <w:drawing>
          <wp:anchor simplePos="0" relativeHeight="251657728" behindDoc="1" locked="0" layoutInCell="0" allowOverlap="1">
            <wp:simplePos x="0" y="0"/>
            <wp:positionH relativeFrom="column">
              <wp:posOffset>-1570990</wp:posOffset>
            </wp:positionH>
            <wp:positionV relativeFrom="paragraph">
              <wp:posOffset>-309245</wp:posOffset>
            </wp:positionV>
            <wp:extent cx="6703695" cy="1454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703695" cy="145415"/>
                    </a:xfrm>
                    <a:prstGeom prst="rect">
                      <a:avLst/>
                    </a:prstGeom>
                    <a:noFill/>
                  </pic:spPr>
                </pic:pic>
              </a:graphicData>
            </a:graphic>
          </wp:anchor>
        </w:drawing>
        <w:drawing>
          <wp:anchor simplePos="0" relativeHeight="251657728" behindDoc="1" locked="0" layoutInCell="0" allowOverlap="1">
            <wp:simplePos x="0" y="0"/>
            <wp:positionH relativeFrom="column">
              <wp:posOffset>-1570990</wp:posOffset>
            </wp:positionH>
            <wp:positionV relativeFrom="paragraph">
              <wp:posOffset>-8890</wp:posOffset>
            </wp:positionV>
            <wp:extent cx="6703695" cy="17970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703695" cy="179705"/>
                    </a:xfrm>
                    <a:prstGeom prst="rect">
                      <a:avLst/>
                    </a:prstGeom>
                    <a:noFill/>
                  </pic:spPr>
                </pic:pic>
              </a:graphicData>
            </a:graphic>
          </wp:anchor>
        </w:drawing>
      </w:r>
    </w:p>
    <w:p>
      <w:pPr>
        <w:ind w:left="380" w:hanging="357"/>
        <w:spacing w:after="0"/>
        <w:tabs>
          <w:tab w:leader="none" w:pos="3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3,096,465</w:t>
      </w:r>
    </w:p>
    <w:p>
      <w:pPr>
        <w:spacing w:after="0" w:line="174" w:lineRule="exact"/>
        <w:rPr>
          <w:sz w:val="20"/>
          <w:szCs w:val="20"/>
          <w:color w:val="auto"/>
        </w:rPr>
      </w:pPr>
    </w:p>
    <w:p>
      <w:pPr>
        <w:sectPr>
          <w:pgSz w:w="11900" w:h="16838" w:orient="portrait"/>
          <w:cols w:equalWidth="0" w:num="2">
            <w:col w:w="2260" w:space="560"/>
            <w:col w:w="8280"/>
          </w:cols>
          <w:pgMar w:left="320" w:top="985" w:right="479" w:bottom="1440" w:gutter="0" w:footer="0" w:header="0"/>
          <w:type w:val="continuous"/>
        </w:sectPr>
      </w:pPr>
    </w:p>
    <w:p>
      <w:pPr>
        <w:ind w:left="1020" w:hanging="503"/>
        <w:spacing w:after="0"/>
        <w:tabs>
          <w:tab w:leader="none" w:pos="10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$77.9 million of first-lien debt investments valued using an asset waterfall.</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$4.6 million of equity investments valued using a Black-Scholes model and $19.2 million of equity investments which, due to the proximity of the transactions relative to the measurement dates, we valued using the cost of the investments.</w:t>
      </w:r>
    </w:p>
    <w:p>
      <w:pPr>
        <w:spacing w:after="0" w:line="169" w:lineRule="exact"/>
        <w:rPr>
          <w:sz w:val="20"/>
          <w:szCs w:val="20"/>
          <w:color w:val="auto"/>
        </w:rPr>
      </w:pPr>
    </w:p>
    <w:tbl>
      <w:tblPr>
        <w:tblLayout w:type="fixed"/>
        <w:tblInd w:w="420" w:type="dxa"/>
        <w:tblCellMar>
          <w:top w:w="0" w:type="dxa"/>
          <w:left w:w="0" w:type="dxa"/>
          <w:bottom w:w="0" w:type="dxa"/>
          <w:right w:w="0" w:type="dxa"/>
        </w:tblCellMar>
      </w:tblPr>
      <w:tr>
        <w:trPr>
          <w:trHeight w:val="187"/>
        </w:trPr>
        <w:tc>
          <w:tcPr>
            <w:tcW w:w="25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20" w:type="dxa"/>
            <w:vAlign w:val="bottom"/>
          </w:tcPr>
          <w:p>
            <w:pPr>
              <w:spacing w:after="0"/>
              <w:rPr>
                <w:sz w:val="11"/>
                <w:szCs w:val="11"/>
                <w:color w:val="auto"/>
              </w:rPr>
            </w:pPr>
          </w:p>
        </w:tc>
        <w:tc>
          <w:tcPr>
            <w:tcW w:w="19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760" w:type="dxa"/>
            <w:vAlign w:val="bottom"/>
            <w:vMerge w:val="restart"/>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Range (Weighted</w:t>
            </w:r>
          </w:p>
        </w:tc>
        <w:tc>
          <w:tcPr>
            <w:tcW w:w="120" w:type="dxa"/>
            <w:vAlign w:val="bottom"/>
          </w:tcPr>
          <w:p>
            <w:pPr>
              <w:spacing w:after="0"/>
              <w:rPr>
                <w:sz w:val="11"/>
                <w:szCs w:val="11"/>
                <w:color w:val="auto"/>
              </w:rPr>
            </w:pPr>
          </w:p>
        </w:tc>
        <w:tc>
          <w:tcPr>
            <w:tcW w:w="14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Impact to Valuation</w:t>
            </w:r>
          </w:p>
        </w:tc>
        <w:tc>
          <w:tcPr>
            <w:tcW w:w="0" w:type="dxa"/>
            <w:vAlign w:val="bottom"/>
          </w:tcPr>
          <w:p>
            <w:pPr>
              <w:spacing w:after="0"/>
              <w:rPr>
                <w:sz w:val="1"/>
                <w:szCs w:val="1"/>
                <w:color w:val="auto"/>
              </w:rPr>
            </w:pPr>
          </w:p>
        </w:tc>
      </w:tr>
      <w:tr>
        <w:trPr>
          <w:trHeight w:val="175"/>
        </w:trPr>
        <w:tc>
          <w:tcPr>
            <w:tcW w:w="2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from an</w:t>
            </w:r>
          </w:p>
        </w:tc>
        <w:tc>
          <w:tcPr>
            <w:tcW w:w="0" w:type="dxa"/>
            <w:vAlign w:val="bottom"/>
          </w:tcPr>
          <w:p>
            <w:pPr>
              <w:spacing w:after="0"/>
              <w:rPr>
                <w:sz w:val="1"/>
                <w:szCs w:val="1"/>
                <w:color w:val="auto"/>
              </w:rPr>
            </w:pPr>
          </w:p>
        </w:tc>
      </w:tr>
      <w:tr>
        <w:trPr>
          <w:trHeight w:val="187"/>
        </w:trPr>
        <w:tc>
          <w:tcPr>
            <w:tcW w:w="25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 to Input</w:t>
            </w:r>
          </w:p>
        </w:tc>
        <w:tc>
          <w:tcPr>
            <w:tcW w:w="0" w:type="dxa"/>
            <w:vAlign w:val="bottom"/>
          </w:tcPr>
          <w:p>
            <w:pPr>
              <w:spacing w:after="0"/>
              <w:rPr>
                <w:sz w:val="1"/>
                <w:szCs w:val="1"/>
                <w:color w:val="auto"/>
              </w:rPr>
            </w:pPr>
          </w:p>
        </w:tc>
      </w:tr>
      <w:tr>
        <w:trPr>
          <w:trHeight w:val="223"/>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First-lien debt investments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800,995</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approach</w:t>
            </w:r>
          </w:p>
        </w:tc>
        <w:tc>
          <w:tcPr>
            <w:tcW w:w="120" w:type="dxa"/>
            <w:vAlign w:val="bottom"/>
            <w:shd w:val="clear" w:color="auto" w:fill="CFF0FC"/>
          </w:tcPr>
          <w:p>
            <w:pPr>
              <w:spacing w:after="0"/>
              <w:rPr>
                <w:sz w:val="19"/>
                <w:szCs w:val="19"/>
                <w:color w:val="auto"/>
              </w:rPr>
            </w:pPr>
          </w:p>
        </w:tc>
        <w:tc>
          <w:tcPr>
            <w:tcW w:w="19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1760" w:type="dxa"/>
            <w:vAlign w:val="bottom"/>
            <w:shd w:val="clear" w:color="auto" w:fill="CFF0FC"/>
          </w:tcPr>
          <w:p>
            <w:pPr>
              <w:jc w:val="center"/>
              <w:ind w:right="4"/>
              <w:spacing w:after="0"/>
              <w:rPr>
                <w:sz w:val="20"/>
                <w:szCs w:val="20"/>
                <w:color w:val="auto"/>
              </w:rPr>
            </w:pPr>
            <w:r>
              <w:rPr>
                <w:rFonts w:ascii="Times New Roman" w:cs="Times New Roman" w:eastAsia="Times New Roman" w:hAnsi="Times New Roman"/>
                <w:sz w:val="16"/>
                <w:szCs w:val="16"/>
                <w:color w:val="auto"/>
              </w:rPr>
              <w:t>9.3% — 15.1% (13.1%)</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26"/>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Equity and other investments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7,806</w:t>
            </w:r>
          </w:p>
        </w:tc>
        <w:tc>
          <w:tcPr>
            <w:tcW w:w="24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6"/>
                <w:szCs w:val="16"/>
                <w:color w:val="auto"/>
              </w:rPr>
              <w:t>Market Multiple</w:t>
            </w:r>
          </w:p>
        </w:tc>
        <w:tc>
          <w:tcPr>
            <w:tcW w:w="120" w:type="dxa"/>
            <w:vAlign w:val="bottom"/>
          </w:tcPr>
          <w:p>
            <w:pPr>
              <w:spacing w:after="0"/>
              <w:rPr>
                <w:sz w:val="19"/>
                <w:szCs w:val="19"/>
                <w:color w:val="auto"/>
              </w:rPr>
            </w:pPr>
          </w:p>
        </w:tc>
        <w:tc>
          <w:tcPr>
            <w:tcW w:w="1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Comparable multiple</w:t>
            </w:r>
          </w:p>
        </w:tc>
        <w:tc>
          <w:tcPr>
            <w:tcW w:w="1760" w:type="dxa"/>
            <w:vAlign w:val="bottom"/>
          </w:tcPr>
          <w:p>
            <w:pPr>
              <w:jc w:val="center"/>
              <w:ind w:right="4"/>
              <w:spacing w:after="0"/>
              <w:rPr>
                <w:sz w:val="20"/>
                <w:szCs w:val="20"/>
                <w:color w:val="auto"/>
              </w:rPr>
            </w:pPr>
            <w:r>
              <w:rPr>
                <w:rFonts w:ascii="Times New Roman" w:cs="Times New Roman" w:eastAsia="Times New Roman" w:hAnsi="Times New Roman"/>
                <w:sz w:val="16"/>
                <w:szCs w:val="16"/>
                <w:color w:val="auto"/>
              </w:rPr>
              <w:t>5.8x — 13.5x (13.3x)</w:t>
            </w:r>
          </w:p>
        </w:tc>
        <w:tc>
          <w:tcPr>
            <w:tcW w:w="120" w:type="dxa"/>
            <w:vAlign w:val="bottom"/>
          </w:tcPr>
          <w:p>
            <w:pPr>
              <w:spacing w:after="0"/>
              <w:rPr>
                <w:sz w:val="19"/>
                <w:szCs w:val="19"/>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Increase</w:t>
            </w:r>
          </w:p>
        </w:tc>
        <w:tc>
          <w:tcPr>
            <w:tcW w:w="0" w:type="dxa"/>
            <w:vAlign w:val="bottom"/>
          </w:tcPr>
          <w:p>
            <w:pPr>
              <w:spacing w:after="0"/>
              <w:rPr>
                <w:sz w:val="1"/>
                <w:szCs w:val="1"/>
                <w:color w:val="auto"/>
              </w:rPr>
            </w:pPr>
          </w:p>
        </w:tc>
      </w:tr>
      <w:tr>
        <w:trPr>
          <w:trHeight w:val="260"/>
        </w:trPr>
        <w:tc>
          <w:tcPr>
            <w:tcW w:w="25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808,801</w:t>
            </w:r>
          </w:p>
        </w:tc>
        <w:tc>
          <w:tcPr>
            <w:tcW w:w="240" w:type="dxa"/>
            <w:vAlign w:val="bottom"/>
            <w:tcBorders>
              <w:bottom w:val="single" w:sz="8" w:color="CFF0FC"/>
            </w:tcBorders>
            <w:shd w:val="clear" w:color="auto" w:fill="CFF0FC"/>
          </w:tcPr>
          <w:p>
            <w:pPr>
              <w:spacing w:after="0"/>
              <w:rPr>
                <w:sz w:val="22"/>
                <w:szCs w:val="22"/>
                <w:color w:val="auto"/>
              </w:rPr>
            </w:pPr>
          </w:p>
        </w:tc>
        <w:tc>
          <w:tcPr>
            <w:tcW w:w="1320" w:type="dxa"/>
            <w:vAlign w:val="bottom"/>
            <w:tcBorders>
              <w:top w:val="single" w:sz="8" w:color="auto"/>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760" w:type="dxa"/>
            <w:vAlign w:val="bottom"/>
            <w:tcBorders>
              <w:top w:val="single" w:sz="8" w:color="auto"/>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top w:val="single" w:sz="8" w:color="auto"/>
              <w:bottom w:val="single" w:sz="8" w:color="CFF0FC"/>
            </w:tcBorders>
            <w:shd w:val="clear" w:color="auto" w:fill="CFF0FC"/>
          </w:tcPr>
          <w:p>
            <w:pPr>
              <w:spacing w:after="0"/>
              <w:rPr>
                <w:sz w:val="22"/>
                <w:szCs w:val="22"/>
                <w:color w:val="auto"/>
              </w:rPr>
            </w:pPr>
          </w:p>
        </w:tc>
        <w:tc>
          <w:tcPr>
            <w:tcW w:w="1760" w:type="dxa"/>
            <w:vAlign w:val="bottom"/>
            <w:tcBorders>
              <w:top w:val="single" w:sz="8" w:color="auto"/>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420" w:type="dxa"/>
            <w:vAlign w:val="bottom"/>
            <w:tcBorders>
              <w:top w:val="single" w:sz="8" w:color="auto"/>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-25400</wp:posOffset>
            </wp:positionV>
            <wp:extent cx="685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-7620</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40" w:firstLine="255"/>
        <w:spacing w:after="0" w:line="258" w:lineRule="auto"/>
        <w:rPr>
          <w:sz w:val="20"/>
          <w:szCs w:val="20"/>
          <w:color w:val="auto"/>
        </w:rPr>
      </w:pPr>
      <w:r>
        <w:rPr>
          <w:rFonts w:ascii="Times New Roman" w:cs="Times New Roman" w:eastAsia="Times New Roman" w:hAnsi="Times New Roman"/>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83" w:lineRule="exact"/>
        <w:rPr>
          <w:sz w:val="20"/>
          <w:szCs w:val="20"/>
          <w:color w:val="auto"/>
        </w:rPr>
      </w:pPr>
    </w:p>
    <w:p>
      <w:pPr>
        <w:ind w:right="100" w:firstLine="255"/>
        <w:spacing w:after="0" w:line="256" w:lineRule="auto"/>
        <w:rPr>
          <w:sz w:val="20"/>
          <w:szCs w:val="20"/>
          <w:color w:val="auto"/>
        </w:rPr>
      </w:pPr>
      <w:r>
        <w:rPr>
          <w:rFonts w:ascii="Times New Roman" w:cs="Times New Roman" w:eastAsia="Times New Roman" w:hAnsi="Times New Roman"/>
          <w:sz w:val="18"/>
          <w:szCs w:val="18"/>
          <w:color w:val="auto"/>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Not Carried at Fair Value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w:t>
      </w:r>
    </w:p>
    <w:p>
      <w:pPr>
        <w:spacing w:after="0" w:line="117"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The fair value of the Company’s Credit Facilities, which are categorized as Level 3 within the fair value hierarchy, as of December 31, 2023 and 2022, approximates its carrying value as the outstanding balance is callable at carrying value.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Financial Assets and Liabilities</w:t>
      </w:r>
    </w:p>
    <w:p>
      <w:pPr>
        <w:spacing w:after="0" w:line="117" w:lineRule="exact"/>
        <w:rPr>
          <w:sz w:val="20"/>
          <w:szCs w:val="20"/>
          <w:color w:val="auto"/>
        </w:rPr>
      </w:pPr>
    </w:p>
    <w:p>
      <w:pPr>
        <w:ind w:right="680" w:firstLine="255"/>
        <w:spacing w:after="0" w:line="282" w:lineRule="auto"/>
        <w:rPr>
          <w:sz w:val="20"/>
          <w:szCs w:val="20"/>
          <w:color w:val="auto"/>
        </w:rPr>
      </w:pPr>
      <w:r>
        <w:rPr>
          <w:rFonts w:ascii="Times New Roman" w:cs="Times New Roman" w:eastAsia="Times New Roman" w:hAnsi="Times New Roman"/>
          <w:sz w:val="18"/>
          <w:szCs w:val="18"/>
          <w:color w:val="auto"/>
        </w:rPr>
        <w:t>Under the fair value hierarchy, cash and cash equivalents are classified as Level 1 while the Company’s other assets and liabilities, other than investments at fair value and Credit Facilities, are classified as Level 2.</w:t>
      </w:r>
    </w:p>
    <w:p>
      <w:pPr>
        <w:spacing w:after="0" w:line="3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85" w:right="47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Facility</w:t>
      </w:r>
    </w:p>
    <w:p>
      <w:pPr>
        <w:spacing w:after="0" w:line="119" w:lineRule="exact"/>
        <w:rPr>
          <w:sz w:val="20"/>
          <w:szCs w:val="20"/>
          <w:color w:val="auto"/>
        </w:rPr>
      </w:pPr>
    </w:p>
    <w:p>
      <w:pPr>
        <w:ind w:right="80" w:firstLine="255"/>
        <w:spacing w:after="0" w:line="266" w:lineRule="auto"/>
        <w:rPr>
          <w:sz w:val="20"/>
          <w:szCs w:val="20"/>
          <w:color w:val="auto"/>
        </w:rPr>
      </w:pPr>
      <w:r>
        <w:rPr>
          <w:rFonts w:ascii="Times New Roman" w:cs="Times New Roman" w:eastAsia="Times New Roman" w:hAnsi="Times New Roman"/>
          <w:sz w:val="18"/>
          <w:szCs w:val="18"/>
          <w:color w:val="auto"/>
        </w:rPr>
        <w:t>On September 1, 2022 (the “Subscription Facility Closing Date”), the Company entered into a revolving credit agreement (the “Subscription Facility”) with Wells Fargo Bank, National Association, as administrative agent (the “Administrative Agent”), letter of credit issuer, lead arranger, as a lender and aggregate commitments under the facility were $400 million.</w:t>
      </w:r>
    </w:p>
    <w:p>
      <w:pPr>
        <w:spacing w:after="0" w:line="68" w:lineRule="exact"/>
        <w:rPr>
          <w:sz w:val="20"/>
          <w:szCs w:val="20"/>
          <w:color w:val="auto"/>
        </w:rPr>
      </w:pPr>
    </w:p>
    <w:p>
      <w:pPr>
        <w:ind w:right="80" w:firstLine="300"/>
        <w:spacing w:after="0" w:line="255" w:lineRule="auto"/>
        <w:rPr>
          <w:sz w:val="20"/>
          <w:szCs w:val="20"/>
          <w:color w:val="auto"/>
        </w:rPr>
      </w:pPr>
      <w:r>
        <w:rPr>
          <w:rFonts w:ascii="Times New Roman" w:cs="Times New Roman" w:eastAsia="Times New Roman" w:hAnsi="Times New Roman"/>
          <w:sz w:val="18"/>
          <w:szCs w:val="18"/>
          <w:color w:val="auto"/>
        </w:rPr>
        <w:t>Pursuant to an amendment to the Subscription Facility dated as of December 21, 2022 (the “Subscription Facility First Amendment”), the aggregate commitments under the Subscription Facility were upsized to $700 million. Pursuant to lender joinder agreements dated January 18, 2023 and January 27, 2023, the aggregate commitments under the Subscription Facility were upsized to $800 million and $850 million, respectively. Pursuant to lender joinder agreements dated March 28, 2023, the aggregate commitments under the Subscription Facility were upsized to $1.3 billion. Pursuant to a lender joinder agreement dated April 27, 2023, the aggregate commitments under the Subscription Facility were upsized to $1.35 billion. Pursuant to a lender joinder agreement dated December 1, 2023 the aggregate commitments under the Subscription Facility were upsized to $1.5 billion (the “Maximum Commitment”).</w:t>
      </w:r>
    </w:p>
    <w:p>
      <w:pPr>
        <w:spacing w:after="0" w:line="81" w:lineRule="exact"/>
        <w:rPr>
          <w:sz w:val="20"/>
          <w:szCs w:val="20"/>
          <w:color w:val="auto"/>
        </w:rPr>
      </w:pPr>
    </w:p>
    <w:p>
      <w:pPr>
        <w:ind w:right="220" w:firstLine="255"/>
        <w:spacing w:after="0" w:line="258" w:lineRule="auto"/>
        <w:rPr>
          <w:sz w:val="20"/>
          <w:szCs w:val="20"/>
          <w:color w:val="auto"/>
        </w:rPr>
      </w:pPr>
      <w:r>
        <w:rPr>
          <w:rFonts w:ascii="Times New Roman" w:cs="Times New Roman" w:eastAsia="Times New Roman" w:hAnsi="Times New Roman"/>
          <w:sz w:val="18"/>
          <w:szCs w:val="18"/>
          <w:color w:val="auto"/>
        </w:rPr>
        <w:t>The Subscription Facility will mature upon the earliest of: (i) August 30, 2024 (the “Subscription Facility Stated Maturity Date”); (ii) the date upon which the Administrative Agent declares the obligations under the Subscription Facility due and payable after the occurrence of an event of default; (iii) forty-five (45) days prior to the date on which the Company’s ability to call capital commitments for purposes of repaying the obligations under the Subscription Facility is terminated; and (iv) the date the Company terminates the commitments pursuant to the Subscription Facility. At the Company’s option, the Subscription Facility Stated Maturity Date may be extended by up to 364 days, subject to satisfaction of customary conditions.</w:t>
      </w:r>
    </w:p>
    <w:p>
      <w:pPr>
        <w:spacing w:after="0" w:line="183"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Borrowings under the Subscription Facility bear interest, at our election at the time of drawdown, at a rate per annum equal to (i) in the case of loans denominated in dollars, at our option (a) an adjusted Daily Simple SOFR rate plus 1.95%, (b) an adjusted Term SOFR rate for the applicable interest period plus 1.95% and (c) in the case of reference rate loans, 0.95% plus the greatest of (1) a prime rate, (2) the federal funds rate plus 0.50% and (3) the adjusted Daily Simple SOFR plus 1.00%, (ii) in the case of loans denominated in euros or other alternative currencies (other than sterling), the adjusted Eurocurrency Rate for the applicable interest period plus 1.95% or (iii) in the case of loans denominated in sterling, the adjusted SONIA rate plus 1.95%. SOFR loans are subject to a credit spread adjustment ranging from 0.10% to 0.25% and SONIA loans are subject to a credit spread adjustment of 0.0326%. Loans denominated in dollars may be converted from one rate applicable to dollar denominated loans to another at any time at our election, subject to certain conditions. The Company also will pay an unused commitment fee of 0.25% per annum on the unused commitments.</w:t>
      </w:r>
    </w:p>
    <w:p>
      <w:pPr>
        <w:spacing w:after="0" w:line="192"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The Company may borrow amounts in U.S. dollars or certain other permitted currencies. As of December 31, 2023, the Company had outstanding debt denominated in British pounds (GBP) of 10.3 million, and Euros (EUR) of 13.4 million on its Subscription Facility, included in the outstanding principal amount in the table below. As of December 31, 2022 we had outstanding debt denominated in British pounds (GBP) of 10.3 million, and Euro (EUR) of 13.4 million on the Subscription Facility included in the Outstanding Principal amount in the table below.</w:t>
      </w:r>
    </w:p>
    <w:p>
      <w:pPr>
        <w:spacing w:after="0" w:line="180" w:lineRule="exact"/>
        <w:rPr>
          <w:sz w:val="20"/>
          <w:szCs w:val="20"/>
          <w:color w:val="auto"/>
        </w:rPr>
      </w:pPr>
    </w:p>
    <w:p>
      <w:pPr>
        <w:ind w:right="340" w:firstLine="255"/>
        <w:spacing w:after="0" w:line="266" w:lineRule="auto"/>
        <w:rPr>
          <w:sz w:val="20"/>
          <w:szCs w:val="20"/>
          <w:color w:val="auto"/>
        </w:rPr>
      </w:pPr>
      <w:r>
        <w:rPr>
          <w:rFonts w:ascii="Times New Roman" w:cs="Times New Roman" w:eastAsia="Times New Roman" w:hAnsi="Times New Roman"/>
          <w:sz w:val="18"/>
          <w:szCs w:val="18"/>
          <w:color w:val="auto"/>
        </w:rPr>
        <w:t>The Subscription Facility also provides for the issuance of letters of credit up to an aggregate amount of 10% of the Maximum Commitment. As of December 31, 2023 and December 31, 2022, the Company had no outstanding letters of credit issued through the Subscription Facility. The amount available for borrowing under the Subscription Facility is reduced by any letters of credit issued through the Subscription Facility.</w:t>
      </w:r>
    </w:p>
    <w:p>
      <w:pPr>
        <w:spacing w:after="0" w:line="176" w:lineRule="exact"/>
        <w:rPr>
          <w:sz w:val="20"/>
          <w:szCs w:val="20"/>
          <w:color w:val="auto"/>
        </w:rPr>
      </w:pPr>
    </w:p>
    <w:p>
      <w:pPr>
        <w:ind w:right="460" w:firstLine="255"/>
        <w:spacing w:after="0" w:line="282" w:lineRule="auto"/>
        <w:rPr>
          <w:sz w:val="20"/>
          <w:szCs w:val="20"/>
          <w:color w:val="auto"/>
        </w:rPr>
      </w:pPr>
      <w:r>
        <w:rPr>
          <w:rFonts w:ascii="Times New Roman" w:cs="Times New Roman" w:eastAsia="Times New Roman" w:hAnsi="Times New Roman"/>
          <w:sz w:val="18"/>
          <w:szCs w:val="18"/>
          <w:color w:val="auto"/>
        </w:rPr>
        <w:t>The Subscription Facility includes customary events of default, as well as customary covenants, including restrictions on certain distributions and financial covenants.</w:t>
      </w:r>
    </w:p>
    <w:p>
      <w:pPr>
        <w:spacing w:after="0" w:line="162" w:lineRule="exact"/>
        <w:rPr>
          <w:sz w:val="20"/>
          <w:szCs w:val="20"/>
          <w:color w:val="auto"/>
        </w:rPr>
      </w:pPr>
    </w:p>
    <w:p>
      <w:pPr>
        <w:ind w:right="1720" w:firstLine="255"/>
        <w:spacing w:after="0" w:line="438" w:lineRule="auto"/>
        <w:rPr>
          <w:sz w:val="20"/>
          <w:szCs w:val="20"/>
          <w:color w:val="auto"/>
        </w:rPr>
      </w:pPr>
      <w:r>
        <w:rPr>
          <w:rFonts w:ascii="Times New Roman" w:cs="Times New Roman" w:eastAsia="Times New Roman" w:hAnsi="Times New Roman"/>
          <w:sz w:val="18"/>
          <w:szCs w:val="18"/>
          <w:color w:val="auto"/>
        </w:rPr>
        <w:t xml:space="preserve">As of December 31, 2023, and December 31, 2022, the Company was in compliance with the terms of the Subscription Facility. </w:t>
      </w:r>
      <w:r>
        <w:rPr>
          <w:rFonts w:ascii="Times New Roman" w:cs="Times New Roman" w:eastAsia="Times New Roman" w:hAnsi="Times New Roman"/>
          <w:sz w:val="18"/>
          <w:szCs w:val="18"/>
          <w:i w:val="1"/>
          <w:iCs w:val="1"/>
          <w:color w:val="auto"/>
        </w:rPr>
        <w:t>Revolving Credit Facility</w:t>
      </w:r>
    </w:p>
    <w:p>
      <w:pPr>
        <w:spacing w:after="0" w:line="28" w:lineRule="exact"/>
        <w:rPr>
          <w:sz w:val="20"/>
          <w:szCs w:val="20"/>
          <w:color w:val="auto"/>
        </w:rPr>
      </w:pPr>
    </w:p>
    <w:p>
      <w:pPr>
        <w:ind w:right="160" w:firstLine="255"/>
        <w:spacing w:after="0" w:line="266" w:lineRule="auto"/>
        <w:rPr>
          <w:sz w:val="20"/>
          <w:szCs w:val="20"/>
          <w:color w:val="auto"/>
        </w:rPr>
      </w:pPr>
      <w:r>
        <w:rPr>
          <w:rFonts w:ascii="Times New Roman" w:cs="Times New Roman" w:eastAsia="Times New Roman" w:hAnsi="Times New Roman"/>
          <w:sz w:val="18"/>
          <w:szCs w:val="18"/>
          <w:color w:val="auto"/>
        </w:rPr>
        <w:t>On January 19, 2023 (the “Revolving Credit Facility Closing Date”), the Company entered into a senior secured revolving credit agreement (the “Revolving Credit Facility”) with Truist Bank, as administrative agent, JPMorgan Chase Bank, N.A., Royal Bank of Canada, State Street Bank and Trust Company and Wells Fargo Bank, N.A., as joint lead arrangers, and certain other lenders.</w:t>
      </w:r>
    </w:p>
    <w:p>
      <w:pPr>
        <w:spacing w:after="0" w:line="176"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The aggregate commitments under the facility were $600 million and included an uncommitted accordion feature that allows the Company, under certain circumstances, to increase the size of the facility up to $1 billion. On February 28, 2023, the aggregate commitments under the facility were upsized to $700 million. On July 27, 2023, the aggregate commitments under the facility were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color w:val="auto"/>
        </w:rPr>
        <w:t>upsized to $725 million. The Revolving Credit Facility will mature on January 19, 2028 (the “Revolving Credit Facility Maturity Date”).</w:t>
      </w:r>
    </w:p>
    <w:p>
      <w:pPr>
        <w:spacing w:after="0" w:line="225" w:lineRule="exact"/>
        <w:rPr>
          <w:sz w:val="20"/>
          <w:szCs w:val="20"/>
          <w:color w:val="auto"/>
        </w:rPr>
      </w:pPr>
    </w:p>
    <w:p>
      <w:pPr>
        <w:ind w:right="160" w:firstLine="255"/>
        <w:spacing w:after="0" w:line="261" w:lineRule="auto"/>
        <w:rPr>
          <w:sz w:val="20"/>
          <w:szCs w:val="20"/>
          <w:color w:val="auto"/>
        </w:rPr>
      </w:pPr>
      <w:r>
        <w:rPr>
          <w:rFonts w:ascii="Times New Roman" w:cs="Times New Roman" w:eastAsia="Times New Roman" w:hAnsi="Times New Roman"/>
          <w:sz w:val="18"/>
          <w:szCs w:val="18"/>
          <w:color w:val="auto"/>
        </w:rPr>
        <w:t>Subsequent to the year ended December 31, 2023, pursuant to an amendment to the Revolving Credit Facility dated February 8, 2024 (the “Revolving Credit Facility First Amendment”), the aggregate commitments under the Revolving Credit Facility were upsized to $1.0 billion and the stated maturity date was extended to February 8, 2029. The facility includes an uncommitted accordion feature that allows the Company, under certain circumstances, to increase the size of the facility to up to $1.75 billion.</w:t>
      </w:r>
    </w:p>
    <w:p>
      <w:pPr>
        <w:spacing w:after="0" w:line="180"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at our election at the time of drawdown, at a rate per annum equal to (i) in the case of loans denominated in dollars, at our option (a) adjusted Term SOFR plus 1.75% or 2.00%, based on certain borrowing base conditions and (b) an alternative base rate plus 1.75% or 2.00%, based on certain borrowing base conditions, (ii) in the case of loans denominated in other permitted currencies at the relevant rate specified plus 1.75% or 2.00%, based on certain borrowing base conditions, plus in the case of amounts denominated in certain other permitted currencies, an adjustment. We also will pay an unused commitment fee of 0.375% per annum on the unused commitments.</w:t>
      </w:r>
    </w:p>
    <w:p>
      <w:pPr>
        <w:spacing w:after="0" w:line="183" w:lineRule="exact"/>
        <w:rPr>
          <w:sz w:val="20"/>
          <w:szCs w:val="20"/>
          <w:color w:val="auto"/>
        </w:rPr>
      </w:pPr>
    </w:p>
    <w:p>
      <w:pPr>
        <w:jc w:val="both"/>
        <w:ind w:right="20" w:firstLine="255"/>
        <w:spacing w:after="0" w:line="266" w:lineRule="auto"/>
        <w:rPr>
          <w:sz w:val="20"/>
          <w:szCs w:val="20"/>
          <w:color w:val="auto"/>
        </w:rPr>
      </w:pPr>
      <w:r>
        <w:rPr>
          <w:rFonts w:ascii="Times New Roman" w:cs="Times New Roman" w:eastAsia="Times New Roman" w:hAnsi="Times New Roman"/>
          <w:sz w:val="18"/>
          <w:szCs w:val="18"/>
          <w:color w:val="auto"/>
        </w:rPr>
        <w:t>The Revolving Credit Facility is guaranteed by Sixth Street LP Holding II, LLC and SSLP Lending, LLC.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76"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The Revolving Credit Facility includes customary events of default, as well as customary covenants, including restrictions on certain distributions and financial covenants. In accordance with the terms of the Revolving Credit Agreement, the financial covenants require:</w:t>
      </w:r>
    </w:p>
    <w:p>
      <w:pPr>
        <w:spacing w:after="0" w:line="54" w:lineRule="exact"/>
        <w:rPr>
          <w:sz w:val="20"/>
          <w:szCs w:val="20"/>
          <w:color w:val="auto"/>
        </w:rPr>
      </w:pPr>
    </w:p>
    <w:p>
      <w:pPr>
        <w:ind w:left="1020" w:hanging="503"/>
        <w:spacing w:after="0"/>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asset coverage ratio of no less than 1.5 to 1 on the last day of any fiscal quarter;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equity of at least $356 million plus 25% of the net proceeds of the sale of equity interests after January 19, 2023; and</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61" w:lineRule="auto"/>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(the “Obligor Asset Coverage Ratio”). The Revolving Credit Facility also contains certain additional concentration limits in connection with the calculation of the borrowing base, based on the Obligor Asset Coverage Ratio.</w:t>
      </w:r>
    </w:p>
    <w:p>
      <w:pPr>
        <w:spacing w:after="0" w:line="180" w:lineRule="exact"/>
        <w:rPr>
          <w:sz w:val="20"/>
          <w:szCs w:val="20"/>
          <w:color w:val="auto"/>
        </w:rPr>
      </w:pPr>
    </w:p>
    <w:p>
      <w:pPr>
        <w:ind w:right="220" w:firstLine="255"/>
        <w:spacing w:after="0" w:line="282" w:lineRule="auto"/>
        <w:rPr>
          <w:sz w:val="20"/>
          <w:szCs w:val="20"/>
          <w:color w:val="auto"/>
        </w:rPr>
      </w:pPr>
      <w:r>
        <w:rPr>
          <w:rFonts w:ascii="Times New Roman" w:cs="Times New Roman" w:eastAsia="Times New Roman" w:hAnsi="Times New Roman"/>
          <w:sz w:val="18"/>
          <w:szCs w:val="18"/>
          <w:color w:val="auto"/>
        </w:rPr>
        <w:t>The Revolving Credit Facility also contains certain additional concentration limits in connection with the calculation of the borrowing base, based on the Obligor Asset Coverage Ratio.</w:t>
      </w:r>
    </w:p>
    <w:p>
      <w:pPr>
        <w:spacing w:after="0" w:line="162" w:lineRule="exact"/>
        <w:rPr>
          <w:sz w:val="20"/>
          <w:szCs w:val="20"/>
          <w:color w:val="auto"/>
        </w:rPr>
      </w:pPr>
    </w:p>
    <w:p>
      <w:pPr>
        <w:jc w:val="both"/>
        <w:ind w:right="80" w:firstLine="255"/>
        <w:spacing w:after="0" w:line="266" w:lineRule="auto"/>
        <w:rPr>
          <w:sz w:val="20"/>
          <w:szCs w:val="20"/>
          <w:color w:val="auto"/>
        </w:rPr>
      </w:pPr>
      <w:r>
        <w:rPr>
          <w:rFonts w:ascii="Times New Roman" w:cs="Times New Roman" w:eastAsia="Times New Roman" w:hAnsi="Times New Roman"/>
          <w:sz w:val="18"/>
          <w:szCs w:val="18"/>
          <w:color w:val="auto"/>
        </w:rPr>
        <w:t>The Company may borrow amounts in U.S. dollars or certain other permitted currencies. As of December 31, 2023, the Company had outstanding debt denominated in British pounds (GBP) of 68.7 million and Euros (EUR) 95.7 million on its Revolving Credit Facility, included in the outstanding principal amount in the table below.</w:t>
      </w:r>
    </w:p>
    <w:p>
      <w:pPr>
        <w:spacing w:after="0" w:line="176" w:lineRule="exact"/>
        <w:rPr>
          <w:sz w:val="20"/>
          <w:szCs w:val="20"/>
          <w:color w:val="auto"/>
        </w:rPr>
      </w:pPr>
    </w:p>
    <w:p>
      <w:pPr>
        <w:jc w:val="both"/>
        <w:ind w:right="180" w:firstLine="255"/>
        <w:spacing w:after="0" w:line="266" w:lineRule="auto"/>
        <w:rPr>
          <w:sz w:val="20"/>
          <w:szCs w:val="20"/>
          <w:color w:val="auto"/>
        </w:rPr>
      </w:pPr>
      <w:r>
        <w:rPr>
          <w:rFonts w:ascii="Times New Roman" w:cs="Times New Roman" w:eastAsia="Times New Roman" w:hAnsi="Times New Roman"/>
          <w:sz w:val="18"/>
          <w:szCs w:val="18"/>
          <w:color w:val="auto"/>
        </w:rPr>
        <w:t>The Revolving Credit Facility also provides for the issuance of letters of credit up to an aggregate amount of $175 million. As of December 31, 2023, the Company had $5.5 million in outstanding letters of credit issued through the Revolving Credit Facility. The amount available for borrowing under the Revolving Credit Facility is reduced by any letters of credit issued through the Revolving Credit Facility.</w:t>
      </w:r>
    </w:p>
    <w:p>
      <w:pPr>
        <w:spacing w:after="0" w:line="68" w:lineRule="exact"/>
        <w:rPr>
          <w:sz w:val="20"/>
          <w:szCs w:val="20"/>
          <w:color w:val="auto"/>
        </w:rPr>
      </w:pPr>
    </w:p>
    <w:p>
      <w:pPr>
        <w:ind w:right="60" w:firstLine="255"/>
        <w:spacing w:after="0" w:line="312" w:lineRule="auto"/>
        <w:rPr>
          <w:sz w:val="20"/>
          <w:szCs w:val="20"/>
          <w:color w:val="auto"/>
        </w:rPr>
      </w:pPr>
      <w:r>
        <w:rPr>
          <w:rFonts w:ascii="Times New Roman" w:cs="Times New Roman" w:eastAsia="Times New Roman" w:hAnsi="Times New Roman"/>
          <w:sz w:val="17"/>
          <w:szCs w:val="17"/>
          <w:color w:val="auto"/>
        </w:rPr>
        <w:t>In accordance with the 1940 Act, with certain limitations, the Company is allowed to borrow amounts such that its asset coverage, as defined in the 1940 Act, is at least 150% after such borrowing. As of December 31, 2023 and 2022, the Company’s asset coverage was 245.6% and 201.6%, respectively.</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Debt obligations consisted of the following as of December 31, 2023 and 2022: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6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6"/>
        </w:trPr>
        <w:tc>
          <w:tcPr>
            <w:tcW w:w="36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6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Committed</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7"/>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Available </w:t>
            </w:r>
            <w:r>
              <w:rPr>
                <w:rFonts w:ascii="Times New Roman" w:cs="Times New Roman" w:eastAsia="Times New Roman" w:hAnsi="Times New Roman"/>
                <w:sz w:val="19"/>
                <w:szCs w:val="19"/>
                <w:b w:val="1"/>
                <w:bCs w:val="1"/>
                <w:color w:val="auto"/>
                <w:vertAlign w:val="superscript"/>
              </w:rPr>
              <w:t>(1)</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7"/>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19"/>
                <w:szCs w:val="19"/>
                <w:b w:val="1"/>
                <w:bCs w:val="1"/>
                <w:color w:val="auto"/>
                <w:vertAlign w:val="superscript"/>
              </w:rPr>
              <w:t>(2)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Subscription Facility</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1,054,733</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445,267</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1,051,033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725,000</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193,282</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526,218</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3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0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2,225,000</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1,248,015</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971,485</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1,239,862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631"/>
        </w:trPr>
        <w:tc>
          <w:tcPr>
            <w:tcW w:w="3660" w:type="dxa"/>
            <w:vAlign w:val="bottom"/>
          </w:tcPr>
          <w:p>
            <w:pPr>
              <w:spacing w:after="0"/>
              <w:rPr>
                <w:sz w:val="24"/>
                <w:szCs w:val="24"/>
                <w:color w:val="auto"/>
              </w:rPr>
            </w:pPr>
          </w:p>
        </w:tc>
        <w:tc>
          <w:tcPr>
            <w:tcW w:w="2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F-24</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36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-925195</wp:posOffset>
            </wp:positionV>
            <wp:extent cx="7747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-908050</wp:posOffset>
            </wp:positionV>
            <wp:extent cx="7747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-925195</wp:posOffset>
            </wp:positionV>
            <wp:extent cx="6858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-908050</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-925195</wp:posOffset>
            </wp:positionV>
            <wp:extent cx="6858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-908050</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4" w:name="page105"/>
    <w:bookmarkEnd w:id="104"/>
    <w:p>
      <w:pPr>
        <w:ind w:left="520" w:right="80" w:hanging="512"/>
        <w:spacing w:after="0" w:line="261" w:lineRule="auto"/>
        <w:tabs>
          <w:tab w:leader="none" w:pos="5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may be subject to limitations related to the borrowing base under the Subscription Facility, Revolving Credit Facility and asset coverage requirements.</w:t>
      </w:r>
    </w:p>
    <w:p>
      <w:pPr>
        <w:ind w:left="520" w:right="340" w:hanging="512"/>
        <w:spacing w:after="0" w:line="260" w:lineRule="auto"/>
        <w:tabs>
          <w:tab w:leader="none" w:pos="5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Subscription Facility and Revolving Credit Facility are presented net deferred financing costs of $3.7 million and $4.5 million, respectively.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center"/>
              <w:ind w:right="82"/>
              <w:spacing w:after="0" w:line="131"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6"/>
        </w:trPr>
        <w:tc>
          <w:tcPr>
            <w:tcW w:w="5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82"/>
              <w:spacing w:after="0" w:line="146"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Committed</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9"/>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Available </w:t>
            </w:r>
            <w:r>
              <w:rPr>
                <w:rFonts w:ascii="Times New Roman" w:cs="Times New Roman" w:eastAsia="Times New Roman" w:hAnsi="Times New Roman"/>
                <w:sz w:val="19"/>
                <w:szCs w:val="19"/>
                <w:b w:val="1"/>
                <w:bCs w:val="1"/>
                <w:color w:val="auto"/>
                <w:vertAlign w:val="superscript"/>
              </w:rPr>
              <w:t>(1)</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9"/>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19"/>
                <w:szCs w:val="19"/>
                <w:b w:val="1"/>
                <w:bCs w:val="1"/>
                <w:color w:val="auto"/>
                <w:vertAlign w:val="superscript"/>
              </w:rPr>
              <w:t>(2)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Subscription Facility</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537,991</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162,009</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534,080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537,991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162,009</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-187960</wp:posOffset>
            </wp:positionV>
            <wp:extent cx="7747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-187960</wp:posOffset>
            </wp:positionV>
            <wp:extent cx="6858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-187960</wp:posOffset>
            </wp:positionV>
            <wp:extent cx="6858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6" w:lineRule="exact"/>
        <w:rPr>
          <w:sz w:val="20"/>
          <w:szCs w:val="20"/>
          <w:color w:val="auto"/>
        </w:rPr>
      </w:pPr>
    </w:p>
    <w:p>
      <w:pPr>
        <w:ind w:left="520" w:hanging="512"/>
        <w:spacing w:after="0"/>
        <w:tabs>
          <w:tab w:leader="none" w:pos="5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may be subject to limitations related to the borrowing base under the Subscription Facility and asset coverage requirements.</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 of the Subscription Facility is presented net deferred financing costs of $3.9 million.</w:t>
      </w:r>
    </w:p>
    <w:p>
      <w:pPr>
        <w:spacing w:after="0" w:line="207" w:lineRule="exact"/>
        <w:rPr>
          <w:sz w:val="20"/>
          <w:szCs w:val="20"/>
          <w:color w:val="auto"/>
        </w:rPr>
      </w:pPr>
    </w:p>
    <w:p>
      <w:pPr>
        <w:ind w:right="180" w:firstLine="45"/>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and for the period from April 5, 2022 (Inception) through December 31, 2022, the components of interest expense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From April 5, 2022</w:t>
            </w:r>
          </w:p>
        </w:tc>
        <w:tc>
          <w:tcPr>
            <w:tcW w:w="0" w:type="dxa"/>
            <w:vAlign w:val="bottom"/>
          </w:tcPr>
          <w:p>
            <w:pPr>
              <w:spacing w:after="0"/>
              <w:rPr>
                <w:sz w:val="1"/>
                <w:szCs w:val="1"/>
                <w:color w:val="auto"/>
              </w:rPr>
            </w:pPr>
          </w:p>
        </w:tc>
      </w:tr>
      <w:tr>
        <w:trPr>
          <w:trHeight w:val="175"/>
        </w:trPr>
        <w:tc>
          <w:tcPr>
            <w:tcW w:w="7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(Inception) through</w:t>
            </w:r>
          </w:p>
        </w:tc>
        <w:tc>
          <w:tcPr>
            <w:tcW w:w="0" w:type="dxa"/>
            <w:vAlign w:val="bottom"/>
          </w:tcPr>
          <w:p>
            <w:pPr>
              <w:spacing w:after="0"/>
              <w:rPr>
                <w:sz w:val="1"/>
                <w:szCs w:val="1"/>
                <w:color w:val="auto"/>
              </w:rPr>
            </w:pPr>
          </w:p>
        </w:tc>
      </w:tr>
      <w:tr>
        <w:trPr>
          <w:trHeight w:val="187"/>
        </w:trPr>
        <w:tc>
          <w:tcPr>
            <w:tcW w:w="7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64,118</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 fees</w:t>
            </w: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4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72,356</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Average debt outstanding (in millions)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876,874</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-342265</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-342265</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45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7.3 %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Portfolio Company Commitments</w:t>
      </w:r>
    </w:p>
    <w:p>
      <w:pPr>
        <w:spacing w:after="0" w:line="119"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w:t>
      </w:r>
    </w:p>
    <w:p>
      <w:pPr>
        <w:spacing w:after="0" w:line="18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309" w:right="279" w:bottom="1440" w:gutter="0" w:footer="0" w:header="0"/>
        </w:sectPr>
      </w:pPr>
    </w:p>
    <w:bookmarkStart w:id="105" w:name="page106"/>
    <w:bookmarkEnd w:id="105"/>
    <w:p>
      <w:pPr>
        <w:ind w:left="260"/>
        <w:spacing w:after="0"/>
        <w:rPr>
          <w:sz w:val="20"/>
          <w:szCs w:val="20"/>
          <w:color w:val="auto"/>
        </w:rPr>
      </w:pPr>
      <w:r>
        <w:rPr>
          <w:rFonts w:ascii="Times New Roman" w:cs="Times New Roman" w:eastAsia="Times New Roman" w:hAnsi="Times New Roman"/>
          <w:sz w:val="18"/>
          <w:szCs w:val="18"/>
          <w:color w:val="auto"/>
        </w:rPr>
        <w:t>As of December 31, 2023 and 2022, the Company had the following commitments to fund investments in current portfolio companies: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r>
      <w:tr>
        <w:trPr>
          <w:trHeight w:val="237"/>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Alaska Bidco Oy - Delayed Draw &amp; Revolver</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5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Arrow Buyer, Inc. - Delayed Draw</w:t>
            </w: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Artisan Bidco, Inc - Revolver</w:t>
            </w: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21,283</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Avalara, Inc. - Revolver</w:t>
            </w: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13,636</w:t>
            </w:r>
          </w:p>
        </w:tc>
        <w:tc>
          <w:tcPr>
            <w:tcW w:w="100" w:type="dxa"/>
            <w:vAlign w:val="bottom"/>
          </w:tcPr>
          <w:p>
            <w:pPr>
              <w:spacing w:after="0"/>
              <w:rPr>
                <w:sz w:val="20"/>
                <w:szCs w:val="20"/>
                <w:color w:val="auto"/>
              </w:rPr>
            </w:pPr>
          </w:p>
        </w:tc>
      </w:tr>
      <w:tr>
        <w:trPr>
          <w:trHeight w:val="247"/>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Banyan Software Holdings, LLC - Delayed Draw</w:t>
            </w: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20,073</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BCTO Bluebill Buyer, Inc. - Delayed Draw</w:t>
            </w: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BTRS Holdings, Inc. - Delayed Draw &amp; Revolver</w:t>
            </w: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16,689</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25,915</w:t>
            </w:r>
          </w:p>
        </w:tc>
        <w:tc>
          <w:tcPr>
            <w:tcW w:w="100" w:type="dxa"/>
            <w:vAlign w:val="bottom"/>
            <w:shd w:val="clear" w:color="auto" w:fill="CFF0FC"/>
          </w:tcPr>
          <w:p>
            <w:pPr>
              <w:spacing w:after="0"/>
              <w:rPr>
                <w:sz w:val="21"/>
                <w:szCs w:val="21"/>
                <w:color w:val="auto"/>
              </w:rPr>
            </w:pPr>
          </w:p>
        </w:tc>
      </w:tr>
      <w:tr>
        <w:trPr>
          <w:trHeight w:val="239"/>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Coupa Holdings, LLC - Delayed Draw &amp; Revolver</w:t>
            </w: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Crewline Buyer, Inc. - Revolver &amp; Partnership Interest</w:t>
            </w: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20,809</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 Parent, Inc. - Revolver</w:t>
            </w: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Edge Bidco B.V. - Delayed Draw &amp; Revolver</w:t>
            </w: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Erling Lux Bidco SARL - Delayed Draw &amp; Revolver</w:t>
            </w: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100" w:type="dxa"/>
            <w:vAlign w:val="bottom"/>
          </w:tcPr>
          <w:p>
            <w:pPr>
              <w:spacing w:after="0"/>
              <w:rPr>
                <w:sz w:val="20"/>
                <w:szCs w:val="20"/>
                <w:color w:val="auto"/>
              </w:rPr>
            </w:pPr>
          </w:p>
        </w:tc>
      </w:tr>
      <w:tr>
        <w:trPr>
          <w:trHeight w:val="247"/>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Fullsteam Operations, LLC - Delayed Draw &amp; Revolver</w:t>
            </w: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31,239</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Galileo Parent, Inc. - Revolver</w:t>
            </w: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Hirevue, Inc. - Revolver</w:t>
            </w: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14,113</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Hornetsecurity Holding GmbH - Delayed Draw &amp; Revolver</w:t>
            </w: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00" w:type="dxa"/>
            <w:vAlign w:val="bottom"/>
          </w:tcPr>
          <w:p>
            <w:pPr>
              <w:spacing w:after="0"/>
              <w:rPr>
                <w:sz w:val="20"/>
                <w:szCs w:val="20"/>
                <w:color w:val="auto"/>
              </w:rPr>
            </w:pPr>
          </w:p>
        </w:tc>
      </w:tr>
      <w:tr>
        <w:trPr>
          <w:trHeight w:val="247"/>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Kangaroo Bidco AS - Delayed Draw</w:t>
            </w: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53,817</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Laramie Energy, LLC - Delayed Draw</w:t>
            </w: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OutSystems Luxco SARL - Delayed Draw</w:t>
            </w: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00" w:type="dxa"/>
            <w:vAlign w:val="bottom"/>
            <w:shd w:val="clear" w:color="auto" w:fill="CFF0FC"/>
          </w:tcPr>
          <w:p>
            <w:pPr>
              <w:spacing w:after="0"/>
              <w:rPr>
                <w:sz w:val="21"/>
                <w:szCs w:val="21"/>
                <w:color w:val="auto"/>
              </w:rPr>
            </w:pPr>
          </w:p>
        </w:tc>
      </w:tr>
      <w:tr>
        <w:trPr>
          <w:trHeight w:val="239"/>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Ping Identity Holding Corp. - Revolver</w:t>
            </w: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13,636</w:t>
            </w:r>
          </w:p>
        </w:tc>
        <w:tc>
          <w:tcPr>
            <w:tcW w:w="100" w:type="dxa"/>
            <w:vAlign w:val="bottom"/>
          </w:tcPr>
          <w:p>
            <w:pPr>
              <w:spacing w:after="0"/>
              <w:rPr>
                <w:sz w:val="20"/>
                <w:szCs w:val="20"/>
                <w:color w:val="auto"/>
              </w:rPr>
            </w:pPr>
          </w:p>
        </w:tc>
      </w:tr>
      <w:tr>
        <w:trPr>
          <w:trHeight w:val="247"/>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Rapid Data GmbH Unternehmensberatung - Delayed Draw &amp; Revolver</w:t>
            </w: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6,255</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Skylark UK DebtCo - Delayed Draw</w:t>
            </w: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SL Buyer Corp - Delayed Draw</w:t>
            </w: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Wrangler TopCo, LLC - Revolver</w:t>
            </w:r>
          </w:p>
        </w:tc>
        <w:tc>
          <w:tcPr>
            <w:tcW w:w="2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9,576</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76"/>
        </w:trPr>
        <w:tc>
          <w:tcPr>
            <w:tcW w:w="6960" w:type="dxa"/>
            <w:vAlign w:val="bottom"/>
            <w:tcBorders>
              <w:bottom w:val="single" w:sz="8" w:color="CFF0FC"/>
            </w:tcBorders>
            <w:shd w:val="clear" w:color="auto" w:fill="CFF0FC"/>
          </w:tcPr>
          <w:p>
            <w:pPr>
              <w:ind w:left="200"/>
              <w:spacing w:after="0" w:line="236" w:lineRule="exact"/>
              <w:rPr>
                <w:sz w:val="20"/>
                <w:szCs w:val="20"/>
                <w:color w:val="auto"/>
              </w:rPr>
            </w:pPr>
            <w:r>
              <w:rPr>
                <w:rFonts w:ascii="Times New Roman" w:cs="Times New Roman" w:eastAsia="Times New Roman" w:hAnsi="Times New Roman"/>
                <w:sz w:val="18"/>
                <w:szCs w:val="18"/>
                <w:b w:val="1"/>
                <w:bCs w:val="1"/>
                <w:color w:val="auto"/>
              </w:rPr>
              <w:t xml:space="preserve">Total Portfolio Company Commitments </w:t>
            </w:r>
            <w:r>
              <w:rPr>
                <w:rFonts w:ascii="Times New Roman" w:cs="Times New Roman" w:eastAsia="Times New Roman" w:hAnsi="Times New Roman"/>
                <w:sz w:val="24"/>
                <w:szCs w:val="24"/>
                <w:b w:val="1"/>
                <w:bCs w:val="1"/>
                <w:color w:val="auto"/>
                <w:vertAlign w:val="superscript"/>
              </w:rPr>
              <w:t>(1)(2)</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358,502</w:t>
            </w:r>
          </w:p>
        </w:tc>
        <w:tc>
          <w:tcPr>
            <w:tcW w:w="10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62,983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-24765</wp:posOffset>
            </wp:positionV>
            <wp:extent cx="685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7" w:lineRule="exact"/>
        <w:rPr>
          <w:sz w:val="20"/>
          <w:szCs w:val="20"/>
          <w:color w:val="auto"/>
        </w:rPr>
      </w:pPr>
    </w:p>
    <w:p>
      <w:pPr>
        <w:ind w:left="380" w:right="480" w:hanging="372"/>
        <w:spacing w:after="0" w:line="260" w:lineRule="auto"/>
        <w:tabs>
          <w:tab w:leader="none" w:pos="3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full amount of the Company’s commitments to fund investments on such date. Commitments may be subject to limitations on borrowings set forth in the agreements between the Company and the applicable portfolio company. As a result, portfolio companies may not be eligible to borrow the full commitment amount on such date.</w:t>
      </w:r>
    </w:p>
    <w:p>
      <w:pPr>
        <w:spacing w:after="0" w:line="2" w:lineRule="exact"/>
        <w:rPr>
          <w:rFonts w:ascii="Times New Roman" w:cs="Times New Roman" w:eastAsia="Times New Roman" w:hAnsi="Times New Roman"/>
          <w:sz w:val="18"/>
          <w:szCs w:val="18"/>
          <w:color w:val="auto"/>
        </w:rPr>
      </w:pPr>
    </w:p>
    <w:p>
      <w:pPr>
        <w:ind w:left="380" w:right="700" w:hanging="372"/>
        <w:spacing w:after="0" w:line="282" w:lineRule="auto"/>
        <w:tabs>
          <w:tab w:leader="none" w:pos="3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estimate of the fair value of the current investments in these portfolio companies includes an analysis of the fair value of any unfunded commitments.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 and Contingencies</w:t>
      </w:r>
    </w:p>
    <w:p>
      <w:pPr>
        <w:spacing w:after="0" w:line="119" w:lineRule="exact"/>
        <w:rPr>
          <w:sz w:val="20"/>
          <w:szCs w:val="20"/>
          <w:color w:val="auto"/>
        </w:rPr>
      </w:pPr>
    </w:p>
    <w:p>
      <w:pPr>
        <w:jc w:val="both"/>
        <w:ind w:right="140" w:firstLine="255"/>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 did not have any unfunded commitments to fund investments to new borrowers that were not current portfolio companies as of such date.</w:t>
      </w:r>
    </w:p>
    <w:p>
      <w:pPr>
        <w:spacing w:after="0" w:line="162" w:lineRule="exact"/>
        <w:rPr>
          <w:sz w:val="20"/>
          <w:szCs w:val="20"/>
          <w:color w:val="auto"/>
        </w:rPr>
      </w:pPr>
    </w:p>
    <w:p>
      <w:pPr>
        <w:jc w:val="both"/>
        <w:ind w:right="120" w:firstLine="255"/>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a party to certain legal proceedings incidental to the normal course of its business. As of December 31, 2023 and 2022, management is not aware of any material pending or threatened litigation that would require accounting recognition or financial statement disclosure.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Net Assets</w:t>
      </w:r>
    </w:p>
    <w:p>
      <w:pPr>
        <w:spacing w:after="0" w:line="229"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In connection with its formation, the Company has the authority to issue an unlimited number of Common Shares of beneficial interest at $0.001 per share par value. On June 24, 2022, our Adviser purchased $30 thousand of Common Shares of the Company at a price of $25.00 per Common Share as our initial capital. These Common Shares were issued and sold in reliance upon Section 4(a)(2) of the Securities Act, which provides an exemption from the registration requirements of the Securities Act.</w:t>
      </w:r>
    </w:p>
    <w:p>
      <w:pPr>
        <w:spacing w:after="0" w:line="180" w:lineRule="exact"/>
        <w:rPr>
          <w:sz w:val="20"/>
          <w:szCs w:val="20"/>
          <w:color w:val="auto"/>
        </w:rPr>
      </w:pPr>
    </w:p>
    <w:p>
      <w:pPr>
        <w:ind w:right="340" w:firstLine="255"/>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2023, the Company entered into subscription agreements (the “Subscription Agreements”) with investors providing for the private placement of the Company’s Common Shares. Under the terms of the Subscription Agreements, investors are required to fund drawdowns to purchase the Company’s Common Shares up to the amount of their respective Capital Commitment on an as-needed basis each time the Company delivers a drawdown notice to its investors. As of December 31, 2023, the Company had received Capital Commitments totaling $7.4 billion ($5.7 billion remaining undrawn). As of December 31, 2022, the we had received Capital Commitments totaling $2.7 billion ($2.1 billion remaining undrawn).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6" w:name="page107"/>
    <w:bookmarkEnd w:id="106"/>
    <w:p>
      <w:pPr>
        <w:ind w:firstLine="255"/>
        <w:spacing w:after="0" w:line="256" w:lineRule="auto"/>
        <w:rPr>
          <w:sz w:val="20"/>
          <w:szCs w:val="20"/>
          <w:color w:val="auto"/>
        </w:rPr>
      </w:pPr>
      <w:r>
        <w:rPr>
          <w:rFonts w:ascii="Times New Roman" w:cs="Times New Roman" w:eastAsia="Times New Roman" w:hAnsi="Times New Roman"/>
          <w:sz w:val="18"/>
          <w:szCs w:val="18"/>
          <w:color w:val="auto"/>
        </w:rPr>
        <w:t>The Company has a dividend reinvestment plan, whereby the Company may issue Common Shares in order to satisfy dividend reinvestment requests. The number of Common Shares to be issued to a shareholder is determined by dividing the total dollar amount of the cash dividend or distribution payable to a shareholder by the price per share of the Company’s Common Shares at the close of the payment date of a distribution. However, if the price per share on the payment date of a cash dividend or distribution exceeds the most recently computed net asset value per share, the Company will issue shares at the greater of (i) the most recently computed net asset value per share and (ii) 95% of the current price per share (or such lesser discount to the current price per share that still exceeds the most recently computed net asset value per share).</w:t>
      </w:r>
    </w:p>
    <w:p>
      <w:pPr>
        <w:spacing w:after="0" w:line="187"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Pursuant to the Company’s dividend reinvestment plan, the following tables summarize the Common Shares issued to shareholders who have not opted out of the Company’s dividend reinvestment plan for the year ended December 31, 2023. All shares issued to shareholders in the tables below are newly issued shares. From April 5, 2022 (Inception) through December 31, 2022, no Common Shares were issued to shareholders who have not opted out of the Company’s dividend reinvestment plan.</w:t>
      </w:r>
    </w:p>
    <w:p>
      <w:pPr>
        <w:spacing w:after="0" w:line="200" w:lineRule="exact"/>
        <w:rPr>
          <w:sz w:val="20"/>
          <w:szCs w:val="20"/>
          <w:color w:val="auto"/>
        </w:rPr>
      </w:pPr>
    </w:p>
    <w:p>
      <w:pPr>
        <w:spacing w:after="0" w:line="203" w:lineRule="exact"/>
        <w:rPr>
          <w:sz w:val="20"/>
          <w:szCs w:val="20"/>
          <w:color w:val="auto"/>
        </w:rPr>
      </w:pPr>
    </w:p>
    <w:tbl>
      <w:tblPr>
        <w:tblLayout w:type="fixed"/>
        <w:tblInd w:w="1480" w:type="dxa"/>
        <w:tblCellMar>
          <w:top w:w="0" w:type="dxa"/>
          <w:left w:w="0" w:type="dxa"/>
          <w:bottom w:w="0" w:type="dxa"/>
          <w:right w:w="0" w:type="dxa"/>
        </w:tblCellMar>
      </w:tblPr>
      <w:tr>
        <w:trPr>
          <w:trHeight w:val="175"/>
        </w:trPr>
        <w:tc>
          <w:tcPr>
            <w:tcW w:w="3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80" w:type="dxa"/>
            <w:vAlign w:val="bottom"/>
            <w:gridSpan w:val="3"/>
          </w:tcPr>
          <w:p>
            <w:pPr>
              <w:jc w:val="right"/>
              <w:ind w:right="737"/>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7"/>
        </w:trPr>
        <w:tc>
          <w:tcPr>
            <w:tcW w:w="3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80" w:type="dxa"/>
            <w:vAlign w:val="bottom"/>
            <w:tcBorders>
              <w:bottom w:val="single" w:sz="8" w:color="auto"/>
            </w:tcBorders>
            <w:gridSpan w:val="3"/>
          </w:tcPr>
          <w:p>
            <w:pPr>
              <w:jc w:val="right"/>
              <w:ind w:right="73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58"/>
        </w:trPr>
        <w:tc>
          <w:tcPr>
            <w:tcW w:w="3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jc w:val="right"/>
              <w:ind w:right="617"/>
              <w:spacing w:after="0" w:line="158" w:lineRule="exact"/>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7"/>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360" w:type="dxa"/>
            <w:vAlign w:val="bottom"/>
          </w:tcPr>
          <w:p>
            <w:pPr>
              <w:spacing w:after="0"/>
              <w:rPr>
                <w:sz w:val="16"/>
                <w:szCs w:val="16"/>
                <w:color w:val="auto"/>
              </w:rPr>
            </w:pPr>
          </w:p>
        </w:tc>
        <w:tc>
          <w:tcPr>
            <w:tcW w:w="19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20" w:type="dxa"/>
            <w:vAlign w:val="bottom"/>
          </w:tcPr>
          <w:p>
            <w:pPr>
              <w:spacing w:after="0"/>
              <w:rPr>
                <w:sz w:val="16"/>
                <w:szCs w:val="16"/>
                <w:color w:val="auto"/>
              </w:rPr>
            </w:pPr>
          </w:p>
        </w:tc>
        <w:tc>
          <w:tcPr>
            <w:tcW w:w="16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80" w:type="dxa"/>
            <w:vAlign w:val="bottom"/>
          </w:tcPr>
          <w:p>
            <w:pPr>
              <w:spacing w:after="0"/>
              <w:rPr>
                <w:sz w:val="16"/>
                <w:szCs w:val="16"/>
                <w:color w:val="auto"/>
              </w:rPr>
            </w:pPr>
          </w:p>
        </w:tc>
      </w:tr>
      <w:tr>
        <w:trPr>
          <w:trHeight w:val="237"/>
        </w:trPr>
        <w:tc>
          <w:tcPr>
            <w:tcW w:w="3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31, 2023</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March 31, 2023</w:t>
            </w:r>
          </w:p>
        </w:tc>
        <w:tc>
          <w:tcPr>
            <w:tcW w:w="120" w:type="dxa"/>
            <w:vAlign w:val="bottom"/>
            <w:shd w:val="clear" w:color="auto" w:fill="CFF0FC"/>
          </w:tcPr>
          <w:p>
            <w:pPr>
              <w:spacing w:after="0"/>
              <w:rPr>
                <w:sz w:val="20"/>
                <w:szCs w:val="20"/>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May 10, 2023</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371,108</w:t>
            </w:r>
          </w:p>
        </w:tc>
        <w:tc>
          <w:tcPr>
            <w:tcW w:w="80" w:type="dxa"/>
            <w:vAlign w:val="bottom"/>
            <w:shd w:val="clear" w:color="auto" w:fill="CFF0FC"/>
          </w:tcPr>
          <w:p>
            <w:pPr>
              <w:spacing w:after="0"/>
              <w:rPr>
                <w:sz w:val="20"/>
                <w:szCs w:val="20"/>
                <w:color w:val="auto"/>
              </w:rPr>
            </w:pPr>
          </w:p>
        </w:tc>
      </w:tr>
      <w:tr>
        <w:trPr>
          <w:trHeight w:val="239"/>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2023</w:t>
            </w: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16, 2023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629,647</w:t>
            </w:r>
          </w:p>
        </w:tc>
        <w:tc>
          <w:tcPr>
            <w:tcW w:w="80" w:type="dxa"/>
            <w:vAlign w:val="bottom"/>
          </w:tcPr>
          <w:p>
            <w:pPr>
              <w:spacing w:after="0"/>
              <w:rPr>
                <w:sz w:val="20"/>
                <w:szCs w:val="20"/>
                <w:color w:val="auto"/>
              </w:rPr>
            </w:pPr>
          </w:p>
        </w:tc>
      </w:tr>
      <w:tr>
        <w:trPr>
          <w:trHeight w:val="247"/>
        </w:trPr>
        <w:tc>
          <w:tcPr>
            <w:tcW w:w="34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29, 2023</w:t>
            </w:r>
          </w:p>
        </w:tc>
        <w:tc>
          <w:tcPr>
            <w:tcW w:w="1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September 30, 2023</w:t>
            </w:r>
          </w:p>
        </w:tc>
        <w:tc>
          <w:tcPr>
            <w:tcW w:w="12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November 16, 2023</w:t>
            </w:r>
          </w:p>
        </w:tc>
        <w:tc>
          <w:tcPr>
            <w:tcW w:w="1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638,348</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4"/>
        </w:trPr>
        <w:tc>
          <w:tcPr>
            <w:tcW w:w="34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Common Shares Issued</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1,639,103</w:t>
            </w:r>
          </w:p>
        </w:tc>
        <w:tc>
          <w:tcPr>
            <w:tcW w:w="80" w:type="dxa"/>
            <w:vAlign w:val="bottom"/>
          </w:tcPr>
          <w:p>
            <w:pPr>
              <w:spacing w:after="0"/>
              <w:rPr>
                <w:sz w:val="20"/>
                <w:szCs w:val="20"/>
                <w:color w:val="auto"/>
              </w:rPr>
            </w:pPr>
          </w:p>
        </w:tc>
      </w:tr>
      <w:tr>
        <w:trPr>
          <w:trHeight w:val="20"/>
        </w:trPr>
        <w:tc>
          <w:tcPr>
            <w:tcW w:w="3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-187960</wp:posOffset>
            </wp:positionV>
            <wp:extent cx="5143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320" w:firstLine="255"/>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total Common Shares issued and proceeds received related to the Company’s initial capitalization and capital drawdowns delivered pursuant to the Subscription Agreements for the year ended December 31, 2023 and for the period from April 5, 2022 (Inception) through December 31, 2022:</w:t>
      </w:r>
    </w:p>
    <w:p>
      <w:pPr>
        <w:spacing w:after="0" w:line="210" w:lineRule="exact"/>
        <w:rPr>
          <w:sz w:val="20"/>
          <w:szCs w:val="20"/>
          <w:color w:val="auto"/>
        </w:rPr>
      </w:pPr>
    </w:p>
    <w:tbl>
      <w:tblPr>
        <w:tblLayout w:type="fixed"/>
        <w:tblInd w:w="1480" w:type="dxa"/>
        <w:tblCellMar>
          <w:top w:w="0" w:type="dxa"/>
          <w:left w:w="0" w:type="dxa"/>
          <w:bottom w:w="0" w:type="dxa"/>
          <w:right w:w="0" w:type="dxa"/>
        </w:tblCellMar>
      </w:tblPr>
      <w:tr>
        <w:trPr>
          <w:trHeight w:val="187"/>
        </w:trPr>
        <w:tc>
          <w:tcPr>
            <w:tcW w:w="3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Common Share Issuance Date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Number of Common Shares Issued</w:t>
            </w:r>
          </w:p>
        </w:tc>
        <w:tc>
          <w:tcPr>
            <w:tcW w:w="24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Proceeds Received</w:t>
            </w:r>
          </w:p>
        </w:tc>
        <w:tc>
          <w:tcPr>
            <w:tcW w:w="80" w:type="dxa"/>
            <w:vAlign w:val="bottom"/>
          </w:tcPr>
          <w:p>
            <w:pPr>
              <w:spacing w:after="0"/>
              <w:rPr>
                <w:sz w:val="16"/>
                <w:szCs w:val="16"/>
                <w:color w:val="auto"/>
              </w:rPr>
            </w:pPr>
          </w:p>
        </w:tc>
      </w:tr>
      <w:tr>
        <w:trPr>
          <w:trHeight w:val="236"/>
        </w:trPr>
        <w:tc>
          <w:tcPr>
            <w:tcW w:w="3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21, 2023</w:t>
            </w:r>
          </w:p>
        </w:tc>
        <w:tc>
          <w:tcPr>
            <w:tcW w:w="2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9,643,813</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shd w:val="clear" w:color="auto" w:fill="CFF0FC"/>
          </w:tcPr>
          <w:p>
            <w:pPr>
              <w:spacing w:after="0"/>
              <w:rPr>
                <w:sz w:val="20"/>
                <w:szCs w:val="20"/>
                <w:color w:val="auto"/>
              </w:rPr>
            </w:pPr>
          </w:p>
        </w:tc>
      </w:tr>
      <w:tr>
        <w:trPr>
          <w:trHeight w:val="239"/>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28, 2023</w:t>
            </w:r>
          </w:p>
        </w:tc>
        <w:tc>
          <w:tcPr>
            <w:tcW w:w="2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2,798,480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80" w:type="dxa"/>
            <w:vAlign w:val="bottom"/>
          </w:tcPr>
          <w:p>
            <w:pPr>
              <w:spacing w:after="0"/>
              <w:rPr>
                <w:sz w:val="20"/>
                <w:szCs w:val="20"/>
                <w:color w:val="auto"/>
              </w:rPr>
            </w:pPr>
          </w:p>
        </w:tc>
      </w:tr>
      <w:tr>
        <w:trPr>
          <w:trHeight w:val="247"/>
        </w:trPr>
        <w:tc>
          <w:tcPr>
            <w:tcW w:w="3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26, 2023</w:t>
            </w:r>
          </w:p>
        </w:tc>
        <w:tc>
          <w:tcPr>
            <w:tcW w:w="2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5,387,887</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shd w:val="clear" w:color="auto" w:fill="CFF0FC"/>
          </w:tcPr>
          <w:p>
            <w:pPr>
              <w:spacing w:after="0"/>
              <w:rPr>
                <w:sz w:val="21"/>
                <w:szCs w:val="21"/>
                <w:color w:val="auto"/>
              </w:rPr>
            </w:pPr>
          </w:p>
        </w:tc>
      </w:tr>
      <w:tr>
        <w:trPr>
          <w:trHeight w:val="239"/>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21, 2023</w:t>
            </w:r>
          </w:p>
        </w:tc>
        <w:tc>
          <w:tcPr>
            <w:tcW w:w="2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14,401,634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80" w:type="dxa"/>
            <w:vAlign w:val="bottom"/>
          </w:tcPr>
          <w:p>
            <w:pPr>
              <w:spacing w:after="0"/>
              <w:rPr>
                <w:sz w:val="20"/>
                <w:szCs w:val="20"/>
                <w:color w:val="auto"/>
              </w:rPr>
            </w:pPr>
          </w:p>
        </w:tc>
      </w:tr>
      <w:tr>
        <w:trPr>
          <w:trHeight w:val="243"/>
        </w:trPr>
        <w:tc>
          <w:tcPr>
            <w:tcW w:w="33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22, 2023</w:t>
            </w:r>
          </w:p>
        </w:tc>
        <w:tc>
          <w:tcPr>
            <w:tcW w:w="120" w:type="dxa"/>
            <w:vAlign w:val="bottom"/>
            <w:tcBorders>
              <w:bottom w:val="single" w:sz="8" w:color="CFF0FC"/>
            </w:tcBorders>
            <w:gridSpan w:val="2"/>
            <w:shd w:val="clear" w:color="auto" w:fill="CFF0FC"/>
          </w:tcPr>
          <w:p>
            <w:pPr>
              <w:spacing w:after="0"/>
              <w:rPr>
                <w:sz w:val="21"/>
                <w:szCs w:val="21"/>
                <w:color w:val="auto"/>
              </w:rPr>
            </w:pPr>
          </w:p>
        </w:tc>
        <w:tc>
          <w:tcPr>
            <w:tcW w:w="2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9,725,830</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3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gridSpan w:val="2"/>
          </w:tcPr>
          <w:p>
            <w:pPr>
              <w:spacing w:after="0"/>
              <w:rPr>
                <w:sz w:val="20"/>
                <w:szCs w:val="20"/>
                <w:color w:val="auto"/>
              </w:rPr>
            </w:pPr>
          </w:p>
        </w:tc>
        <w:tc>
          <w:tcPr>
            <w:tcW w:w="2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41,957,644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1,150,000</w:t>
            </w:r>
          </w:p>
        </w:tc>
        <w:tc>
          <w:tcPr>
            <w:tcW w:w="80" w:type="dxa"/>
            <w:vAlign w:val="bottom"/>
          </w:tcPr>
          <w:p>
            <w:pPr>
              <w:spacing w:after="0"/>
              <w:rPr>
                <w:sz w:val="20"/>
                <w:szCs w:val="20"/>
                <w:color w:val="auto"/>
              </w:rPr>
            </w:pPr>
          </w:p>
        </w:tc>
      </w:tr>
      <w:tr>
        <w:trPr>
          <w:trHeight w:val="20"/>
        </w:trPr>
        <w:tc>
          <w:tcPr>
            <w:tcW w:w="3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8"/>
        </w:trPr>
        <w:tc>
          <w:tcPr>
            <w:tcW w:w="3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spacing w:after="0"/>
              <w:rPr>
                <w:sz w:val="19"/>
                <w:szCs w:val="19"/>
                <w:color w:val="auto"/>
              </w:rPr>
            </w:pPr>
          </w:p>
        </w:tc>
      </w:tr>
      <w:tr>
        <w:trPr>
          <w:trHeight w:val="175"/>
        </w:trPr>
        <w:tc>
          <w:tcPr>
            <w:tcW w:w="32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Common Share Issuance Date</w:t>
            </w:r>
          </w:p>
        </w:tc>
        <w:tc>
          <w:tcPr>
            <w:tcW w:w="80" w:type="dxa"/>
            <w:vAlign w:val="bottom"/>
            <w:tcBorders>
              <w:bottom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2840" w:type="dxa"/>
            <w:vAlign w:val="bottom"/>
            <w:tcBorders>
              <w:bottom w:val="single" w:sz="8" w:color="auto"/>
            </w:tcBorders>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Number of Common Shares Issued</w:t>
            </w:r>
          </w:p>
        </w:tc>
        <w:tc>
          <w:tcPr>
            <w:tcW w:w="16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560" w:type="dxa"/>
            <w:vAlign w:val="bottom"/>
            <w:tcBorders>
              <w:bottom w:val="single" w:sz="8" w:color="auto"/>
            </w:tcBorders>
            <w:shd w:val="clear" w:color="auto" w:fill="CFF0FC"/>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Proceeds Received</w:t>
            </w:r>
          </w:p>
        </w:tc>
        <w:tc>
          <w:tcPr>
            <w:tcW w:w="80" w:type="dxa"/>
            <w:vAlign w:val="bottom"/>
            <w:tcBorders>
              <w:bottom w:val="single" w:sz="8" w:color="CFF0FC"/>
            </w:tcBorders>
            <w:shd w:val="clear" w:color="auto" w:fill="CFF0FC"/>
          </w:tcPr>
          <w:p>
            <w:pPr>
              <w:spacing w:after="0"/>
              <w:rPr>
                <w:sz w:val="15"/>
                <w:szCs w:val="15"/>
                <w:color w:val="auto"/>
              </w:rPr>
            </w:pPr>
          </w:p>
        </w:tc>
      </w:tr>
      <w:tr>
        <w:trPr>
          <w:trHeight w:val="232"/>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24, 2022</w:t>
            </w:r>
          </w:p>
        </w:tc>
        <w:tc>
          <w:tcPr>
            <w:tcW w:w="2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1,200</w:t>
            </w:r>
          </w:p>
        </w:tc>
        <w:tc>
          <w:tcPr>
            <w:tcW w:w="160" w:type="dxa"/>
            <w:vAlign w:val="bottom"/>
          </w:tcPr>
          <w:p>
            <w:pPr>
              <w:spacing w:after="0"/>
              <w:rPr>
                <w:sz w:val="20"/>
                <w:szCs w:val="20"/>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0"/>
                <w:szCs w:val="20"/>
                <w:color w:val="auto"/>
              </w:rPr>
            </w:pPr>
          </w:p>
        </w:tc>
      </w:tr>
      <w:tr>
        <w:trPr>
          <w:trHeight w:val="247"/>
        </w:trPr>
        <w:tc>
          <w:tcPr>
            <w:tcW w:w="3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August 31, 2022</w:t>
            </w:r>
          </w:p>
        </w:tc>
        <w:tc>
          <w:tcPr>
            <w:tcW w:w="29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2,205,694</w:t>
            </w:r>
          </w:p>
        </w:tc>
        <w:tc>
          <w:tcPr>
            <w:tcW w:w="1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55,142</w:t>
            </w:r>
          </w:p>
        </w:tc>
        <w:tc>
          <w:tcPr>
            <w:tcW w:w="80" w:type="dxa"/>
            <w:vAlign w:val="bottom"/>
            <w:shd w:val="clear" w:color="auto" w:fill="CFF0FC"/>
          </w:tcPr>
          <w:p>
            <w:pPr>
              <w:spacing w:after="0"/>
              <w:rPr>
                <w:sz w:val="21"/>
                <w:szCs w:val="21"/>
                <w:color w:val="auto"/>
              </w:rPr>
            </w:pPr>
          </w:p>
        </w:tc>
      </w:tr>
      <w:tr>
        <w:trPr>
          <w:trHeight w:val="239"/>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28, 2022</w:t>
            </w:r>
          </w:p>
        </w:tc>
        <w:tc>
          <w:tcPr>
            <w:tcW w:w="2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5,080,906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125,430</w:t>
            </w:r>
          </w:p>
        </w:tc>
        <w:tc>
          <w:tcPr>
            <w:tcW w:w="80" w:type="dxa"/>
            <w:vAlign w:val="bottom"/>
          </w:tcPr>
          <w:p>
            <w:pPr>
              <w:spacing w:after="0"/>
              <w:rPr>
                <w:sz w:val="20"/>
                <w:szCs w:val="20"/>
                <w:color w:val="auto"/>
              </w:rPr>
            </w:pPr>
          </w:p>
        </w:tc>
      </w:tr>
      <w:tr>
        <w:trPr>
          <w:trHeight w:val="247"/>
        </w:trPr>
        <w:tc>
          <w:tcPr>
            <w:tcW w:w="3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27, 2022</w:t>
            </w:r>
          </w:p>
        </w:tc>
        <w:tc>
          <w:tcPr>
            <w:tcW w:w="29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7,598,252</w:t>
            </w:r>
          </w:p>
        </w:tc>
        <w:tc>
          <w:tcPr>
            <w:tcW w:w="1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187,262</w:t>
            </w:r>
          </w:p>
        </w:tc>
        <w:tc>
          <w:tcPr>
            <w:tcW w:w="80" w:type="dxa"/>
            <w:vAlign w:val="bottom"/>
            <w:shd w:val="clear" w:color="auto" w:fill="CFF0FC"/>
          </w:tcPr>
          <w:p>
            <w:pPr>
              <w:spacing w:after="0"/>
              <w:rPr>
                <w:sz w:val="21"/>
                <w:szCs w:val="21"/>
                <w:color w:val="auto"/>
              </w:rPr>
            </w:pPr>
          </w:p>
        </w:tc>
      </w:tr>
      <w:tr>
        <w:trPr>
          <w:trHeight w:val="239"/>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13, 2022</w:t>
            </w:r>
          </w:p>
        </w:tc>
        <w:tc>
          <w:tcPr>
            <w:tcW w:w="2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3,998,385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tcPr>
          <w:p>
            <w:pPr>
              <w:spacing w:after="0"/>
              <w:rPr>
                <w:sz w:val="20"/>
                <w:szCs w:val="20"/>
                <w:color w:val="auto"/>
              </w:rPr>
            </w:pPr>
          </w:p>
        </w:tc>
      </w:tr>
      <w:tr>
        <w:trPr>
          <w:trHeight w:val="243"/>
        </w:trPr>
        <w:tc>
          <w:tcPr>
            <w:tcW w:w="33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28, 2022</w:t>
            </w:r>
          </w:p>
        </w:tc>
        <w:tc>
          <w:tcPr>
            <w:tcW w:w="40" w:type="dxa"/>
            <w:vAlign w:val="bottom"/>
            <w:tcBorders>
              <w:bottom w:val="single" w:sz="8" w:color="CFF0FC"/>
            </w:tcBorders>
            <w:shd w:val="clear" w:color="auto" w:fill="CFF0FC"/>
          </w:tcPr>
          <w:p>
            <w:pPr>
              <w:spacing w:after="0"/>
              <w:rPr>
                <w:sz w:val="21"/>
                <w:szCs w:val="21"/>
                <w:color w:val="auto"/>
              </w:rPr>
            </w:pPr>
          </w:p>
        </w:tc>
        <w:tc>
          <w:tcPr>
            <w:tcW w:w="292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2,997,591</w:t>
            </w:r>
          </w:p>
        </w:tc>
        <w:tc>
          <w:tcPr>
            <w:tcW w:w="16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3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21,882,028</w:t>
            </w:r>
          </w:p>
        </w:tc>
        <w:tc>
          <w:tcPr>
            <w:tcW w:w="160" w:type="dxa"/>
            <w:vAlign w:val="bottom"/>
          </w:tcPr>
          <w:p>
            <w:pPr>
              <w:spacing w:after="0"/>
              <w:rPr>
                <w:sz w:val="20"/>
                <w:szCs w:val="20"/>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542,864</w:t>
            </w:r>
          </w:p>
        </w:tc>
        <w:tc>
          <w:tcPr>
            <w:tcW w:w="80" w:type="dxa"/>
            <w:vAlign w:val="bottom"/>
          </w:tcPr>
          <w:p>
            <w:pPr>
              <w:spacing w:after="0"/>
              <w:rPr>
                <w:sz w:val="20"/>
                <w:szCs w:val="20"/>
                <w:color w:val="auto"/>
              </w:rPr>
            </w:pPr>
          </w:p>
        </w:tc>
      </w:tr>
      <w:tr>
        <w:trPr>
          <w:trHeight w:val="20"/>
        </w:trPr>
        <w:tc>
          <w:tcPr>
            <w:tcW w:w="3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-1576705</wp:posOffset>
            </wp:positionV>
            <wp:extent cx="5143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-1576705</wp:posOffset>
            </wp:positionV>
            <wp:extent cx="5143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-1122045</wp:posOffset>
            </wp:positionV>
            <wp:extent cx="7683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-1122045</wp:posOffset>
            </wp:positionV>
            <wp:extent cx="5143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-1122045</wp:posOffset>
            </wp:positionV>
            <wp:extent cx="5143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-187960</wp:posOffset>
            </wp:positionV>
            <wp:extent cx="5143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-187960</wp:posOffset>
            </wp:positionV>
            <wp:extent cx="5143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Earnings per share</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common share: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120" w:type="dxa"/>
            <w:vAlign w:val="bottom"/>
            <w:vMerge w:val="restart"/>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From April 5, 2022 (Inception)</w:t>
            </w:r>
          </w:p>
        </w:tc>
        <w:tc>
          <w:tcPr>
            <w:tcW w:w="0" w:type="dxa"/>
            <w:vAlign w:val="bottom"/>
          </w:tcPr>
          <w:p>
            <w:pPr>
              <w:spacing w:after="0"/>
              <w:rPr>
                <w:sz w:val="1"/>
                <w:szCs w:val="1"/>
                <w:color w:val="auto"/>
              </w:rPr>
            </w:pPr>
          </w:p>
        </w:tc>
      </w:tr>
      <w:tr>
        <w:trPr>
          <w:trHeight w:val="190"/>
        </w:trPr>
        <w:tc>
          <w:tcPr>
            <w:tcW w:w="6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226"/>
        </w:trPr>
        <w:tc>
          <w:tcPr>
            <w:tcW w:w="6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20" w:type="dxa"/>
            <w:vAlign w:val="bottom"/>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6"/>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share—basic and diluted</w:t>
            </w:r>
          </w:p>
        </w:tc>
        <w:tc>
          <w:tcPr>
            <w:tcW w:w="380" w:type="dxa"/>
            <w:vAlign w:val="bottom"/>
            <w:tcBorders>
              <w:top w:val="single" w:sz="8" w:color="auto"/>
            </w:tcBorders>
            <w:shd w:val="clear" w:color="auto" w:fill="CFF0FC"/>
          </w:tcPr>
          <w:p>
            <w:pPr>
              <w:spacing w:after="0"/>
              <w:rPr>
                <w:sz w:val="20"/>
                <w:szCs w:val="20"/>
                <w:color w:val="auto"/>
              </w:rPr>
            </w:pPr>
          </w:p>
        </w:tc>
        <w:tc>
          <w:tcPr>
            <w:tcW w:w="212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20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net assets resulting from operations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183,989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Shares outstanding—basic and diluted</w:t>
            </w:r>
          </w:p>
        </w:tc>
        <w:tc>
          <w:tcPr>
            <w:tcW w:w="380" w:type="dxa"/>
            <w:vAlign w:val="bottom"/>
            <w:tcBorders>
              <w:bottom w:val="single" w:sz="8" w:color="auto"/>
            </w:tcBorders>
            <w:shd w:val="clear" w:color="auto" w:fill="CFF0FC"/>
          </w:tcPr>
          <w:p>
            <w:pPr>
              <w:spacing w:after="0"/>
              <w:rPr>
                <w:sz w:val="21"/>
                <w:szCs w:val="21"/>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34,746,777</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7,034,869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(losses) per common share—basic and diluted</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F-27</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63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3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-1096645</wp:posOffset>
            </wp:positionV>
            <wp:extent cx="6858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7" w:name="page108"/>
    <w:bookmarkEnd w:id="107"/>
    <w:p>
      <w:pPr>
        <w:ind w:left="280" w:hanging="272"/>
        <w:spacing w:after="0"/>
        <w:tabs>
          <w:tab w:leader="none" w:pos="28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w:t>
      </w:r>
    </w:p>
    <w:p>
      <w:pPr>
        <w:spacing w:after="0" w:line="121" w:lineRule="exact"/>
        <w:rPr>
          <w:rFonts w:ascii="Times New Roman" w:cs="Times New Roman" w:eastAsia="Times New Roman" w:hAnsi="Times New Roman"/>
          <w:sz w:val="18"/>
          <w:szCs w:val="18"/>
          <w:b w:val="1"/>
          <w:bCs w:val="1"/>
          <w:color w:val="auto"/>
        </w:rPr>
      </w:pPr>
    </w:p>
    <w:p>
      <w:pPr>
        <w:ind w:left="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dividends declared during the year ended December 31, 2023:</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80" w:type="dxa"/>
            <w:vAlign w:val="bottom"/>
          </w:tcPr>
          <w:p>
            <w:pPr>
              <w:spacing w:after="0"/>
              <w:rPr>
                <w:sz w:val="15"/>
                <w:szCs w:val="15"/>
                <w:color w:val="auto"/>
              </w:rPr>
            </w:pPr>
          </w:p>
        </w:tc>
        <w:tc>
          <w:tcPr>
            <w:tcW w:w="4720" w:type="dxa"/>
            <w:vAlign w:val="bottom"/>
            <w:gridSpan w:val="3"/>
          </w:tcPr>
          <w:p>
            <w:pPr>
              <w:jc w:val="right"/>
              <w:ind w:right="1414"/>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4720" w:type="dxa"/>
            <w:vAlign w:val="bottom"/>
            <w:tcBorders>
              <w:bottom w:val="single" w:sz="8" w:color="auto"/>
            </w:tcBorders>
            <w:gridSpan w:val="3"/>
          </w:tcPr>
          <w:p>
            <w:pPr>
              <w:jc w:val="right"/>
              <w:ind w:right="141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80" w:type="dxa"/>
            <w:vAlign w:val="bottom"/>
            <w:vMerge w:val="continue"/>
          </w:tcPr>
          <w:p>
            <w:pPr>
              <w:spacing w:after="0"/>
              <w:rPr>
                <w:sz w:val="14"/>
                <w:szCs w:val="14"/>
                <w:color w:val="auto"/>
              </w:rPr>
            </w:pPr>
          </w:p>
        </w:tc>
        <w:tc>
          <w:tcPr>
            <w:tcW w:w="220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60" w:type="dxa"/>
            <w:vAlign w:val="bottom"/>
          </w:tcPr>
          <w:p>
            <w:pPr>
              <w:spacing w:after="0"/>
              <w:rPr>
                <w:sz w:val="14"/>
                <w:szCs w:val="14"/>
                <w:color w:val="auto"/>
              </w:rPr>
            </w:pPr>
          </w:p>
        </w:tc>
        <w:tc>
          <w:tcPr>
            <w:tcW w:w="236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Dividend per Share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March 31, 2023</w:t>
            </w: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March 31, 2023</w:t>
            </w:r>
          </w:p>
        </w:tc>
        <w:tc>
          <w:tcPr>
            <w:tcW w:w="160" w:type="dxa"/>
            <w:vAlign w:val="bottom"/>
            <w:shd w:val="clear" w:color="auto" w:fill="CFF0FC"/>
          </w:tcPr>
          <w:p>
            <w:pPr>
              <w:spacing w:after="0"/>
              <w:rPr>
                <w:sz w:val="20"/>
                <w:szCs w:val="20"/>
                <w:color w:val="auto"/>
              </w:rPr>
            </w:pP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May 9, 2023</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30, 2023</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2023</w:t>
            </w:r>
          </w:p>
        </w:tc>
        <w:tc>
          <w:tcPr>
            <w:tcW w:w="16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15, 2023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September 29, 2023</w:t>
            </w: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September 30, 2023</w:t>
            </w:r>
          </w:p>
        </w:tc>
        <w:tc>
          <w:tcPr>
            <w:tcW w:w="160" w:type="dxa"/>
            <w:vAlign w:val="bottom"/>
            <w:shd w:val="clear" w:color="auto" w:fill="CFF0FC"/>
          </w:tcPr>
          <w:p>
            <w:pPr>
              <w:spacing w:after="0"/>
              <w:rPr>
                <w:sz w:val="21"/>
                <w:szCs w:val="21"/>
                <w:color w:val="auto"/>
              </w:rPr>
            </w:pP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November 15, 2023</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29, 2023</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c>
          <w:tcPr>
            <w:tcW w:w="16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20, 2024</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4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22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23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7056120</wp:posOffset>
            </wp:positionH>
            <wp:positionV relativeFrom="paragraph">
              <wp:posOffset>-946785</wp:posOffset>
            </wp:positionV>
            <wp:extent cx="93980" cy="15430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80" w:firstLine="255"/>
        <w:spacing w:after="0" w:line="282" w:lineRule="auto"/>
        <w:rPr>
          <w:sz w:val="20"/>
          <w:szCs w:val="20"/>
          <w:color w:val="auto"/>
        </w:rPr>
      </w:pPr>
      <w:r>
        <w:rPr>
          <w:rFonts w:ascii="Times New Roman" w:cs="Times New Roman" w:eastAsia="Times New Roman" w:hAnsi="Times New Roman"/>
          <w:sz w:val="18"/>
          <w:szCs w:val="18"/>
          <w:color w:val="auto"/>
        </w:rPr>
        <w:t>The dividends declared during the year ended December 31, 2023 were derived from net investment income, determined on a tax basis. From April 5, 2022 (Inception) through December 31, 2022, no distributions had been declared or paid by the Company.</w:t>
      </w:r>
    </w:p>
    <w:p>
      <w:pPr>
        <w:spacing w:after="0" w:line="54"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With respect to distributions, the Company has adopted an “opt out” dividend reinvestment plan for shareholders. As a result, in the event of a declared cash distribution or other distribution, each Shareholder that has not “opted out” of the dividend reinvestment plan will have their dividends or distributions automatically reinvested in additional Common Shares rather than receiving cash distributions. Shareholders who receive distributions in the form of Common Shares will be subject to the same U.S. federal, state and local tax consequences as if they received cash distributions.</w:t>
      </w:r>
    </w:p>
    <w:p>
      <w:pPr>
        <w:spacing w:after="0" w:line="162" w:lineRule="exact"/>
        <w:rPr>
          <w:sz w:val="20"/>
          <w:szCs w:val="20"/>
          <w:color w:val="auto"/>
        </w:rPr>
      </w:pPr>
    </w:p>
    <w:p>
      <w:pPr>
        <w:ind w:left="260" w:hanging="252"/>
        <w:spacing w:after="0"/>
        <w:tabs>
          <w:tab w:leader="none" w:pos="2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rFonts w:ascii="Times New Roman" w:cs="Times New Roman" w:eastAsia="Times New Roman" w:hAnsi="Times New Roman"/>
          <w:sz w:val="18"/>
          <w:szCs w:val="18"/>
          <w:b w:val="1"/>
          <w:bCs w:val="1"/>
          <w:color w:val="auto"/>
        </w:rPr>
      </w:pPr>
    </w:p>
    <w:p>
      <w:pPr>
        <w:ind w:left="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tax character of shareholder distributions attributable to fiscal year ended December 31, 2023 was as follows:</w:t>
      </w:r>
    </w:p>
    <w:p>
      <w:pPr>
        <w:spacing w:after="0" w:line="343" w:lineRule="exact"/>
        <w:rPr>
          <w:sz w:val="20"/>
          <w:szCs w:val="20"/>
          <w:color w:val="auto"/>
        </w:rPr>
      </w:pPr>
    </w:p>
    <w:tbl>
      <w:tblPr>
        <w:tblLayout w:type="fixed"/>
        <w:tblInd w:w="124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50"/>
        </w:trPr>
        <w:tc>
          <w:tcPr>
            <w:tcW w:w="6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43"/>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Ordinary Income</w:t>
            </w: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107,004</w:t>
            </w:r>
          </w:p>
        </w:tc>
        <w:tc>
          <w:tcPr>
            <w:tcW w:w="80" w:type="dxa"/>
            <w:vAlign w:val="bottom"/>
            <w:shd w:val="clear" w:color="auto" w:fill="CFF0FC"/>
          </w:tcPr>
          <w:p>
            <w:pPr>
              <w:spacing w:after="0"/>
              <w:rPr>
                <w:sz w:val="21"/>
                <w:szCs w:val="2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Term Capital Gains</w:t>
            </w:r>
          </w:p>
        </w:tc>
        <w:tc>
          <w:tcPr>
            <w:tcW w:w="280" w:type="dxa"/>
            <w:vAlign w:val="bottom"/>
          </w:tcPr>
          <w:p>
            <w:pPr>
              <w:spacing w:after="0"/>
              <w:rPr>
                <w:sz w:val="21"/>
                <w:szCs w:val="21"/>
                <w:color w:val="auto"/>
              </w:rPr>
            </w:pPr>
          </w:p>
        </w:tc>
        <w:tc>
          <w:tcPr>
            <w:tcW w:w="2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4"/>
        </w:trPr>
        <w:tc>
          <w:tcPr>
            <w:tcW w:w="63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107,004</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6297295</wp:posOffset>
            </wp:positionH>
            <wp:positionV relativeFrom="paragraph">
              <wp:posOffset>-24765</wp:posOffset>
            </wp:positionV>
            <wp:extent cx="5143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5143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left="1020" w:right="700" w:hanging="503"/>
        <w:spacing w:after="0" w:line="282" w:lineRule="auto"/>
        <w:tabs>
          <w:tab w:leader="none" w:pos="10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2023, 88.32% of ordinary income qualified as interest related dividend which is exempt from U.S. withholding tax applicable to non-U.S. shareholders.</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 the year ended December 2022, there were no distributions.</w:t>
      </w:r>
    </w:p>
    <w:p>
      <w:pPr>
        <w:spacing w:after="0" w:line="117" w:lineRule="exact"/>
        <w:rPr>
          <w:sz w:val="20"/>
          <w:szCs w:val="20"/>
          <w:color w:val="auto"/>
        </w:rPr>
      </w:pPr>
    </w:p>
    <w:p>
      <w:pPr>
        <w:ind w:right="120" w:firstLine="255"/>
        <w:spacing w:after="0" w:line="282" w:lineRule="auto"/>
        <w:rPr>
          <w:sz w:val="20"/>
          <w:szCs w:val="20"/>
          <w:color w:val="auto"/>
        </w:rPr>
      </w:pPr>
      <w:r>
        <w:rPr>
          <w:rFonts w:ascii="Times New Roman" w:cs="Times New Roman" w:eastAsia="Times New Roman" w:hAnsi="Times New Roman"/>
          <w:sz w:val="18"/>
          <w:szCs w:val="18"/>
          <w:color w:val="auto"/>
        </w:rPr>
        <w:t>The following reconciles the increase in net assets resulting from operations for the fiscal years ended December 31, 2023 and 2022, to taxable income at December 31, 2023 and 2022:</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20" w:type="dxa"/>
            <w:vAlign w:val="bottom"/>
          </w:tcPr>
          <w:p>
            <w:pPr>
              <w:spacing w:after="0"/>
              <w:rPr>
                <w:sz w:val="15"/>
                <w:szCs w:val="15"/>
                <w:color w:val="auto"/>
              </w:rPr>
            </w:pPr>
          </w:p>
        </w:tc>
        <w:tc>
          <w:tcPr>
            <w:tcW w:w="16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87"/>
        </w:trPr>
        <w:tc>
          <w:tcPr>
            <w:tcW w:w="5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16"/>
                <w:szCs w:val="16"/>
                <w:color w:val="auto"/>
              </w:rPr>
            </w:pPr>
          </w:p>
        </w:tc>
        <w:tc>
          <w:tcPr>
            <w:tcW w:w="16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05"/>
        </w:trPr>
        <w:tc>
          <w:tcPr>
            <w:tcW w:w="502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Increase (decrease) in net assets resulting from</w:t>
            </w:r>
          </w:p>
        </w:tc>
        <w:tc>
          <w:tcPr>
            <w:tcW w:w="220" w:type="dxa"/>
            <w:vAlign w:val="bottom"/>
            <w:tcBorders>
              <w:top w:val="single" w:sz="8" w:color="auto"/>
            </w:tcBorders>
            <w:shd w:val="clear" w:color="auto" w:fill="CFF0FC"/>
          </w:tcPr>
          <w:p>
            <w:pPr>
              <w:spacing w:after="0"/>
              <w:rPr>
                <w:sz w:val="17"/>
                <w:szCs w:val="17"/>
                <w:color w:val="auto"/>
              </w:rPr>
            </w:pPr>
          </w:p>
        </w:tc>
        <w:tc>
          <w:tcPr>
            <w:tcW w:w="160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60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48"/>
        </w:trPr>
        <w:tc>
          <w:tcPr>
            <w:tcW w:w="5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operations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183,989</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80" w:type="dxa"/>
            <w:vAlign w:val="bottom"/>
            <w:shd w:val="clear" w:color="auto" w:fill="CFF0FC"/>
          </w:tcPr>
          <w:p>
            <w:pPr>
              <w:spacing w:after="0"/>
              <w:rPr>
                <w:sz w:val="21"/>
                <w:szCs w:val="21"/>
                <w:color w:val="auto"/>
              </w:rPr>
            </w:pPr>
          </w:p>
        </w:tc>
      </w:tr>
      <w:tr>
        <w:trPr>
          <w:trHeight w:val="23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unrealized (gains) losses on investments</w:t>
            </w:r>
          </w:p>
        </w:tc>
        <w:tc>
          <w:tcPr>
            <w:tcW w:w="22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(56,755 )</w:t>
            </w: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80" w:type="dxa"/>
            <w:vAlign w:val="bottom"/>
            <w:shd w:val="clear" w:color="auto" w:fill="CFF0FC"/>
          </w:tcPr>
          <w:p>
            <w:pPr>
              <w:spacing w:after="0"/>
              <w:rPr>
                <w:sz w:val="21"/>
                <w:szCs w:val="21"/>
                <w:color w:val="auto"/>
              </w:rPr>
            </w:pPr>
          </w:p>
        </w:tc>
      </w:tr>
      <w:tr>
        <w:trPr>
          <w:trHeight w:val="239"/>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(loss) for tax purposes, not book</w:t>
            </w: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80" w:type="dxa"/>
            <w:vAlign w:val="bottom"/>
          </w:tcPr>
          <w:p>
            <w:pPr>
              <w:spacing w:after="0"/>
              <w:rPr>
                <w:sz w:val="20"/>
                <w:szCs w:val="20"/>
                <w:color w:val="auto"/>
              </w:rPr>
            </w:pPr>
          </w:p>
        </w:tc>
      </w:tr>
      <w:tr>
        <w:trPr>
          <w:trHeight w:val="247"/>
        </w:trPr>
        <w:tc>
          <w:tcPr>
            <w:tcW w:w="5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organization costs</w:t>
            </w:r>
          </w:p>
        </w:tc>
        <w:tc>
          <w:tcPr>
            <w:tcW w:w="22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(146 )</w:t>
            </w:r>
          </w:p>
        </w:tc>
        <w:tc>
          <w:tcPr>
            <w:tcW w:w="22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(47 )</w:t>
            </w:r>
          </w:p>
        </w:tc>
      </w:tr>
      <w:tr>
        <w:trPr>
          <w:trHeight w:val="239"/>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expenses not currently deductible</w:t>
            </w: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80" w:type="dxa"/>
            <w:vAlign w:val="bottom"/>
          </w:tcPr>
          <w:p>
            <w:pPr>
              <w:spacing w:after="0"/>
              <w:rPr>
                <w:sz w:val="20"/>
                <w:szCs w:val="20"/>
                <w:color w:val="auto"/>
              </w:rPr>
            </w:pPr>
          </w:p>
        </w:tc>
      </w:tr>
      <w:tr>
        <w:trPr>
          <w:trHeight w:val="243"/>
        </w:trPr>
        <w:tc>
          <w:tcPr>
            <w:tcW w:w="5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book-tax differences</w:t>
            </w: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6,958</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02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Taxable Income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143,172</w:t>
            </w:r>
          </w:p>
        </w:tc>
        <w:tc>
          <w:tcPr>
            <w:tcW w:w="24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9,056</w:t>
            </w:r>
          </w:p>
        </w:tc>
        <w:tc>
          <w:tcPr>
            <w:tcW w:w="80" w:type="dxa"/>
            <w:vAlign w:val="bottom"/>
            <w:tcBorders>
              <w:top w:val="single" w:sz="8" w:color="CFF0FC"/>
            </w:tcBorders>
          </w:tcPr>
          <w:p>
            <w:pPr>
              <w:spacing w:after="0"/>
              <w:rPr>
                <w:sz w:val="20"/>
                <w:szCs w:val="20"/>
                <w:color w:val="auto"/>
              </w:rPr>
            </w:pPr>
          </w:p>
        </w:tc>
      </w:tr>
      <w:tr>
        <w:trPr>
          <w:trHeight w:val="20"/>
        </w:trPr>
        <w:tc>
          <w:tcPr>
            <w:tcW w:w="5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-187960</wp:posOffset>
            </wp:positionV>
            <wp:extent cx="6032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tax basis components of distributable earnings for the year ended December 31, 2023 and for the period from April 5, 2022 (Inception) through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were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6"/>
        </w:trPr>
        <w:tc>
          <w:tcPr>
            <w:tcW w:w="1140" w:type="dxa"/>
            <w:vAlign w:val="bottom"/>
          </w:tcPr>
          <w:p>
            <w:pPr>
              <w:spacing w:after="0"/>
              <w:rPr>
                <w:sz w:val="20"/>
                <w:szCs w:val="20"/>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Undistributed net investment income - tax basis</w:t>
            </w:r>
          </w:p>
        </w:tc>
        <w:tc>
          <w:tcPr>
            <w:tcW w:w="1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89,489</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9,056</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39"/>
        </w:trPr>
        <w:tc>
          <w:tcPr>
            <w:tcW w:w="114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gains (losses) on investments</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45,694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(2,875 )</w:t>
            </w: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1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(52,607 )</w:t>
            </w:r>
          </w:p>
        </w:tc>
        <w:tc>
          <w:tcPr>
            <w:tcW w:w="22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(2,088 )</w:t>
            </w:r>
          </w:p>
        </w:tc>
        <w:tc>
          <w:tcPr>
            <w:tcW w:w="1120" w:type="dxa"/>
            <w:vAlign w:val="bottom"/>
          </w:tcPr>
          <w:p>
            <w:pPr>
              <w:spacing w:after="0"/>
              <w:rPr>
                <w:sz w:val="21"/>
                <w:szCs w:val="21"/>
                <w:color w:val="auto"/>
              </w:rPr>
            </w:pPr>
          </w:p>
        </w:tc>
      </w:tr>
      <w:tr>
        <w:trPr>
          <w:trHeight w:val="238"/>
        </w:trPr>
        <w:tc>
          <w:tcPr>
            <w:tcW w:w="1140" w:type="dxa"/>
            <w:vAlign w:val="bottom"/>
          </w:tcPr>
          <w:p>
            <w:pPr>
              <w:spacing w:after="0"/>
              <w:rPr>
                <w:sz w:val="20"/>
                <w:szCs w:val="20"/>
                <w:color w:val="auto"/>
              </w:rPr>
            </w:pPr>
          </w:p>
        </w:tc>
        <w:tc>
          <w:tcPr>
            <w:tcW w:w="388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distributable earnings - book basis</w:t>
            </w:r>
          </w:p>
        </w:tc>
        <w:tc>
          <w:tcPr>
            <w:tcW w:w="114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82,576</w:t>
            </w:r>
          </w:p>
        </w:tc>
        <w:tc>
          <w:tcPr>
            <w:tcW w:w="24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80" w:type="dxa"/>
            <w:vAlign w:val="bottom"/>
            <w:tcBorders>
              <w:top w:val="single" w:sz="8" w:color="CFF0FC"/>
            </w:tcBorders>
          </w:tcPr>
          <w:p>
            <w:pPr>
              <w:spacing w:after="0"/>
              <w:rPr>
                <w:sz w:val="20"/>
                <w:szCs w:val="20"/>
                <w:color w:val="auto"/>
              </w:rPr>
            </w:pPr>
          </w:p>
        </w:tc>
        <w:tc>
          <w:tcPr>
            <w:tcW w:w="112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31"/>
        </w:trPr>
        <w:tc>
          <w:tcPr>
            <w:tcW w:w="11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36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F-28</w:t>
            </w: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-1096645</wp:posOffset>
            </wp:positionV>
            <wp:extent cx="6032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-1096645</wp:posOffset>
            </wp:positionV>
            <wp:extent cx="5143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784" w:gutter="0" w:footer="0" w:header="0"/>
        </w:sectPr>
      </w:pPr>
    </w:p>
    <w:bookmarkStart w:id="108" w:name="page109"/>
    <w:bookmarkEnd w:id="108"/>
    <w:p>
      <w:pPr>
        <w:ind w:left="260"/>
        <w:spacing w:after="0"/>
        <w:rPr>
          <w:sz w:val="20"/>
          <w:szCs w:val="20"/>
          <w:color w:val="auto"/>
        </w:rPr>
      </w:pPr>
      <w:r>
        <w:rPr>
          <w:rFonts w:ascii="Times New Roman" w:cs="Times New Roman" w:eastAsia="Times New Roman" w:hAnsi="Times New Roman"/>
          <w:sz w:val="18"/>
          <w:szCs w:val="18"/>
          <w:color w:val="auto"/>
        </w:rPr>
        <w:t>Note: Taxable income is an estimate and is not fully determined until the Company’s tax return is filed. The Company's tax year end is December 31.</w:t>
      </w:r>
    </w:p>
    <w:p>
      <w:pPr>
        <w:spacing w:after="0" w:line="225"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76" w:lineRule="exact"/>
        <w:rPr>
          <w:sz w:val="20"/>
          <w:szCs w:val="20"/>
          <w:color w:val="auto"/>
        </w:rPr>
      </w:pPr>
    </w:p>
    <w:p>
      <w:pPr>
        <w:ind w:right="200" w:firstLine="255"/>
        <w:spacing w:after="0" w:line="266" w:lineRule="auto"/>
        <w:rPr>
          <w:sz w:val="20"/>
          <w:szCs w:val="20"/>
          <w:color w:val="auto"/>
        </w:rPr>
      </w:pPr>
      <w:r>
        <w:rPr>
          <w:rFonts w:ascii="Times New Roman" w:cs="Times New Roman" w:eastAsia="Times New Roman" w:hAnsi="Times New Roman"/>
          <w:sz w:val="18"/>
          <w:szCs w:val="18"/>
          <w:color w:val="auto"/>
        </w:rPr>
        <w:t>The Company makes certain adjustments to the classification of shareholders’ equity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or distributable earnings, as appropriate.</w:t>
      </w:r>
    </w:p>
    <w:p>
      <w:pPr>
        <w:spacing w:after="0" w:line="176"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and 2022, the Company increased distributable earnings and decreased additional paid in capital by $1.5 million and $0.2 million, respectively, which was primarily attributable to U.S. federal excise taxes.</w:t>
      </w:r>
    </w:p>
    <w:p>
      <w:pPr>
        <w:spacing w:after="0" w:line="162"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The Company’s wholly-owned subsidiary, Sixth Street LP Holding II, LLC, is a taxable subsidiary in which the Company holds certain investments. Sixth Street LP Holding II, LLC is not consolidated for U.S. federal income tax purposes and may generate income tax expense as a result of its ownership of certain portfolio companies. The income tax expense, or benefit, and the related tax assets and liabilities, if any, are reflected in our Statement of Operations.</w:t>
      </w:r>
    </w:p>
    <w:p>
      <w:pPr>
        <w:spacing w:after="0" w:line="180" w:lineRule="exact"/>
        <w:rPr>
          <w:sz w:val="20"/>
          <w:szCs w:val="20"/>
          <w:color w:val="auto"/>
        </w:rPr>
      </w:pPr>
    </w:p>
    <w:p>
      <w:pPr>
        <w:jc w:val="both"/>
        <w:ind w:right="520" w:firstLine="255"/>
        <w:spacing w:after="0" w:line="281" w:lineRule="auto"/>
        <w:rPr>
          <w:sz w:val="20"/>
          <w:szCs w:val="20"/>
          <w:color w:val="auto"/>
        </w:rPr>
      </w:pPr>
      <w:r>
        <w:rPr>
          <w:rFonts w:ascii="Times New Roman" w:cs="Times New Roman" w:eastAsia="Times New Roman" w:hAnsi="Times New Roman"/>
          <w:sz w:val="18"/>
          <w:szCs w:val="18"/>
          <w:color w:val="auto"/>
        </w:rPr>
        <w:t>The tax cost of the Company’s investments as of December 31, 2023 was $3,047,224, resulting in estimated gross unrealized gains and losses of $69,618 and $23,923, respectively. The tax cost of the Company’s investments as of December 31, 2022 was $810,241, resulting in estimated gross unrealized gains and losses of $2,806 and $5,681, respectively.</w:t>
      </w:r>
    </w:p>
    <w:p>
      <w:pPr>
        <w:spacing w:after="0" w:line="164"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To the extent that the Company determines that its estimated current year annual taxable income will exceed its estimated current year dividends from such taxable income, the Company accrues excise tax on estimated excess taxable income. For the year ended December 31, 2023 and for the period from April 5, 2022 (Inception) through December 31, 2022, a net expense of $1.5 million and $0.2 million, respectively, was recorded for U.S. federal excise tax.</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12. Financial Highlights</w:t>
      </w:r>
    </w:p>
    <w:p>
      <w:pPr>
        <w:spacing w:after="0" w:line="121" w:lineRule="exact"/>
        <w:rPr>
          <w:sz w:val="20"/>
          <w:szCs w:val="20"/>
          <w:color w:val="auto"/>
        </w:rPr>
      </w:pPr>
    </w:p>
    <w:p>
      <w:pPr>
        <w:ind w:right="360" w:firstLine="255"/>
        <w:spacing w:after="0" w:line="266" w:lineRule="auto"/>
        <w:rPr>
          <w:sz w:val="20"/>
          <w:szCs w:val="20"/>
          <w:color w:val="auto"/>
        </w:rPr>
      </w:pPr>
      <w:r>
        <w:rPr>
          <w:rFonts w:ascii="Times New Roman" w:cs="Times New Roman" w:eastAsia="Times New Roman" w:hAnsi="Times New Roman"/>
          <w:sz w:val="18"/>
          <w:szCs w:val="18"/>
          <w:color w:val="auto"/>
        </w:rPr>
        <w:t>The following per share data and ratios have been derived from information provided in the consolidated financial statements. The following are the financial highlights for one share of Common Shares outstanding during the period ended December 31, 2023 and April 5, 2022 (Inception) through December 31,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6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1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From April 5, 2022 (Inception)</w:t>
            </w:r>
          </w:p>
        </w:tc>
        <w:tc>
          <w:tcPr>
            <w:tcW w:w="0" w:type="dxa"/>
            <w:vAlign w:val="bottom"/>
          </w:tcPr>
          <w:p>
            <w:pPr>
              <w:spacing w:after="0"/>
              <w:rPr>
                <w:sz w:val="1"/>
                <w:szCs w:val="1"/>
                <w:color w:val="auto"/>
              </w:rPr>
            </w:pPr>
          </w:p>
        </w:tc>
      </w:tr>
      <w:tr>
        <w:trPr>
          <w:trHeight w:val="189"/>
        </w:trPr>
        <w:tc>
          <w:tcPr>
            <w:tcW w:w="6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gridSpan w:val="3"/>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87"/>
        </w:trPr>
        <w:tc>
          <w:tcPr>
            <w:tcW w:w="6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6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16"/>
                <w:szCs w:val="16"/>
                <w:color w:val="auto"/>
              </w:rPr>
            </w:pPr>
          </w:p>
        </w:tc>
        <w:tc>
          <w:tcPr>
            <w:tcW w:w="190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7"/>
        </w:trPr>
        <w:tc>
          <w:tcPr>
            <w:tcW w:w="682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b w:val="1"/>
                <w:bCs w:val="1"/>
                <w:color w:val="auto"/>
              </w:rPr>
              <w:t xml:space="preserve">Per Share Data </w:t>
            </w:r>
            <w:r>
              <w:rPr>
                <w:rFonts w:ascii="Times New Roman" w:cs="Times New Roman" w:eastAsia="Times New Roman" w:hAnsi="Times New Roman"/>
                <w:sz w:val="24"/>
                <w:szCs w:val="24"/>
                <w:b w:val="1"/>
                <w:bCs w:val="1"/>
                <w:color w:val="auto"/>
                <w:vertAlign w:val="superscript"/>
              </w:rPr>
              <w:t>(4)</w:t>
            </w:r>
          </w:p>
        </w:tc>
        <w:tc>
          <w:tcPr>
            <w:tcW w:w="260" w:type="dxa"/>
            <w:vAlign w:val="bottom"/>
            <w:tcBorders>
              <w:top w:val="single" w:sz="8" w:color="auto"/>
            </w:tcBorders>
            <w:shd w:val="clear" w:color="auto" w:fill="CFF0FC"/>
          </w:tcPr>
          <w:p>
            <w:pPr>
              <w:spacing w:after="0"/>
              <w:rPr>
                <w:sz w:val="20"/>
                <w:szCs w:val="20"/>
                <w:color w:val="auto"/>
              </w:rPr>
            </w:pPr>
          </w:p>
        </w:tc>
        <w:tc>
          <w:tcPr>
            <w:tcW w:w="176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7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 value, beginning of period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30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7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Net investment income </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682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Net realized and unrealized</w:t>
            </w:r>
          </w:p>
        </w:tc>
        <w:tc>
          <w:tcPr>
            <w:tcW w:w="260" w:type="dxa"/>
            <w:vAlign w:val="bottom"/>
            <w:shd w:val="clear" w:color="auto" w:fill="CFF0FC"/>
          </w:tcPr>
          <w:p>
            <w:pPr>
              <w:spacing w:after="0"/>
              <w:rPr>
                <w:sz w:val="16"/>
                <w:szCs w:val="16"/>
                <w:color w:val="auto"/>
              </w:rPr>
            </w:pPr>
          </w:p>
        </w:tc>
        <w:tc>
          <w:tcPr>
            <w:tcW w:w="17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6820" w:type="dxa"/>
            <w:vAlign w:val="bottom"/>
            <w:shd w:val="clear" w:color="auto" w:fill="CFF0FC"/>
          </w:tcPr>
          <w:p>
            <w:pPr>
              <w:ind w:left="160"/>
              <w:spacing w:after="0" w:line="255" w:lineRule="exact"/>
              <w:rPr>
                <w:sz w:val="20"/>
                <w:szCs w:val="20"/>
                <w:color w:val="auto"/>
              </w:rPr>
            </w:pPr>
            <w:r>
              <w:rPr>
                <w:rFonts w:ascii="Times New Roman" w:cs="Times New Roman" w:eastAsia="Times New Roman" w:hAnsi="Times New Roman"/>
                <w:sz w:val="18"/>
                <w:szCs w:val="18"/>
                <w:color w:val="auto"/>
              </w:rPr>
              <w:t xml:space="preserve">gain (loss) </w:t>
            </w:r>
            <w:r>
              <w:rPr>
                <w:rFonts w:ascii="Times New Roman" w:cs="Times New Roman" w:eastAsia="Times New Roman" w:hAnsi="Times New Roman"/>
                <w:sz w:val="24"/>
                <w:szCs w:val="24"/>
                <w:color w:val="auto"/>
                <w:vertAlign w:val="superscript"/>
              </w:rPr>
              <w:t>(1)</w:t>
            </w:r>
          </w:p>
        </w:tc>
        <w:tc>
          <w:tcPr>
            <w:tcW w:w="260" w:type="dxa"/>
            <w:vAlign w:val="bottom"/>
            <w:shd w:val="clear" w:color="auto" w:fill="CFF0FC"/>
          </w:tcPr>
          <w:p>
            <w:pPr>
              <w:spacing w:after="0"/>
              <w:rPr>
                <w:sz w:val="22"/>
                <w:szCs w:val="22"/>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3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(0.16 )</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68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from operations</w:t>
            </w:r>
          </w:p>
        </w:tc>
        <w:tc>
          <w:tcPr>
            <w:tcW w:w="26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30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20" w:type="dxa"/>
            <w:vAlign w:val="bottom"/>
            <w:shd w:val="clear" w:color="auto" w:fill="CFF0FC"/>
          </w:tcPr>
          <w:p>
            <w:pPr>
              <w:ind w:left="20"/>
              <w:spacing w:after="0" w:line="248" w:lineRule="exact"/>
              <w:rPr>
                <w:sz w:val="20"/>
                <w:szCs w:val="20"/>
                <w:color w:val="auto"/>
              </w:rPr>
            </w:pPr>
            <w:r>
              <w:rPr>
                <w:rFonts w:ascii="Times New Roman" w:cs="Times New Roman" w:eastAsia="Times New Roman" w:hAnsi="Times New Roman"/>
                <w:sz w:val="18"/>
                <w:szCs w:val="18"/>
                <w:color w:val="auto"/>
              </w:rPr>
              <w:t xml:space="preserve">Net Common Share Issuance </w:t>
            </w:r>
            <w:r>
              <w:rPr>
                <w:rFonts w:ascii="Times New Roman" w:cs="Times New Roman" w:eastAsia="Times New Roman" w:hAnsi="Times New Roman"/>
                <w:sz w:val="24"/>
                <w:szCs w:val="24"/>
                <w:color w:val="auto"/>
                <w:vertAlign w:val="superscript"/>
              </w:rPr>
              <w:t>(3)</w:t>
            </w:r>
          </w:p>
        </w:tc>
        <w:tc>
          <w:tcPr>
            <w:tcW w:w="260" w:type="dxa"/>
            <w:vAlign w:val="bottom"/>
            <w:shd w:val="clear" w:color="auto" w:fill="CFF0FC"/>
          </w:tcPr>
          <w:p>
            <w:pPr>
              <w:spacing w:after="0"/>
              <w:rPr>
                <w:sz w:val="21"/>
                <w:szCs w:val="21"/>
                <w:color w:val="auto"/>
              </w:rPr>
            </w:pPr>
          </w:p>
        </w:tc>
        <w:tc>
          <w:tcPr>
            <w:tcW w:w="2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(0.12 )</w:t>
            </w:r>
          </w:p>
        </w:tc>
        <w:tc>
          <w:tcPr>
            <w:tcW w:w="26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(0.37 )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260" w:type="dxa"/>
            <w:vAlign w:val="bottom"/>
          </w:tcPr>
          <w:p>
            <w:pPr>
              <w:spacing w:after="0"/>
              <w:rPr>
                <w:sz w:val="20"/>
                <w:szCs w:val="20"/>
                <w:color w:val="auto"/>
              </w:rPr>
            </w:pPr>
          </w:p>
        </w:tc>
        <w:tc>
          <w:tcPr>
            <w:tcW w:w="2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(2.41 )</w:t>
            </w:r>
          </w:p>
        </w:tc>
        <w:tc>
          <w:tcPr>
            <w:tcW w:w="260" w:type="dxa"/>
            <w:vAlign w:val="bottom"/>
          </w:tcPr>
          <w:p>
            <w:pPr>
              <w:spacing w:after="0"/>
              <w:rPr>
                <w:sz w:val="20"/>
                <w:szCs w:val="20"/>
                <w:color w:val="auto"/>
              </w:rPr>
            </w:pP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increase (decrease) in net assets</w:t>
            </w:r>
          </w:p>
        </w:tc>
        <w:tc>
          <w:tcPr>
            <w:tcW w:w="260" w:type="dxa"/>
            <w:vAlign w:val="bottom"/>
            <w:shd w:val="clear" w:color="auto" w:fill="CFF0FC"/>
          </w:tcPr>
          <w:p>
            <w:pPr>
              <w:spacing w:after="0"/>
              <w:rPr>
                <w:sz w:val="20"/>
                <w:szCs w:val="20"/>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(0.02 )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 Value, End of Period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30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Total return based on net asset</w:t>
            </w:r>
          </w:p>
        </w:tc>
        <w:tc>
          <w:tcPr>
            <w:tcW w:w="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6820" w:type="dxa"/>
            <w:vAlign w:val="bottom"/>
          </w:tcPr>
          <w:p>
            <w:pPr>
              <w:ind w:left="160"/>
              <w:spacing w:after="0" w:line="267" w:lineRule="exact"/>
              <w:rPr>
                <w:sz w:val="20"/>
                <w:szCs w:val="20"/>
                <w:color w:val="auto"/>
              </w:rPr>
            </w:pPr>
            <w:r>
              <w:rPr>
                <w:rFonts w:ascii="Times New Roman" w:cs="Times New Roman" w:eastAsia="Times New Roman" w:hAnsi="Times New Roman"/>
                <w:sz w:val="18"/>
                <w:szCs w:val="18"/>
                <w:color w:val="auto"/>
              </w:rPr>
              <w:t xml:space="preserve">value </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23"/>
                <w:szCs w:val="23"/>
                <w:color w:val="auto"/>
              </w:rPr>
            </w:pPr>
          </w:p>
        </w:tc>
        <w:tc>
          <w:tcPr>
            <w:tcW w:w="2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21.42 %</w:t>
            </w:r>
          </w:p>
        </w:tc>
        <w:tc>
          <w:tcPr>
            <w:tcW w:w="260" w:type="dxa"/>
            <w:vAlign w:val="bottom"/>
          </w:tcPr>
          <w:p>
            <w:pPr>
              <w:spacing w:after="0"/>
              <w:rPr>
                <w:sz w:val="23"/>
                <w:szCs w:val="23"/>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-0.08 %</w:t>
            </w:r>
          </w:p>
        </w:tc>
        <w:tc>
          <w:tcPr>
            <w:tcW w:w="0" w:type="dxa"/>
            <w:vAlign w:val="bottom"/>
          </w:tcPr>
          <w:p>
            <w:pPr>
              <w:spacing w:after="0"/>
              <w:rPr>
                <w:sz w:val="1"/>
                <w:szCs w:val="1"/>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shares outstanding, end of period</w:t>
            </w:r>
          </w:p>
        </w:tc>
        <w:tc>
          <w:tcPr>
            <w:tcW w:w="2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65,478,775</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21,882,028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20" w:type="dxa"/>
            <w:vAlign w:val="bottom"/>
            <w:shd w:val="clear" w:color="auto" w:fill="CFF0FC"/>
          </w:tcPr>
          <w:p>
            <w:pPr>
              <w:ind w:left="20"/>
              <w:spacing w:after="0" w:line="248" w:lineRule="exact"/>
              <w:rPr>
                <w:sz w:val="20"/>
                <w:szCs w:val="20"/>
                <w:color w:val="auto"/>
              </w:rPr>
            </w:pPr>
            <w:r>
              <w:rPr>
                <w:rFonts w:ascii="Times New Roman" w:cs="Times New Roman" w:eastAsia="Times New Roman" w:hAnsi="Times New Roman"/>
                <w:sz w:val="18"/>
                <w:szCs w:val="18"/>
                <w:b w:val="1"/>
                <w:bCs w:val="1"/>
                <w:color w:val="auto"/>
              </w:rPr>
              <w:t xml:space="preserve">Ratios / Supplemental Data </w:t>
            </w:r>
            <w:r>
              <w:rPr>
                <w:rFonts w:ascii="Times New Roman" w:cs="Times New Roman" w:eastAsia="Times New Roman" w:hAnsi="Times New Roman"/>
                <w:sz w:val="24"/>
                <w:szCs w:val="24"/>
                <w:b w:val="1"/>
                <w:bCs w:val="1"/>
                <w:color w:val="auto"/>
                <w:vertAlign w:val="superscript"/>
              </w:rPr>
              <w:t>(5)</w:t>
            </w:r>
          </w:p>
        </w:tc>
        <w:tc>
          <w:tcPr>
            <w:tcW w:w="260" w:type="dxa"/>
            <w:vAlign w:val="bottom"/>
            <w:shd w:val="clear" w:color="auto" w:fill="CFF0FC"/>
          </w:tcPr>
          <w:p>
            <w:pPr>
              <w:spacing w:after="0"/>
              <w:rPr>
                <w:sz w:val="21"/>
                <w:szCs w:val="21"/>
                <w:color w:val="auto"/>
              </w:rPr>
            </w:pPr>
          </w:p>
        </w:tc>
        <w:tc>
          <w:tcPr>
            <w:tcW w:w="17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Ratio of gross expenses to average</w:t>
            </w: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without management fee waiver</w:t>
            </w:r>
          </w:p>
        </w:tc>
        <w:tc>
          <w:tcPr>
            <w:tcW w:w="260" w:type="dxa"/>
            <w:vAlign w:val="bottom"/>
          </w:tcPr>
          <w:p>
            <w:pPr>
              <w:spacing w:after="0"/>
              <w:rPr>
                <w:sz w:val="20"/>
                <w:szCs w:val="20"/>
                <w:color w:val="auto"/>
              </w:rPr>
            </w:pPr>
          </w:p>
        </w:tc>
        <w:tc>
          <w:tcPr>
            <w:tcW w:w="2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12.96 %</w:t>
            </w:r>
          </w:p>
        </w:tc>
        <w:tc>
          <w:tcPr>
            <w:tcW w:w="26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0" w:type="dxa"/>
            <w:vAlign w:val="bottom"/>
          </w:tcPr>
          <w:p>
            <w:pPr>
              <w:spacing w:after="0"/>
              <w:rPr>
                <w:sz w:val="1"/>
                <w:szCs w:val="1"/>
                <w:color w:val="auto"/>
              </w:rPr>
            </w:pPr>
          </w:p>
        </w:tc>
      </w:tr>
      <w:tr>
        <w:trPr>
          <w:trHeight w:val="225"/>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Ratio of net expenses to average</w:t>
            </w:r>
          </w:p>
        </w:tc>
        <w:tc>
          <w:tcPr>
            <w:tcW w:w="2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assets with management waiver</w:t>
            </w:r>
          </w:p>
        </w:tc>
        <w:tc>
          <w:tcPr>
            <w:tcW w:w="260" w:type="dxa"/>
            <w:vAlign w:val="bottom"/>
          </w:tcPr>
          <w:p>
            <w:pPr>
              <w:spacing w:after="0"/>
              <w:rPr>
                <w:sz w:val="20"/>
                <w:szCs w:val="20"/>
                <w:color w:val="auto"/>
              </w:rPr>
            </w:pPr>
          </w:p>
        </w:tc>
        <w:tc>
          <w:tcPr>
            <w:tcW w:w="2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11.35 %</w:t>
            </w:r>
          </w:p>
        </w:tc>
        <w:tc>
          <w:tcPr>
            <w:tcW w:w="26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5.70 %</w:t>
            </w:r>
          </w:p>
        </w:tc>
        <w:tc>
          <w:tcPr>
            <w:tcW w:w="0" w:type="dxa"/>
            <w:vAlign w:val="bottom"/>
          </w:tcPr>
          <w:p>
            <w:pPr>
              <w:spacing w:after="0"/>
              <w:rPr>
                <w:sz w:val="1"/>
                <w:szCs w:val="1"/>
                <w:color w:val="auto"/>
              </w:rPr>
            </w:pPr>
          </w:p>
        </w:tc>
      </w:tr>
      <w:tr>
        <w:trPr>
          <w:trHeight w:val="225"/>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Ratio of net investment income</w:t>
            </w:r>
          </w:p>
        </w:tc>
        <w:tc>
          <w:tcPr>
            <w:tcW w:w="2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 average net assets without management waiver</w:t>
            </w:r>
          </w:p>
        </w:tc>
        <w:tc>
          <w:tcPr>
            <w:tcW w:w="260" w:type="dxa"/>
            <w:vAlign w:val="bottom"/>
          </w:tcPr>
          <w:p>
            <w:pPr>
              <w:spacing w:after="0"/>
              <w:rPr>
                <w:sz w:val="20"/>
                <w:szCs w:val="20"/>
                <w:color w:val="auto"/>
              </w:rPr>
            </w:pPr>
          </w:p>
        </w:tc>
        <w:tc>
          <w:tcPr>
            <w:tcW w:w="2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10.75 %</w:t>
            </w:r>
          </w:p>
        </w:tc>
        <w:tc>
          <w:tcPr>
            <w:tcW w:w="26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0" w:type="dxa"/>
            <w:vAlign w:val="bottom"/>
          </w:tcPr>
          <w:p>
            <w:pPr>
              <w:spacing w:after="0"/>
              <w:rPr>
                <w:sz w:val="1"/>
                <w:szCs w:val="1"/>
                <w:color w:val="auto"/>
              </w:rPr>
            </w:pPr>
          </w:p>
        </w:tc>
      </w:tr>
      <w:tr>
        <w:trPr>
          <w:trHeight w:val="225"/>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Ratio of net investment income</w:t>
            </w:r>
          </w:p>
        </w:tc>
        <w:tc>
          <w:tcPr>
            <w:tcW w:w="2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average net assets with management fee waiver</w:t>
            </w:r>
          </w:p>
        </w:tc>
        <w:tc>
          <w:tcPr>
            <w:tcW w:w="260" w:type="dxa"/>
            <w:vAlign w:val="bottom"/>
          </w:tcPr>
          <w:p>
            <w:pPr>
              <w:spacing w:after="0"/>
              <w:rPr>
                <w:sz w:val="20"/>
                <w:szCs w:val="20"/>
                <w:color w:val="auto"/>
              </w:rPr>
            </w:pPr>
          </w:p>
        </w:tc>
        <w:tc>
          <w:tcPr>
            <w:tcW w:w="2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12.36 %</w:t>
            </w:r>
          </w:p>
        </w:tc>
        <w:tc>
          <w:tcPr>
            <w:tcW w:w="26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3.21 %</w:t>
            </w:r>
          </w:p>
        </w:tc>
        <w:tc>
          <w:tcPr>
            <w:tcW w:w="0" w:type="dxa"/>
            <w:vAlign w:val="bottom"/>
          </w:tcPr>
          <w:p>
            <w:pPr>
              <w:spacing w:after="0"/>
              <w:rPr>
                <w:sz w:val="1"/>
                <w:szCs w:val="1"/>
                <w:color w:val="auto"/>
              </w:rPr>
            </w:pPr>
          </w:p>
        </w:tc>
      </w:tr>
      <w:tr>
        <w:trPr>
          <w:trHeight w:val="25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Portfolio turnover</w:t>
            </w:r>
          </w:p>
        </w:tc>
        <w:tc>
          <w:tcPr>
            <w:tcW w:w="260" w:type="dxa"/>
            <w:vAlign w:val="bottom"/>
          </w:tcPr>
          <w:p>
            <w:pPr>
              <w:spacing w:after="0"/>
              <w:rPr>
                <w:sz w:val="21"/>
                <w:szCs w:val="21"/>
                <w:color w:val="auto"/>
              </w:rPr>
            </w:pPr>
          </w:p>
        </w:tc>
        <w:tc>
          <w:tcPr>
            <w:tcW w:w="2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4.46 %</w:t>
            </w:r>
          </w:p>
        </w:tc>
        <w:tc>
          <w:tcPr>
            <w:tcW w:w="260" w:type="dxa"/>
            <w:vAlign w:val="bottom"/>
          </w:tcPr>
          <w:p>
            <w:pPr>
              <w:spacing w:after="0"/>
              <w:rPr>
                <w:sz w:val="21"/>
                <w:szCs w:val="21"/>
                <w:color w:val="auto"/>
              </w:rPr>
            </w:pPr>
          </w:p>
        </w:tc>
        <w:tc>
          <w:tcPr>
            <w:tcW w:w="1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assets, end of period</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1,817,067</w:t>
            </w:r>
          </w:p>
        </w:tc>
        <w:tc>
          <w:tcPr>
            <w:tcW w:w="30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546,711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-2082165</wp:posOffset>
            </wp:positionV>
            <wp:extent cx="7132320" cy="29146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-1191260</wp:posOffset>
            </wp:positionV>
            <wp:extent cx="7132320" cy="29146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-608330</wp:posOffset>
            </wp:positionV>
            <wp:extent cx="7132320" cy="29146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-2888615</wp:posOffset>
            </wp:positionV>
            <wp:extent cx="7747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-2888615</wp:posOffset>
            </wp:positionV>
            <wp:extent cx="6858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-2253615</wp:posOffset>
            </wp:positionV>
            <wp:extent cx="7747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-2253615</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hanging="512"/>
        <w:spacing w:after="0"/>
        <w:tabs>
          <w:tab w:leader="none" w:pos="5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data was derived by using the weighted average Common Shares outstanding during the period.</w:t>
      </w:r>
    </w:p>
    <w:p>
      <w:pPr>
        <w:spacing w:after="0" w:line="27" w:lineRule="exact"/>
        <w:rPr>
          <w:rFonts w:ascii="Times New Roman" w:cs="Times New Roman" w:eastAsia="Times New Roman" w:hAnsi="Times New Roman"/>
          <w:sz w:val="18"/>
          <w:szCs w:val="18"/>
          <w:color w:val="auto"/>
        </w:rPr>
      </w:pPr>
    </w:p>
    <w:p>
      <w:pPr>
        <w:ind w:left="520" w:right="440" w:hanging="512"/>
        <w:spacing w:after="0" w:line="250" w:lineRule="auto"/>
        <w:tabs>
          <w:tab w:leader="none" w:pos="5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net asset value is calculated as the change in net asset value per share during the period plus declared dividends, assuming reinvestment of dividends, divided by the beginning net asset value per share.</w:t>
      </w:r>
    </w:p>
    <w:p>
      <w:pPr>
        <w:ind w:left="520" w:right="160" w:hanging="512"/>
        <w:spacing w:after="0" w:line="250" w:lineRule="auto"/>
        <w:tabs>
          <w:tab w:leader="none" w:pos="5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at this caption is the balancing amount derived from share issuances. The amount shown for share issuance will fluctuate due to the timing of share issuances and the weighting of average shares over the period.</w:t>
      </w:r>
    </w:p>
    <w:p>
      <w:pPr>
        <w:ind w:left="520" w:hanging="512"/>
        <w:spacing w:after="0"/>
        <w:tabs>
          <w:tab w:leader="none" w:pos="5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may not sum due to rounding.</w:t>
      </w:r>
    </w:p>
    <w:p>
      <w:pPr>
        <w:spacing w:after="0" w:line="9" w:lineRule="exact"/>
        <w:rPr>
          <w:rFonts w:ascii="Times New Roman" w:cs="Times New Roman" w:eastAsia="Times New Roman" w:hAnsi="Times New Roman"/>
          <w:sz w:val="18"/>
          <w:szCs w:val="18"/>
          <w:color w:val="auto"/>
        </w:rPr>
      </w:pPr>
    </w:p>
    <w:p>
      <w:pPr>
        <w:ind w:left="520" w:right="920" w:hanging="512"/>
        <w:spacing w:after="0" w:line="260" w:lineRule="auto"/>
        <w:tabs>
          <w:tab w:leader="none" w:pos="5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from April 5th (Inception) through December 31, 2022, the ratios represent information on an annualized basis, except for nonrecurring expenses, such as organizational and offering expenses, which are not annualized.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Selected Quarterly Financial Data (Unaudited)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69"/>
        </w:trPr>
        <w:tc>
          <w:tcPr>
            <w:tcW w:w="6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Q4</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Q3</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Q2</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Q1</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37"/>
        </w:trPr>
        <w:tc>
          <w:tcPr>
            <w:tcW w:w="620" w:type="dxa"/>
            <w:vAlign w:val="bottom"/>
          </w:tcPr>
          <w:p>
            <w:pPr>
              <w:spacing w:after="0"/>
              <w:rPr>
                <w:sz w:val="20"/>
                <w:szCs w:val="20"/>
                <w:color w:val="auto"/>
              </w:rPr>
            </w:pPr>
          </w:p>
        </w:tc>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90,782</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66,482</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57,788</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31,021</w:t>
            </w:r>
          </w:p>
        </w:tc>
        <w:tc>
          <w:tcPr>
            <w:tcW w:w="100" w:type="dxa"/>
            <w:vAlign w:val="bottom"/>
            <w:shd w:val="clear" w:color="auto" w:fill="CFF0FC"/>
          </w:tcPr>
          <w:p>
            <w:pPr>
              <w:spacing w:after="0"/>
              <w:rPr>
                <w:sz w:val="20"/>
                <w:szCs w:val="20"/>
                <w:color w:val="auto"/>
              </w:rPr>
            </w:pPr>
          </w:p>
        </w:tc>
        <w:tc>
          <w:tcPr>
            <w:tcW w:w="620" w:type="dxa"/>
            <w:vAlign w:val="bottom"/>
          </w:tcPr>
          <w:p>
            <w:pPr>
              <w:spacing w:after="0"/>
              <w:rPr>
                <w:sz w:val="20"/>
                <w:szCs w:val="20"/>
                <w:color w:val="auto"/>
              </w:rPr>
            </w:pPr>
          </w:p>
        </w:tc>
      </w:tr>
      <w:tr>
        <w:trPr>
          <w:trHeight w:val="243"/>
        </w:trPr>
        <w:tc>
          <w:tcPr>
            <w:tcW w:w="620" w:type="dxa"/>
            <w:vAlign w:val="bottom"/>
          </w:tcPr>
          <w:p>
            <w:pPr>
              <w:spacing w:after="0"/>
              <w:rPr>
                <w:sz w:val="21"/>
                <w:szCs w:val="21"/>
                <w:color w:val="auto"/>
              </w:rPr>
            </w:pPr>
          </w:p>
        </w:tc>
        <w:tc>
          <w:tcPr>
            <w:tcW w:w="46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Net Expenses </w:t>
            </w:r>
            <w:r>
              <w:rPr>
                <w:rFonts w:ascii="Times New Roman" w:cs="Times New Roman" w:eastAsia="Times New Roman" w:hAnsi="Times New Roman"/>
                <w:sz w:val="24"/>
                <w:szCs w:val="24"/>
                <w:color w:val="auto"/>
                <w:vertAlign w:val="superscript"/>
              </w:rPr>
              <w:t>(1)</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41,660</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34,026</w:t>
            </w:r>
          </w:p>
        </w:tc>
        <w:tc>
          <w:tcPr>
            <w:tcW w:w="2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24,962</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15,646</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43"/>
        </w:trPr>
        <w:tc>
          <w:tcPr>
            <w:tcW w:w="620" w:type="dxa"/>
            <w:vAlign w:val="bottom"/>
          </w:tcPr>
          <w:p>
            <w:pPr>
              <w:spacing w:after="0"/>
              <w:rPr>
                <w:sz w:val="21"/>
                <w:szCs w:val="21"/>
                <w:color w:val="auto"/>
              </w:rPr>
            </w:pPr>
          </w:p>
        </w:tc>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48,686</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32,056</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32,421</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15,115</w:t>
            </w:r>
          </w:p>
        </w:tc>
        <w:tc>
          <w:tcPr>
            <w:tcW w:w="100" w:type="dxa"/>
            <w:vAlign w:val="bottom"/>
            <w:shd w:val="clear" w:color="auto" w:fill="CFF0FC"/>
          </w:tcPr>
          <w:p>
            <w:pPr>
              <w:spacing w:after="0"/>
              <w:rPr>
                <w:sz w:val="21"/>
                <w:szCs w:val="21"/>
                <w:color w:val="auto"/>
              </w:rPr>
            </w:pPr>
          </w:p>
        </w:tc>
        <w:tc>
          <w:tcPr>
            <w:tcW w:w="620" w:type="dxa"/>
            <w:vAlign w:val="bottom"/>
          </w:tcPr>
          <w:p>
            <w:pPr>
              <w:spacing w:after="0"/>
              <w:rPr>
                <w:sz w:val="21"/>
                <w:szCs w:val="21"/>
                <w:color w:val="auto"/>
              </w:rPr>
            </w:pPr>
          </w:p>
        </w:tc>
      </w:tr>
      <w:tr>
        <w:trPr>
          <w:trHeight w:val="239"/>
        </w:trPr>
        <w:tc>
          <w:tcPr>
            <w:tcW w:w="62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unrealized and realized gains (losses)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12,750</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29,447</w:t>
            </w:r>
          </w:p>
        </w:tc>
        <w:tc>
          <w:tcPr>
            <w:tcW w:w="2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13,103</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47"/>
        </w:trPr>
        <w:tc>
          <w:tcPr>
            <w:tcW w:w="620" w:type="dxa"/>
            <w:vAlign w:val="bottom"/>
          </w:tcPr>
          <w:p>
            <w:pPr>
              <w:spacing w:after="0"/>
              <w:rPr>
                <w:sz w:val="21"/>
                <w:szCs w:val="21"/>
                <w:color w:val="auto"/>
              </w:rPr>
            </w:pPr>
          </w:p>
        </w:tc>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 (decrease) in Net Assets Resulting from Operations</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61,437</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61,503</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32,831</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100" w:type="dxa"/>
            <w:vAlign w:val="bottom"/>
            <w:shd w:val="clear" w:color="auto" w:fill="CFF0FC"/>
          </w:tcPr>
          <w:p>
            <w:pPr>
              <w:spacing w:after="0"/>
              <w:rPr>
                <w:sz w:val="21"/>
                <w:szCs w:val="21"/>
                <w:color w:val="auto"/>
              </w:rPr>
            </w:pPr>
          </w:p>
        </w:tc>
        <w:tc>
          <w:tcPr>
            <w:tcW w:w="620" w:type="dxa"/>
            <w:vAlign w:val="bottom"/>
          </w:tcPr>
          <w:p>
            <w:pPr>
              <w:spacing w:after="0"/>
              <w:rPr>
                <w:sz w:val="21"/>
                <w:szCs w:val="21"/>
                <w:color w:val="auto"/>
              </w:rPr>
            </w:pPr>
          </w:p>
        </w:tc>
      </w:tr>
      <w:tr>
        <w:trPr>
          <w:trHeight w:val="234"/>
        </w:trPr>
        <w:tc>
          <w:tcPr>
            <w:tcW w:w="62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 Value per Share as of the End of the Quarter</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2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657"/>
        </w:trPr>
        <w:tc>
          <w:tcPr>
            <w:tcW w:w="6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F-30</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750"/>
        </w:trPr>
        <w:tc>
          <w:tcPr>
            <w:tcW w:w="62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981" w:right="279" w:bottom="1440" w:gutter="0" w:footer="0" w:header="0"/>
        </w:sectPr>
      </w:pPr>
    </w:p>
    <w:bookmarkStart w:id="110" w:name="page111"/>
    <w:bookmarkEnd w:id="110"/>
    <w:tbl>
      <w:tblPr>
        <w:tblLayout w:type="fixed"/>
        <w:tblInd w:w="860" w:type="dxa"/>
        <w:tblCellMar>
          <w:top w:w="0" w:type="dxa"/>
          <w:left w:w="0" w:type="dxa"/>
          <w:bottom w:w="0" w:type="dxa"/>
          <w:right w:w="0" w:type="dxa"/>
        </w:tblCellMar>
      </w:tblPr>
      <w:tr>
        <w:trPr>
          <w:trHeight w:val="187"/>
        </w:trPr>
        <w:tc>
          <w:tcPr>
            <w:tcW w:w="562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620" w:type="dxa"/>
            <w:vAlign w:val="bottom"/>
          </w:tcPr>
          <w:p>
            <w:pPr>
              <w:spacing w:after="0"/>
              <w:rPr>
                <w:sz w:val="14"/>
                <w:szCs w:val="14"/>
                <w:color w:val="auto"/>
              </w:rPr>
            </w:pPr>
          </w:p>
        </w:tc>
        <w:tc>
          <w:tcPr>
            <w:tcW w:w="12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Q4</w:t>
            </w: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Q3</w:t>
            </w:r>
          </w:p>
        </w:tc>
        <w:tc>
          <w:tcPr>
            <w:tcW w:w="100" w:type="dxa"/>
            <w:vAlign w:val="bottom"/>
          </w:tcPr>
          <w:p>
            <w:pPr>
              <w:spacing w:after="0"/>
              <w:rPr>
                <w:sz w:val="14"/>
                <w:szCs w:val="14"/>
                <w:color w:val="auto"/>
              </w:rPr>
            </w:pPr>
          </w:p>
        </w:tc>
      </w:tr>
      <w:tr>
        <w:trPr>
          <w:trHeight w:val="23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220" w:type="dxa"/>
            <w:vAlign w:val="bottom"/>
            <w:shd w:val="clear" w:color="auto" w:fill="CFF0FC"/>
          </w:tcPr>
          <w:p>
            <w:pPr>
              <w:jc w:val="right"/>
              <w:ind w:right="103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16,189</w:t>
            </w:r>
          </w:p>
        </w:tc>
        <w:tc>
          <w:tcPr>
            <w:tcW w:w="20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shd w:val="clear" w:color="auto" w:fill="CFF0FC"/>
          </w:tcPr>
          <w:p>
            <w:pPr>
              <w:spacing w:after="0"/>
              <w:rPr>
                <w:sz w:val="20"/>
                <w:szCs w:val="20"/>
                <w:color w:val="auto"/>
              </w:rPr>
            </w:pPr>
          </w:p>
        </w:tc>
      </w:tr>
      <w:tr>
        <w:trPr>
          <w:trHeight w:val="243"/>
        </w:trPr>
        <w:tc>
          <w:tcPr>
            <w:tcW w:w="562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Net Expenses </w:t>
            </w:r>
            <w:r>
              <w:rPr>
                <w:rFonts w:ascii="Times New Roman" w:cs="Times New Roman" w:eastAsia="Times New Roman" w:hAnsi="Times New Roman"/>
                <w:sz w:val="24"/>
                <w:szCs w:val="24"/>
                <w:color w:val="auto"/>
                <w:vertAlign w:val="superscript"/>
              </w:rPr>
              <w:t>(1)</w:t>
            </w:r>
          </w:p>
        </w:tc>
        <w:tc>
          <w:tcPr>
            <w:tcW w:w="1220" w:type="dxa"/>
            <w:vAlign w:val="bottom"/>
          </w:tcPr>
          <w:p>
            <w:pPr>
              <w:jc w:val="right"/>
              <w:ind w:right="103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8,948</w:t>
            </w:r>
          </w:p>
        </w:tc>
        <w:tc>
          <w:tcPr>
            <w:tcW w:w="2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tcPr>
          <w:p>
            <w:pPr>
              <w:spacing w:after="0"/>
              <w:rPr>
                <w:sz w:val="21"/>
                <w:szCs w:val="21"/>
                <w:color w:val="auto"/>
              </w:rPr>
            </w:pPr>
          </w:p>
        </w:tc>
      </w:tr>
      <w:tr>
        <w:trPr>
          <w:trHeight w:val="243"/>
        </w:trPr>
        <w:tc>
          <w:tcPr>
            <w:tcW w:w="562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 xml:space="preserve">Net Investment Income </w:t>
            </w:r>
            <w:r>
              <w:rPr>
                <w:rFonts w:ascii="Times New Roman" w:cs="Times New Roman" w:eastAsia="Times New Roman" w:hAnsi="Times New Roman"/>
                <w:sz w:val="24"/>
                <w:szCs w:val="24"/>
                <w:color w:val="auto"/>
                <w:vertAlign w:val="superscript"/>
              </w:rPr>
              <w:t>(2)</w:t>
            </w:r>
          </w:p>
        </w:tc>
        <w:tc>
          <w:tcPr>
            <w:tcW w:w="1220" w:type="dxa"/>
            <w:vAlign w:val="bottom"/>
            <w:shd w:val="clear" w:color="auto" w:fill="CFF0FC"/>
          </w:tcPr>
          <w:p>
            <w:pPr>
              <w:jc w:val="right"/>
              <w:ind w:right="103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7,241</w:t>
            </w:r>
          </w:p>
        </w:tc>
        <w:tc>
          <w:tcPr>
            <w:tcW w:w="20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(707 )</w:t>
            </w:r>
          </w:p>
        </w:tc>
      </w:tr>
      <w:tr>
        <w:trPr>
          <w:trHeight w:val="23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Total unrealized and realized gains (losses)</w:t>
            </w:r>
          </w:p>
        </w:tc>
        <w:tc>
          <w:tcPr>
            <w:tcW w:w="1220" w:type="dxa"/>
            <w:vAlign w:val="bottom"/>
          </w:tcPr>
          <w:p>
            <w:pPr>
              <w:jc w:val="right"/>
              <w:ind w:right="103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(2,120 )</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20"/>
                <w:szCs w:val="20"/>
                <w:color w:val="auto"/>
              </w:rPr>
            </w:pPr>
          </w:p>
        </w:tc>
      </w:tr>
      <w:tr>
        <w:trPr>
          <w:trHeight w:val="247"/>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(decrease) in Net Assets Resulting from Operations</w:t>
            </w:r>
          </w:p>
        </w:tc>
        <w:tc>
          <w:tcPr>
            <w:tcW w:w="1220" w:type="dxa"/>
            <w:vAlign w:val="bottom"/>
            <w:shd w:val="clear" w:color="auto" w:fill="CFF0FC"/>
          </w:tcPr>
          <w:p>
            <w:pPr>
              <w:jc w:val="right"/>
              <w:ind w:right="103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20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(330 )</w:t>
            </w: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per Share as of the End of the Quarter</w:t>
            </w:r>
          </w:p>
        </w:tc>
        <w:tc>
          <w:tcPr>
            <w:tcW w:w="1220" w:type="dxa"/>
            <w:vAlign w:val="bottom"/>
          </w:tcPr>
          <w:p>
            <w:pPr>
              <w:jc w:val="right"/>
              <w:ind w:right="103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2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ind w:left="520" w:hanging="512"/>
        <w:spacing w:after="0"/>
        <w:tabs>
          <w:tab w:leader="none" w:pos="52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Net expenses include income taxes, including any excise taxes.</w:t>
      </w:r>
    </w:p>
    <w:p>
      <w:pPr>
        <w:spacing w:after="0" w:line="27"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Net investment income excludes $(943) of expenses incurred at 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121"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The Company’s management has evaluated subsequent events through the date of issuance of the consolidated financial statements included herein. There have been no subsequent events, except as already disclosed, that occurred during such period that would require disclosure in this Form 10-K or would be required to be recognized in the consolidated financial statements as of and for the period ended December 31, 2023.</w:t>
      </w:r>
    </w:p>
    <w:p>
      <w:pPr>
        <w:spacing w:after="0" w:line="200" w:lineRule="exact"/>
        <w:rPr>
          <w:sz w:val="20"/>
          <w:szCs w:val="20"/>
          <w:color w:val="auto"/>
        </w:rPr>
      </w:pPr>
    </w:p>
    <w:p>
      <w:pPr>
        <w:spacing w:after="0" w:line="30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992" w:right="6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ind w:right="40" w:firstLine="25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Evaluation of Disclosure Controls and Procedures. </w:t>
      </w:r>
      <w:r>
        <w:rPr>
          <w:rFonts w:ascii="Times New Roman" w:cs="Times New Roman" w:eastAsia="Times New Roman" w:hAnsi="Times New Roman"/>
          <w:sz w:val="18"/>
          <w:szCs w:val="18"/>
          <w:color w:val="auto"/>
        </w:rPr>
        <w:t>As of the end of the period covered by this Annual Report, we carried out an evaluation,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supervision and with the participation of our management, including our Chief Executive Officer and Chief Financial Officer, of the effectiveness of the design and operation of our disclosure controls and procedures (as defined in Rule 13a-15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79" w:lineRule="exact"/>
        <w:rPr>
          <w:sz w:val="20"/>
          <w:szCs w:val="20"/>
          <w:color w:val="auto"/>
        </w:rPr>
      </w:pPr>
    </w:p>
    <w:p>
      <w:pPr>
        <w:ind w:right="280" w:firstLine="25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Management’s Report on Internal Control Over Financial Reporting. </w:t>
      </w:r>
      <w:r>
        <w:rPr>
          <w:rFonts w:ascii="Times New Roman" w:cs="Times New Roman" w:eastAsia="Times New Roman" w:hAnsi="Times New Roman"/>
          <w:sz w:val="18"/>
          <w:szCs w:val="18"/>
          <w:color w:val="auto"/>
        </w:rPr>
        <w:t>Our management is responsible for establishing and maintaining adequate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internal control over financial reporting (as defined in Rules 13a-15(f) and 15d-15(f) of the Exchange Act). Under the supervision and with the participation of management, including the Chief Executive Officer and Chief Financial Officer, we conducted an evaluation of the effectiveness of our internal control over financial reporting based on the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(2013 COSO Framework). Based on our evaluation under the framework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w:t>
      </w:r>
      <w:r>
        <w:rPr>
          <w:rFonts w:ascii="Times New Roman" w:cs="Times New Roman" w:eastAsia="Times New Roman" w:hAnsi="Times New Roman"/>
          <w:sz w:val="18"/>
          <w:szCs w:val="18"/>
          <w:color w:val="auto"/>
        </w:rPr>
        <w:t>, management concluded that our internal control over financial reporting was effective as of December 31, 2023.</w:t>
      </w:r>
    </w:p>
    <w:p>
      <w:pPr>
        <w:spacing w:after="0" w:line="186"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jc w:val="both"/>
        <w:ind w:right="440" w:firstLine="25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in Internal Control over Financial Reporting. </w:t>
      </w:r>
      <w:r>
        <w:rPr>
          <w:rFonts w:ascii="Times New Roman" w:cs="Times New Roman" w:eastAsia="Times New Roman" w:hAnsi="Times New Roman"/>
          <w:sz w:val="18"/>
          <w:szCs w:val="18"/>
          <w:color w:val="auto"/>
        </w:rPr>
        <w:t>There have been no changes in our internal control over financial reporting that occurred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our most recently completed fiscal quarter that have materially affected, or are reasonably likely to materially affect, our internal control over financial reporting.</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12" w:name="page113"/>
    <w:bookmarkEnd w:id="11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TRUSTEES, EXECUTIVE OFFICERS AND CORPORATE GOVERNANCE</w:t>
      </w:r>
    </w:p>
    <w:p>
      <w:pPr>
        <w:spacing w:after="0" w:line="229" w:lineRule="exact"/>
        <w:rPr>
          <w:sz w:val="20"/>
          <w:szCs w:val="20"/>
          <w:color w:val="auto"/>
        </w:rPr>
      </w:pPr>
    </w:p>
    <w:p>
      <w:pPr>
        <w:ind w:right="120" w:firstLine="255"/>
        <w:spacing w:after="0" w:line="258"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the Board of Trustees. The responsibilities of the Board of Trustees include, among other things, the oversight of our investment activities, the quarterly and non-quarterly valuation of our assets, oversight of our financing arrangements and corporate governance activities. Our Board of Trustees consists of seven members, four of whom are not “interested persons” of the Company or of the Adviser as defined in Section 2(a)(19) of the 1940 Act and are “independent,” as determined by the Board of Trustees. These individuals are referred to as “Independent Trustees.” Our Board of Trustees elects the Company’s executive officers, who serve at the discretion of the Board of Trustees.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Board of Trustees and Executive Officers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Trustees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Information regarding the Board of Trustees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260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Age</w:t>
            </w:r>
          </w:p>
        </w:tc>
        <w:tc>
          <w:tcPr>
            <w:tcW w:w="4780" w:type="dxa"/>
            <w:vAlign w:val="bottom"/>
            <w:tcBorders>
              <w:bottom w:val="single" w:sz="8" w:color="auto"/>
            </w:tcBorders>
          </w:tcPr>
          <w:p>
            <w:pPr>
              <w:ind w:left="232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23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Trustee Since</w:t>
            </w:r>
          </w:p>
        </w:tc>
      </w:tr>
      <w:tr>
        <w:trPr>
          <w:trHeight w:val="243"/>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Interested Trustee:</w:t>
            </w:r>
          </w:p>
        </w:tc>
        <w:tc>
          <w:tcPr>
            <w:tcW w:w="1500" w:type="dxa"/>
            <w:vAlign w:val="bottom"/>
            <w:shd w:val="clear" w:color="auto" w:fill="CFF0FC"/>
          </w:tcPr>
          <w:p>
            <w:pPr>
              <w:spacing w:after="0"/>
              <w:rPr>
                <w:sz w:val="21"/>
                <w:szCs w:val="21"/>
                <w:color w:val="auto"/>
              </w:rPr>
            </w:pPr>
          </w:p>
        </w:tc>
        <w:tc>
          <w:tcPr>
            <w:tcW w:w="4780" w:type="dxa"/>
            <w:vAlign w:val="bottom"/>
            <w:shd w:val="clear" w:color="auto" w:fill="CFF0FC"/>
          </w:tcPr>
          <w:p>
            <w:pPr>
              <w:spacing w:after="0"/>
              <w:rPr>
                <w:sz w:val="21"/>
                <w:szCs w:val="21"/>
                <w:color w:val="auto"/>
              </w:rPr>
            </w:pPr>
          </w:p>
        </w:tc>
        <w:tc>
          <w:tcPr>
            <w:tcW w:w="2360" w:type="dxa"/>
            <w:vAlign w:val="bottom"/>
            <w:shd w:val="clear" w:color="auto" w:fill="CFF0FC"/>
          </w:tcPr>
          <w:p>
            <w:pPr>
              <w:spacing w:after="0"/>
              <w:rPr>
                <w:sz w:val="21"/>
                <w:szCs w:val="21"/>
                <w:color w:val="auto"/>
              </w:rPr>
            </w:pPr>
          </w:p>
        </w:tc>
      </w:tr>
      <w:tr>
        <w:trPr>
          <w:trHeight w:val="239"/>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Joshua Easterly</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Executive Officer, Chair of the Board, Trustee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r>
      <w:tr>
        <w:trPr>
          <w:trHeight w:val="247"/>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Jennifer Gordon</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Trustee</w:t>
            </w: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w:t>
            </w:r>
          </w:p>
        </w:tc>
      </w:tr>
      <w:tr>
        <w:trPr>
          <w:trHeight w:val="239"/>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Stiepleman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Trustee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r>
      <w:tr>
        <w:trPr>
          <w:trHeight w:val="247"/>
        </w:trPr>
        <w:tc>
          <w:tcPr>
            <w:tcW w:w="2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Independent Trustees:</w:t>
            </w:r>
          </w:p>
        </w:tc>
        <w:tc>
          <w:tcPr>
            <w:tcW w:w="1500" w:type="dxa"/>
            <w:vAlign w:val="bottom"/>
            <w:shd w:val="clear" w:color="auto" w:fill="CFF0FC"/>
          </w:tcPr>
          <w:p>
            <w:pPr>
              <w:spacing w:after="0"/>
              <w:rPr>
                <w:sz w:val="21"/>
                <w:szCs w:val="21"/>
                <w:color w:val="auto"/>
              </w:rPr>
            </w:pPr>
          </w:p>
        </w:tc>
        <w:tc>
          <w:tcPr>
            <w:tcW w:w="4780" w:type="dxa"/>
            <w:vAlign w:val="bottom"/>
            <w:shd w:val="clear" w:color="auto" w:fill="CFF0FC"/>
          </w:tcPr>
          <w:p>
            <w:pPr>
              <w:spacing w:after="0"/>
              <w:rPr>
                <w:sz w:val="21"/>
                <w:szCs w:val="21"/>
                <w:color w:val="auto"/>
              </w:rPr>
            </w:pPr>
          </w:p>
        </w:tc>
        <w:tc>
          <w:tcPr>
            <w:tcW w:w="2360" w:type="dxa"/>
            <w:vAlign w:val="bottom"/>
            <w:shd w:val="clear" w:color="auto" w:fill="CFF0FC"/>
          </w:tcPr>
          <w:p>
            <w:pPr>
              <w:spacing w:after="0"/>
              <w:rPr>
                <w:sz w:val="21"/>
                <w:szCs w:val="21"/>
                <w:color w:val="auto"/>
              </w:rPr>
            </w:pPr>
          </w:p>
        </w:tc>
      </w:tr>
      <w:tr>
        <w:trPr>
          <w:trHeight w:val="239"/>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Higginbotham</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Trustee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r>
      <w:tr>
        <w:trPr>
          <w:trHeight w:val="247"/>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Hurley Doddy</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Trustee</w:t>
            </w: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w:t>
            </w:r>
          </w:p>
        </w:tc>
      </w:tr>
      <w:tr>
        <w:trPr>
          <w:trHeight w:val="239"/>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Judy Slotkin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Trustee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r>
      <w:tr>
        <w:trPr>
          <w:trHeight w:val="247"/>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Ronald Tanemura</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Trustee</w:t>
            </w: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w:t>
            </w:r>
          </w:p>
        </w:tc>
      </w:tr>
    </w:tbl>
    <w:p>
      <w:pPr>
        <w:spacing w:after="0" w:line="198" w:lineRule="exact"/>
        <w:rPr>
          <w:sz w:val="20"/>
          <w:szCs w:val="20"/>
          <w:color w:val="auto"/>
        </w:rPr>
      </w:pPr>
    </w:p>
    <w:p>
      <w:pPr>
        <w:ind w:right="500" w:firstLine="255"/>
        <w:spacing w:after="0" w:line="282" w:lineRule="auto"/>
        <w:rPr>
          <w:sz w:val="20"/>
          <w:szCs w:val="20"/>
          <w:color w:val="auto"/>
        </w:rPr>
      </w:pPr>
      <w:r>
        <w:rPr>
          <w:rFonts w:ascii="Times New Roman" w:cs="Times New Roman" w:eastAsia="Times New Roman" w:hAnsi="Times New Roman"/>
          <w:sz w:val="18"/>
          <w:szCs w:val="18"/>
          <w:color w:val="auto"/>
        </w:rPr>
        <w:t>Each trustee will hold office until his or her death, resignation, removal or disqualification. The address for each of our trustees is c/o Sixth Street Lending Partners, 2100 McKinney Avenue, Suite 1500, Dallas, TX 75201.</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Information regarding the executive officers of the Company that are not Trustees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292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Age</w:t>
            </w:r>
          </w:p>
        </w:tc>
        <w:tc>
          <w:tcPr>
            <w:tcW w:w="440" w:type="dxa"/>
            <w:vAlign w:val="bottom"/>
            <w:tcBorders>
              <w:bottom w:val="single" w:sz="8" w:color="auto"/>
            </w:tcBorders>
          </w:tcPr>
          <w:p>
            <w:pPr>
              <w:spacing w:after="0"/>
              <w:rPr>
                <w:sz w:val="23"/>
                <w:szCs w:val="23"/>
                <w:color w:val="auto"/>
              </w:rPr>
            </w:pPr>
          </w:p>
        </w:tc>
        <w:tc>
          <w:tcPr>
            <w:tcW w:w="6380" w:type="dxa"/>
            <w:vAlign w:val="bottom"/>
            <w:tcBorders>
              <w:bottom w:val="single" w:sz="8" w:color="auto"/>
            </w:tcBorders>
          </w:tcPr>
          <w:p>
            <w:pPr>
              <w:ind w:left="286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43"/>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Ian Simmonds</w:t>
            </w:r>
          </w:p>
        </w:tc>
        <w:tc>
          <w:tcPr>
            <w:tcW w:w="15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Graf</w:t>
            </w:r>
          </w:p>
        </w:tc>
        <w:tc>
          <w:tcPr>
            <w:tcW w:w="15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Deputy Chief Financial Officer, Vice President and Principal Accounting Officer</w:t>
            </w:r>
          </w:p>
        </w:tc>
      </w:tr>
      <w:tr>
        <w:trPr>
          <w:trHeight w:val="247"/>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Anton Brett</w:t>
            </w:r>
          </w:p>
        </w:tc>
        <w:tc>
          <w:tcPr>
            <w:tcW w:w="15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Chief Compliance Officer and Secretary</w:t>
            </w: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Each officer holds office at the pleasure of the Board until the next election of officers or until his or her successor is duly elected and qualifies.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Biographical Information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Trustees</w:t>
      </w:r>
    </w:p>
    <w:p>
      <w:pPr>
        <w:spacing w:after="0" w:line="121" w:lineRule="exact"/>
        <w:rPr>
          <w:sz w:val="20"/>
          <w:szCs w:val="20"/>
          <w:color w:val="auto"/>
        </w:rPr>
      </w:pPr>
    </w:p>
    <w:p>
      <w:pPr>
        <w:ind w:right="540" w:firstLine="255"/>
        <w:spacing w:after="0" w:line="282" w:lineRule="auto"/>
        <w:rPr>
          <w:sz w:val="20"/>
          <w:szCs w:val="20"/>
          <w:color w:val="auto"/>
        </w:rPr>
      </w:pPr>
      <w:r>
        <w:rPr>
          <w:rFonts w:ascii="Times New Roman" w:cs="Times New Roman" w:eastAsia="Times New Roman" w:hAnsi="Times New Roman"/>
          <w:sz w:val="18"/>
          <w:szCs w:val="18"/>
          <w:color w:val="auto"/>
        </w:rPr>
        <w:t>Our trustees have been divided into two groups — interested trustees and Independent Trustees. An interested trustee is an “interested person” as defined in Section 2(a)(19) of the 1940 Act. An Independent Trustee is a trustee who is not an “interested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Interested Trustees</w:t>
      </w:r>
    </w:p>
    <w:p>
      <w:pPr>
        <w:spacing w:after="0" w:line="117" w:lineRule="exact"/>
        <w:rPr>
          <w:sz w:val="20"/>
          <w:szCs w:val="20"/>
          <w:color w:val="auto"/>
        </w:rPr>
      </w:pPr>
    </w:p>
    <w:p>
      <w:pPr>
        <w:ind w:right="20" w:firstLine="255"/>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Joshua Easterly </w:t>
      </w:r>
      <w:r>
        <w:rPr>
          <w:rFonts w:ascii="Times New Roman" w:cs="Times New Roman" w:eastAsia="Times New Roman" w:hAnsi="Times New Roman"/>
          <w:sz w:val="18"/>
          <w:szCs w:val="18"/>
          <w:color w:val="auto"/>
        </w:rPr>
        <w:t>was appointed Chief Executive Officer of the Company in June 2022 and elected a trustee and Chairman of the Company in June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2022. Mr. Easterly is a Co-Founding Partner and Co-President of Sixth Street and the Co-Chief Investment Officer of the Adviser. Between 2008 and 2010, he was a Managing Director at Goldman, Sachs &amp; Co. in the Americas Special Situations Group, which invested Goldman’s capital in both the public markets and private transactions in distressed and special situations. Between 2006 and 2008, he served as a Director, Management Committee Member and Co-Head of the Goldman Sachs Specialty Lending Group. Prior to joining Goldman, Sachs &amp; Co. in March 2006, Mr. Easterly was Senior Vice President, Northeast Regional</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3" w:name="page114"/>
    <w:bookmarkEnd w:id="113"/>
    <w:p>
      <w:pPr>
        <w:ind w:right="40"/>
        <w:spacing w:after="0" w:line="261" w:lineRule="auto"/>
        <w:rPr>
          <w:sz w:val="20"/>
          <w:szCs w:val="20"/>
          <w:color w:val="auto"/>
        </w:rPr>
      </w:pPr>
      <w:r>
        <w:rPr>
          <w:rFonts w:ascii="Times New Roman" w:cs="Times New Roman" w:eastAsia="Times New Roman" w:hAnsi="Times New Roman"/>
          <w:sz w:val="18"/>
          <w:szCs w:val="18"/>
          <w:color w:val="auto"/>
        </w:rPr>
        <w:t>Originations Manager at Wells Fargo Capital Finance, or WFCF, formerly known as Wells Fargo Foothill and Foothill Capital Corporation, the commercial finance company of Wells Fargo and Company. Mr. Easterly graduated from California State University, Fresno with a Bachelor of Science in Business Administration, magna cum laude. Mr. Easterly’s depth of experience investing in a variety of distressed and special situations transactions as well as his extensive knowledge of the business and operations of Sixth Street provides the Board with valuable insight and expertise.</w:t>
      </w:r>
    </w:p>
    <w:p>
      <w:pPr>
        <w:spacing w:after="0" w:line="68" w:lineRule="exact"/>
        <w:rPr>
          <w:sz w:val="20"/>
          <w:szCs w:val="20"/>
          <w:color w:val="auto"/>
        </w:rPr>
      </w:pPr>
    </w:p>
    <w:p>
      <w:pPr>
        <w:ind w:right="60" w:firstLine="255"/>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Jennifer Gordon </w:t>
      </w:r>
      <w:r>
        <w:rPr>
          <w:rFonts w:ascii="Times New Roman" w:cs="Times New Roman" w:eastAsia="Times New Roman" w:hAnsi="Times New Roman"/>
          <w:sz w:val="17"/>
          <w:szCs w:val="17"/>
          <w:color w:val="auto"/>
        </w:rPr>
        <w:t>was elected a trustee of the Company in June 2022. Ms. Gordon is a Vice President of the Company and is a Partner, Co-Chief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Operating Officer and Chief Compliance Officer of Sixth Street. Prior to joining Sixth Street, from 2004 to 2014, she held various positions at Goldman, Sachs &amp; Co., including most recently as a Managing Director co-heading Americas Securities Division Compliance. Ms. Gordon was previously an associate at the law firm of White &amp; Case LLP. Ms. Gordon holds a J.D. from Fordham University School of Law and B.A. in International Relations from the University of Michigan. Ms. Gordon’s regulatory and operational knowledge provides the Board with valuable insight in the financial services sector.</w:t>
      </w:r>
    </w:p>
    <w:p>
      <w:pPr>
        <w:spacing w:after="0" w:line="56"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David Stiepleman </w:t>
      </w:r>
      <w:r>
        <w:rPr>
          <w:rFonts w:ascii="Times New Roman" w:cs="Times New Roman" w:eastAsia="Times New Roman" w:hAnsi="Times New Roman"/>
          <w:sz w:val="18"/>
          <w:szCs w:val="18"/>
          <w:color w:val="auto"/>
        </w:rPr>
        <w:t>was elected a trustee of the Company in June 2022. Mr. Stiepleman is a Vice President of the Company. He is a Co-Founding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 Co-President and Co-Chief Operating Officer of Sixth Street. Mr. Stiepleman has been a cross-border corporate lawyer, senior executive and business builder for over 20 years, starting and running businesses, and representing clients, in the U.S., Europe and Asia. Mr. Stiepleman is a strategic advisor to Concrete Rose, an early stage investment platform deploying financial and social capital to underrepresented founders of color. He also serves on the Advisory Council for Mt. Tamalpais College (f/k/a Prison University Project), a college-degree awarding program at San Quentin Prison. Mr. Stiepleman received a B.A. in French and Political Science from Amherst College and a J.D. from Columbia University. Mr. Stiepleman’s legal, regulatory and operational experience provides the Board with valuable knowledge and guidance.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Independent Trustees</w:t>
      </w:r>
    </w:p>
    <w:p>
      <w:pPr>
        <w:spacing w:after="0" w:line="117" w:lineRule="exact"/>
        <w:rPr>
          <w:sz w:val="20"/>
          <w:szCs w:val="20"/>
          <w:color w:val="auto"/>
        </w:rPr>
      </w:pPr>
    </w:p>
    <w:p>
      <w:pPr>
        <w:ind w:right="40" w:firstLine="255"/>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Richard Higginbotham </w:t>
      </w:r>
      <w:r>
        <w:rPr>
          <w:rFonts w:ascii="Times New Roman" w:cs="Times New Roman" w:eastAsia="Times New Roman" w:hAnsi="Times New Roman"/>
          <w:sz w:val="18"/>
          <w:szCs w:val="18"/>
          <w:color w:val="auto"/>
        </w:rPr>
        <w:t>was elected a trustee of the Company in June 2022. From September 2010, he was a director of Healthcare Finance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LLC until its sale in 2013. Between July 2008 and March 2010, Mr. Higginbotham was a director and then chairman of Tygris Commercial Finance Group, Inc., where he also served on the risk committee. From 2004 to 2005, Mr. Higginbotham was the President of Asset Based Lending and Leasing at Bank of America. Prior to that, he worked for 35 years, including in various senior executive positions, at Fleet Bank, Fleet Financial Group, Inc. and FleetBoston Financial, Inc. Mr. Higginbotham holds a B.A. in Political Science from Brown University. Mr. Higginbotham’s depth of experience in senior executive positions in the financial sector provides the Board with valuable experience, insight and perspective in the credit sector.</w:t>
      </w:r>
    </w:p>
    <w:p>
      <w:pPr>
        <w:spacing w:after="0" w:line="74" w:lineRule="exact"/>
        <w:rPr>
          <w:sz w:val="20"/>
          <w:szCs w:val="20"/>
          <w:color w:val="auto"/>
        </w:rPr>
      </w:pPr>
    </w:p>
    <w:p>
      <w:pPr>
        <w:ind w:right="180" w:firstLine="255"/>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Hurley Doddy </w:t>
      </w:r>
      <w:r>
        <w:rPr>
          <w:rFonts w:ascii="Times New Roman" w:cs="Times New Roman" w:eastAsia="Times New Roman" w:hAnsi="Times New Roman"/>
          <w:sz w:val="18"/>
          <w:szCs w:val="18"/>
          <w:color w:val="auto"/>
        </w:rPr>
        <w:t>was elected a trustee of the Company in June 2022. Mr. Doddy is a Managing Director, Founding Partner and Co-Chief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of Emerging Capital Partners, a private equity fund manager focused on Africa. Mr. Doddy is an experienced chief executive and board director with over 38 years of investing for growth across international borders, over multiple business cycles and in many industries and has served on boards of companies listed in the US, Europe, and Africa. Prior to founding Emerging Capital Partners in 1999, Mr. Doddy was an Executive Director at Sumitomo Finance International in London. Mr. Doddy’s career in finance began at Salomon Brothers in 1984, lasting over 14 years with assignments in New York, Tokyo, and Sao Paulo where he gained a wealth of experience in bond trading, hedge management, fixed income &amp; equity derivatives, and emerging markets investing. Mr. Doddy holds an A.B. in Economics from Princeton University and a Chartered Financial Analyst (CFA) designation. Mr. Doddy’s breadth of experience across financial markets and products, geographies, along with his focus on risk management, provides the Board with valuable insight and perspective in the credit sector.</w:t>
      </w:r>
    </w:p>
    <w:p>
      <w:pPr>
        <w:spacing w:after="0" w:line="80"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Judy Slotkin </w:t>
      </w:r>
      <w:r>
        <w:rPr>
          <w:rFonts w:ascii="Times New Roman" w:cs="Times New Roman" w:eastAsia="Times New Roman" w:hAnsi="Times New Roman"/>
          <w:sz w:val="18"/>
          <w:szCs w:val="18"/>
          <w:color w:val="auto"/>
        </w:rPr>
        <w:t>was elected a trustee of the Company in June 2022. Ms. Slotkin retired as a Managing Director from Bank of America in 2015, where she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most recently led business development and relationship management for the New York market as part of the Market Executive team in private wealth management. Prior to joining Bank of America in 2010, Ms. Slotkin served as the Chief Risk Officer at Everspan Financial Guaranty. Prior to joining Everspan, Ms. Slotkin served various leadership roles at Citigroup, including Department Head of the Corporate Finance Division, where she led origination, trading and sales of asset-backed securities, commercial paper on an agency basis, loan note trading and investment grade loan syndications. During her career at Citigroup, Ms. Slotkin also served as the Credit Head of the Corporate Finance Division and Municipal Credit Head of the Public Finance Department. Ms. Slotkin holds a B.S. in Accounting from Fairleigh Dickinson University and an M.B.A. in Finance from Fordham University. She previously served as a director, chair of the nominating and corporate governance committee and a member of the audit committee for Siga Technologies, Inc. and a director and chair of the audit committee for Nephros, Inc. Ms. Slotkin’s numerous management positions and broad experiences within financial institutions provide the Board with valuable knowledge and insight in the financial services sector.</w:t>
      </w:r>
    </w:p>
    <w:p>
      <w:pPr>
        <w:spacing w:after="0" w:line="77" w:lineRule="exact"/>
        <w:rPr>
          <w:sz w:val="20"/>
          <w:szCs w:val="20"/>
          <w:color w:val="auto"/>
        </w:rPr>
      </w:pPr>
    </w:p>
    <w:p>
      <w:pPr>
        <w:ind w:right="20" w:firstLine="255"/>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Ronald Tanemura </w:t>
      </w:r>
      <w:r>
        <w:rPr>
          <w:rFonts w:ascii="Times New Roman" w:cs="Times New Roman" w:eastAsia="Times New Roman" w:hAnsi="Times New Roman"/>
          <w:sz w:val="18"/>
          <w:szCs w:val="18"/>
          <w:color w:val="auto"/>
        </w:rPr>
        <w:t>was elected a trustee of the Company in June 2022. Since 2012, Mr. Tanemura has served as a director of post-reorganization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Lehman Brothers Holdings Inc. in New York. Also, from 2012 to 2019, he served as a non-executive director of ICE Clear Credit in Chicago and, from 2009 to 2019, he served as a non-executive director of ICE Clear Europe in London, both wholly owned subsidiaries of Intercontinental Exchange, Inc. Prior to that, Mr. Tanemura was an Advisory Director and Partner at Goldman, Sachs &amp; Co. from 2000 to 2006 where he was the Global Co-Head of Credit Derivatives and a member of the Fixed Income, Currency and Commodities Risk Committee and Firmwide Credit Policy Committee. In addition, Mr. Tanemura has led a variety of fixed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4" w:name="page115"/>
    <w:bookmarkEnd w:id="114"/>
    <w:p>
      <w:pPr>
        <w:ind w:right="20"/>
        <w:spacing w:after="0" w:line="266" w:lineRule="auto"/>
        <w:rPr>
          <w:sz w:val="20"/>
          <w:szCs w:val="20"/>
          <w:color w:val="auto"/>
        </w:rPr>
      </w:pPr>
      <w:r>
        <w:rPr>
          <w:rFonts w:ascii="Times New Roman" w:cs="Times New Roman" w:eastAsia="Times New Roman" w:hAnsi="Times New Roman"/>
          <w:sz w:val="18"/>
          <w:szCs w:val="18"/>
          <w:color w:val="auto"/>
        </w:rPr>
        <w:t>income businesses, working at Deutsche Bank from 1996 to 2000 and at Salomon Brothers from 1985 to 1996. Mr. Tanemura holds an A.B. in Computer Science from the University of California, Berkeley and currently serves on the Board of Talcott Resolution Life Insurance Company and certain affiliates. Mr. Tanemura’s extensive experience in the financial markets provides the Board with valuable industry-specific knowledge.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Who Are Not Trustees</w:t>
      </w:r>
    </w:p>
    <w:p>
      <w:pPr>
        <w:spacing w:after="0" w:line="117"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Ian Simmonds </w:t>
      </w:r>
      <w:r>
        <w:rPr>
          <w:rFonts w:ascii="Times New Roman" w:cs="Times New Roman" w:eastAsia="Times New Roman" w:hAnsi="Times New Roman"/>
          <w:sz w:val="18"/>
          <w:szCs w:val="18"/>
          <w:color w:val="auto"/>
        </w:rPr>
        <w:t>is the Chief Financial Officer of the Company and a Partner of Sixth Street. From 2005 to 2015, Mr. Simmonds was a member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Institutions Group at Bank of America Merrill Lynch’s Global Investment Bank in New York, most recently as a Managing Director. From 2000 to 2003, Mr. Simmonds was Managing Director at Principal Global Investors, the asset management unit of The Principal Financial Group, based in Singapore. Prior to this role, Mr. Simmonds was a Senior Vice President at Bankers Trust Australia from 1995 to 2000 (acquired by Principal in 1999), and worked in public accounting at KPMG from 1989 to 1995. Mr. Simmonds holds a Bachelor of Commerce from the University of New South Wales, a Master of Applied Finance from Macquarie University, and an M.B.A. from the Wharton School of the University of Pennsylvania. He is a Chartered Accountant.</w:t>
      </w:r>
    </w:p>
    <w:p>
      <w:pPr>
        <w:spacing w:after="0" w:line="75" w:lineRule="exact"/>
        <w:rPr>
          <w:sz w:val="20"/>
          <w:szCs w:val="20"/>
          <w:color w:val="auto"/>
        </w:rPr>
      </w:pPr>
    </w:p>
    <w:p>
      <w:pPr>
        <w:jc w:val="both"/>
        <w:ind w:right="20" w:firstLine="255"/>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Michael Graf </w:t>
      </w:r>
      <w:r>
        <w:rPr>
          <w:rFonts w:ascii="Times New Roman" w:cs="Times New Roman" w:eastAsia="Times New Roman" w:hAnsi="Times New Roman"/>
          <w:sz w:val="18"/>
          <w:szCs w:val="18"/>
          <w:color w:val="auto"/>
        </w:rPr>
        <w:t>is Deputy Chief Financial Officer, Vice President and Principal Accounting Officer of the Company. From 2010 to 2013, Mr. Graf was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Vice President in Alternative Investments at U.S. Bancorp Fund Services, LLC. From 2006 to 2010, Mr. Graf was an Accounting Manager at GSC Group, Inc., a private investment firm. Prior to working at GSC Group Inc., Mr. Graf worked in public accounting at KPMG from 2004 to 2006. Mr. Graf holds a B.S. in Finance and Accounting from the Leonard N. Stern School of Business at New York University. He is a Certified Public Accountant.</w:t>
      </w:r>
    </w:p>
    <w:p>
      <w:pPr>
        <w:spacing w:after="0" w:line="68" w:lineRule="exact"/>
        <w:rPr>
          <w:sz w:val="20"/>
          <w:szCs w:val="20"/>
          <w:color w:val="auto"/>
        </w:rPr>
      </w:pPr>
    </w:p>
    <w:p>
      <w:pPr>
        <w:ind w:right="80" w:firstLine="255"/>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Anton Brett </w:t>
      </w:r>
      <w:r>
        <w:rPr>
          <w:rFonts w:ascii="Times New Roman" w:cs="Times New Roman" w:eastAsia="Times New Roman" w:hAnsi="Times New Roman"/>
          <w:sz w:val="18"/>
          <w:szCs w:val="18"/>
          <w:color w:val="auto"/>
        </w:rPr>
        <w:t>is the Chief Compliance Officer and Secretary of the Company and a Principal of Sixth Street. Prior to joining Sixth Street, from 2017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2020, he was a Senior Associate at Scopia Capital Management, LP. From 2014 to 2017, Mr. Brett was an Associate at the law firm of Willkie Farr &amp; Gallagher LLP. From 2009 to 2011, he was an Analyst, and later a Senior Analyst, at the law firm of Kobre &amp; Kim LLP. Mr. Brett holds a J.D. from Duke University School of Law and B.A. in International Relations and Slavic Studies, magna cum laude, from Brown University.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Officers Who Are Not Trustees</w:t>
      </w:r>
    </w:p>
    <w:p>
      <w:pPr>
        <w:spacing w:after="0" w:line="117" w:lineRule="exact"/>
        <w:rPr>
          <w:sz w:val="20"/>
          <w:szCs w:val="20"/>
          <w:color w:val="auto"/>
        </w:rPr>
      </w:pPr>
    </w:p>
    <w:p>
      <w:pPr>
        <w:ind w:right="180" w:firstLine="255"/>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Robert (“Bo”) Stanley </w:t>
      </w:r>
      <w:r>
        <w:rPr>
          <w:rFonts w:ascii="Times New Roman" w:cs="Times New Roman" w:eastAsia="Times New Roman" w:hAnsi="Times New Roman"/>
          <w:sz w:val="18"/>
          <w:szCs w:val="18"/>
          <w:color w:val="auto"/>
        </w:rPr>
        <w:t>is a Vice President of the Company, a Partner of Sixth Street, and co-head of Sixth Street Growth. Mr. Stanley focuses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originating transactions in the software, payment systems, data infrastructure and business services sectors. Mr. Stanley was previously with Wells Fargo Capital Finance, a provider of specialized senior secured financing to companies throughout the U.S. and Canada, from 2000 to 2011. While at Wells Fargo, Mr. Stanley served in multiple roles in an underwriting and origination capacity. From 2006 to 2011, Mr. Stanley was a Director of Loan Originations where he was responsible for lead development and generation of commercial loans. He holds a B.S. in Business Administration with a concentration in Finance from the University of Maine.</w:t>
      </w:r>
    </w:p>
    <w:p>
      <w:pPr>
        <w:spacing w:after="0" w:line="74"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Alan Waxman </w:t>
      </w:r>
      <w:r>
        <w:rPr>
          <w:rFonts w:ascii="Times New Roman" w:cs="Times New Roman" w:eastAsia="Times New Roman" w:hAnsi="Times New Roman"/>
          <w:sz w:val="18"/>
          <w:szCs w:val="18"/>
          <w:color w:val="auto"/>
        </w:rPr>
        <w:t>is a Vice President of the Company. Mr. Waxman is a Co-Founding Partner and Chief Executive Officer of Sixth Street. Prior to co-founding Sixth Street, Mr. Waxman was a Partner at Goldman, Sachs &amp; Co. and Chief Investment Officer of its largest proprietary investing business, the Americas Special Situations Group. Sixth Street continues an investment philosophy Mr. Waxman and Sixth Street’s founding partner group began developing over 20 years ago while building complementary businesses to invest Goldman’s capital in public and private markets across the capital structure in companies, assets, and idiosyncratic opportunities. Mr. Waxman is a Founding LP and Strategic Advisor to Concrete Rose, an early stage investment platform deploying financial and social capital to underrepresented founders of color. He and other Sixth Street team members began advising Concrete Rose leadership on the firm’s formation in 2018 and Sixth Street is a Founding Strategic Partner. Mr. Waxman holds a B.A. in International Relations from the University of Pennsylvania and currently serves on the Board of Overseers for the University of Pennsylvania College of Arts and Sciences. He is a Board Member Emeritus for Tipping Point Community and serves on the Advisory Council for the Boys and Girls Club of the Peninsula, which are both focused on fighting poverty and inequality of opportunity in the San Francisco Bay Area.</w:t>
      </w:r>
    </w:p>
    <w:p>
      <w:pPr>
        <w:spacing w:after="0" w:line="77" w:lineRule="exact"/>
        <w:rPr>
          <w:sz w:val="20"/>
          <w:szCs w:val="20"/>
          <w:color w:val="auto"/>
        </w:rPr>
      </w:pPr>
    </w:p>
    <w:p>
      <w:pPr>
        <w:jc w:val="both"/>
        <w:ind w:right="60" w:firstLine="255"/>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Craig Hamrah </w:t>
      </w:r>
      <w:r>
        <w:rPr>
          <w:rFonts w:ascii="Times New Roman" w:cs="Times New Roman" w:eastAsia="Times New Roman" w:hAnsi="Times New Roman"/>
          <w:sz w:val="18"/>
          <w:szCs w:val="18"/>
          <w:color w:val="auto"/>
        </w:rPr>
        <w:t>is a Vice President of the Company, Senior Credit Underwriter of the Adviser and Partner of Sixth Street. Mr. Hamrah was previously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Silver Point Capital, where he was a senior deal underwriter and oversaw the portfolio in the private finance group. From 2004 to 2005, Mr. Hamrah was a Senior Vice President at the Royal Bank of Scotland. From 1997 to 2004, Mr. Hamrah was an Executive Vice President at Emigrant Business Credit Corp, a subsidiary of Emigrant Savings Bank. Mr. Hamrah started his career at The CIT Group in 1990 working in the commercial finance and equipment finance divisions. He holds a B.A. in Business Economics from Brown University.</w:t>
      </w:r>
    </w:p>
    <w:p>
      <w:pPr>
        <w:spacing w:after="0" w:line="71" w:lineRule="exact"/>
        <w:rPr>
          <w:sz w:val="20"/>
          <w:szCs w:val="20"/>
          <w:color w:val="auto"/>
        </w:rPr>
      </w:pPr>
    </w:p>
    <w:p>
      <w:pPr>
        <w:ind w:right="20" w:firstLine="255"/>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Steven Pluss </w:t>
      </w:r>
      <w:r>
        <w:rPr>
          <w:rFonts w:ascii="Times New Roman" w:cs="Times New Roman" w:eastAsia="Times New Roman" w:hAnsi="Times New Roman"/>
          <w:sz w:val="18"/>
          <w:szCs w:val="18"/>
          <w:color w:val="auto"/>
        </w:rPr>
        <w:t>is a Vice President of the Company. He is a Co-Founding Partner of Sixth Street and has also been the Chief Risk Officer since 2013,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 as the Chief Financial Officer from 2013 to 2016. Prior to joining Sixth Street, Mr. Pluss was a Managing Director and co-head of the Goldman Sachs Specialty Lending Group at Goldman, Sachs &amp; Co., where he worked from 2004 to 2013. From 1999 to 2004, Mr. Pluss was a Partner, Founder and Managing Member of RTV Ventures, a special situations lending joint</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color w:val="auto"/>
        </w:rPr>
        <w:t>venture with Goldman, Sachs &amp; Co. Mr. Pluss holds a B.B.A. from Texas A&amp;M University and an M.B.A. from Southern Methodist University.</w:t>
      </w:r>
    </w:p>
    <w:p>
      <w:pPr>
        <w:spacing w:after="0" w:line="113" w:lineRule="exact"/>
        <w:rPr>
          <w:sz w:val="20"/>
          <w:szCs w:val="20"/>
          <w:color w:val="auto"/>
        </w:rPr>
      </w:pPr>
    </w:p>
    <w:p>
      <w:pPr>
        <w:ind w:right="40" w:firstLine="255"/>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Michael Fishman </w:t>
      </w:r>
      <w:r>
        <w:rPr>
          <w:rFonts w:ascii="Times New Roman" w:cs="Times New Roman" w:eastAsia="Times New Roman" w:hAnsi="Times New Roman"/>
          <w:sz w:val="18"/>
          <w:szCs w:val="18"/>
          <w:color w:val="auto"/>
        </w:rPr>
        <w:t>is a Vice President of the Company and is a Sixth Street Partner. He has been an executive in corporate lending for more than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with senior management experience in credit, portfolio management and primary loan originations. Prior to joining Sixth Street, Mr. Fishman was the Executive Vice President and National Director of Loan Originations for WFCF, formerly known as Wells Fargo Foothill and Foothill Capital Corporation. In this role, Mr. Fishman sat on the senior investment committee and was responsible for primary and secondary lending, loan distribution and syndications, strategic transactions and new lending products. From 2000 to 2007, he built the team that grew WFCF’s assets under management from approximately $2 billion to over $10 billion. Mr. Fishman has also contributed to various industry publications and panel discussions, and has sat on the Board of the American Bankruptcy Institute. He holds a Bachelor of Science in Finance from Rochester Institute of Technology. Mr. Fishman’s extensive experience in the credit markets provides the Board with valuable industry-specific knowledge.</w:t>
      </w:r>
    </w:p>
    <w:p>
      <w:pPr>
        <w:spacing w:after="0" w:line="77" w:lineRule="exact"/>
        <w:rPr>
          <w:sz w:val="20"/>
          <w:szCs w:val="20"/>
          <w:color w:val="auto"/>
        </w:rPr>
      </w:pPr>
    </w:p>
    <w:p>
      <w:pPr>
        <w:ind w:right="80" w:firstLine="255"/>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Joshua Peck </w:t>
      </w:r>
      <w:r>
        <w:rPr>
          <w:rFonts w:ascii="Times New Roman" w:cs="Times New Roman" w:eastAsia="Times New Roman" w:hAnsi="Times New Roman"/>
          <w:sz w:val="18"/>
          <w:szCs w:val="18"/>
          <w:color w:val="auto"/>
        </w:rPr>
        <w:t>is a Vice President of the Company and a Partner and General Counsel of Sixth Street. Prior to joining Sixth Street in 2015, Mr. Peck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Associate with Weil, Gotshal &amp; Manges LLP, focused on private equity and mergers and acquisitions. He holds a J.D. from Fordham Law School and a B.A. in Government from Cornell University. Mr. Peck serves on the Board of Directors of Legal Aid at Work, a non-profit legal services organization that has been assisting low-income, working families for one than 100 years. He also serves on the Advisory Council of the Law Firm Antiracism Alliance, which brings together law firms and legal services organizations to identify and dismantle structural and systemic racism in the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Leadership Structure and Oversight Responsibilities</w:t>
      </w:r>
    </w:p>
    <w:p>
      <w:pPr>
        <w:spacing w:after="0" w:line="12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Our Board monitors and performs an oversight role with respect to our business and affairs, including with respect to investment practices and performance, compliance with regulatory requirements, cybersecurity and the services, expenses and performance of service providers to us. Among other things, our Board approves the appointment of our Adviser and our officers, reviews and monitors the services and activities performed by our investment adviser and our executive officers.</w:t>
      </w:r>
    </w:p>
    <w:p>
      <w:pPr>
        <w:spacing w:after="0" w:line="7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Our Board designates a chairman to preside over the meetings of the Board and to perform other duties as may be assigned to him by the Board. We do not have a fixed policy as to whether the chairman of the Board should be an Independent Trustee and believe that we should maintain the flexibility to select the chairman and reorganize the leadership structure, from time to time, based on the criteria that is in our best interests and the best interests of our shareholders at such times.</w:t>
      </w:r>
    </w:p>
    <w:p>
      <w:pPr>
        <w:spacing w:after="0" w:line="72"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Mr. Easterly will serve as the chairman of our Board. We believe that Mr. Easterly’s familiarity with our investment platform and extensive knowledge of the financial services industry qualifies him to serve as the chairman of our Board.</w:t>
      </w:r>
    </w:p>
    <w:p>
      <w:pPr>
        <w:spacing w:after="0" w:line="54"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8"/>
          <w:szCs w:val="18"/>
          <w:color w:val="auto"/>
        </w:rPr>
        <w:t>Our Board does not currently have a designated lead Independent Trustee. We are aware of the potential conflicts that may arise when a non-Independent Trustee is chairman of the Board, but believe these potential conflicts are offset by our strong corporate governance practices. Our corporate governance practices will include regular meetings of the Independent Trustees in executive session without the presence of interested trustees and management, as well as the establishment of a Nominating and Corporate Governance Committee and an Audit Committee, each consisting solely of Independent Trustees for the purposes of the NYSE corporate governance rules and, in the case of the Audit Committee, Rule 10A-3 under the Securities Exchange Act of 1934, as amended (the “Exchange Act”). During executive sessions, the chairman of the Audit Committee or his designee will act as presiding trustee. In addition, our corporate governance practices include the appointment of our Chief Compliance Officer, with whom the Independent Trustees meet in executive session without the presence of interested trustees and other members of management for administering our compliance policies and procedures. While certain non-management members of our Board currently participate on the boards of directors of other companies, we do not view their participation as excessive or as interfering with their duties on our Board.</w:t>
      </w:r>
    </w:p>
    <w:p>
      <w:pPr>
        <w:spacing w:after="0" w:line="86"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Our Board will perform its risk oversight function primarily through its committees and monitoring by our Chief Compliance Officer in accordance with its compliance policies and procedures.</w:t>
      </w:r>
    </w:p>
    <w:p>
      <w:pPr>
        <w:spacing w:after="0" w:line="54"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8"/>
          <w:szCs w:val="18"/>
          <w:color w:val="auto"/>
        </w:rPr>
        <w:t>As described below in more detail under “—Board Committees—Audit Committee,” the Audit Committee will assist the Board in fulfilling its risk oversight responsibilities. The Audit Committee’s risk oversight responsibilities will include overseeing our accounting and financial reporting processes, our systems of internal controls regarding finance and accounting, and audits of our financial statements. The Audit Committee will also discuss with management our major financial risk exposures and the steps management has taken to monitor and control such exposures, including our risk assessment and risk management policies.</w:t>
      </w:r>
    </w:p>
    <w:p>
      <w:pPr>
        <w:spacing w:after="0" w:line="75"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Our Board will also perform its risk oversight responsibilities with the assistance of the Chief Compliance Officer. Our Chief Compliance Officer will prepare a written report annually discussing the adequacy and effectiveness of our compliance policies and procedures. The Chief Compliance Officer’s report, which will be reviewed by the Board, will address:</w:t>
      </w:r>
    </w:p>
    <w:p>
      <w:pPr>
        <w:spacing w:after="0" w:line="68" w:lineRule="exact"/>
        <w:rPr>
          <w:sz w:val="20"/>
          <w:szCs w:val="20"/>
          <w:color w:val="auto"/>
        </w:rPr>
      </w:pPr>
    </w:p>
    <w:p>
      <w:pPr>
        <w:ind w:left="1020" w:hanging="503"/>
        <w:spacing w:after="0"/>
        <w:tabs>
          <w:tab w:leader="none" w:pos="10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compliance policies and procedures and certain of our service providers since the last report;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changes to these policies and procedures or recommended changes;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6" w:name="page117"/>
    <w:bookmarkEnd w:id="116"/>
    <w:p>
      <w:pPr>
        <w:ind w:left="1020" w:hanging="503"/>
        <w:spacing w:after="0" w:line="282" w:lineRule="auto"/>
        <w:tabs>
          <w:tab w:leader="none" w:pos="10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compliance matter that has occurred about which the Board would reasonably need to know to oversee our compliance activities and risks.</w:t>
      </w:r>
    </w:p>
    <w:p>
      <w:pPr>
        <w:spacing w:after="0" w:line="162"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In addition, the Chief Compliance Officer will meet separately in executive session with the Independent Trustees periodically, typically every quarter, but in no event less than once each year.</w:t>
      </w:r>
    </w:p>
    <w:p>
      <w:pPr>
        <w:spacing w:after="0" w:line="54"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8"/>
          <w:szCs w:val="18"/>
          <w:color w:val="auto"/>
        </w:rPr>
        <w:t>We believe that the Board’s role in risk oversight will be effective and appropriate given the extensive regulation to which we are already subject as a business development company (“BDC”). Specifically, as a BDC, we must comply with numerous regulatory requirements that control the levels of risk in its business and operations, including limitations under the 1940 Act on the amount of borrowings, debt securities or preferred stock we may incur or issue. In addition, we generally have to invest at least 70% of our total assets in “qualifying assets” and, subject to certain exceptions, we generally are not permitted to invest in any portfolio company in which our affiliates currently has an investment. In addition, we elected to be treated as a regulated investment company (“RIC”) under Subchapter M of the Internal Revenue Code of 1986, as amended (the “Code”). As a RIC, we must, among other things, meet certain source of income, asset diversification and distribution requirements.</w:t>
      </w:r>
    </w:p>
    <w:p>
      <w:pPr>
        <w:spacing w:after="0" w:line="81"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Further, we believe that the Board’s structure and practices will enhance its risk oversight because our Independent Trustees separately meet in executive sessions with the Chief Compliance Officer and independent registered public accounting firm without any conflict that could be perceived to discourage critical review.</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believe that the Board’s role in risk oversight must be evaluated on a case-by-case basis and that its existing role in risk oversight is appropriate.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Communications with Trustees</w:t>
      </w:r>
    </w:p>
    <w:p>
      <w:pPr>
        <w:spacing w:after="0" w:line="12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8"/>
          <w:szCs w:val="18"/>
          <w:color w:val="auto"/>
        </w:rPr>
        <w:t>Our Board has established procedures whereby our shareholders and other interested parties may communicate with any member of our Board, the chairman of any of our Board committees or with our non-management trustees as a group by mail addressed to the applicable trustees or trustee group, in the care of the Chief Compliance Officer, Anton Brett, Sixth Street Lending Partners, 888 7th Avenue, 35th Floor, New York, NY 10106. Such communications should specify the intended recipient or recipients. All such communications, other than unsolicited commercial solicitations, will be forwarded to the appropriate trustee, or trustees, for review.</w:t>
      </w:r>
    </w:p>
    <w:p>
      <w:pPr>
        <w:spacing w:after="0" w:line="75"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In addition, information on how to report issues related to financial statement disclosures, accounting, internal accounting controls or auditing matters to our Board or the Independent Trustees via email is available upon request.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Committees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currently have two standing committees: the Audit Committee and the Nominating and Corporate Governance Committee.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The Audit Committee will operate pursuant to the Audit Committee Charter. The Audit Committee Charter sets forth the responsibilities of the Audit Committee. The primary function of the Audit Committee is to serve as an independent and objective party to assist the Board in fulfilling its responsibilities for our accounting and reporting processes and the audits of its financial statements by overseeing and monitoring:</w:t>
      </w:r>
    </w:p>
    <w:p>
      <w:pPr>
        <w:spacing w:after="0" w:line="68" w:lineRule="exact"/>
        <w:rPr>
          <w:sz w:val="20"/>
          <w:szCs w:val="20"/>
          <w:color w:val="auto"/>
        </w:rPr>
      </w:pPr>
    </w:p>
    <w:p>
      <w:pPr>
        <w:ind w:left="1020" w:hanging="503"/>
        <w:spacing w:after="0"/>
        <w:tabs>
          <w:tab w:leader="none" w:pos="10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integrity of our financial statements;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system of internal controls;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reporting process, including the valuation of investments, the review of the independence and performance of, as well as communicate openly with, our independent registered public accounting firm;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legal and regulatory requirements.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7" w:name="page118"/>
    <w:bookmarkEnd w:id="117"/>
    <w:p>
      <w:pPr>
        <w:jc w:val="both"/>
        <w:ind w:right="20" w:firstLine="255"/>
        <w:spacing w:after="0" w:line="282" w:lineRule="auto"/>
        <w:rPr>
          <w:sz w:val="20"/>
          <w:szCs w:val="20"/>
          <w:color w:val="auto"/>
        </w:rPr>
      </w:pPr>
      <w:r>
        <w:rPr>
          <w:rFonts w:ascii="Times New Roman" w:cs="Times New Roman" w:eastAsia="Times New Roman" w:hAnsi="Times New Roman"/>
          <w:sz w:val="18"/>
          <w:szCs w:val="18"/>
          <w:color w:val="auto"/>
        </w:rPr>
        <w:t>Our Audit Committee will have the sole authority to approve the engagement, and review the performance of, our independent registered public accounting firm.</w:t>
      </w:r>
    </w:p>
    <w:p>
      <w:pPr>
        <w:spacing w:after="0" w:line="54"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Our Board has designated Ms. Slotkin as an “audit committee financial expert” pursuant to the provisions of Item 407(d)(5) of Regulation S-K, and, pursuant to the Audit Committee Charter, our Audit Committee consists solely of members who are independent trustees for the purposes of the applicable NYSE corporate governance rules and Rule 10A-3 under the Exchange Act.</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Messrs, Higginbotham, Doddy, and Tanemura and Ms. Slotkin are members of the Audit Committee and Ms. Slotkin serves as Chairman.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will operate pursuant to the Nominating and Corporate Governance Committee Charter. The Nominating and Corporate Governance Committee Charter sets forth the responsibilities of the Nominating and Corporate Governance Committee. The Nominating and Corporate Governance Committee is responsible for:</w:t>
      </w:r>
    </w:p>
    <w:p>
      <w:pPr>
        <w:spacing w:after="0" w:line="68" w:lineRule="exact"/>
        <w:rPr>
          <w:sz w:val="20"/>
          <w:szCs w:val="20"/>
          <w:color w:val="auto"/>
        </w:rPr>
      </w:pPr>
    </w:p>
    <w:p>
      <w:pPr>
        <w:ind w:left="1020" w:hanging="503"/>
        <w:spacing w:after="0"/>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researching and nominating trustees for election by our shareholders;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nominees to fill vacancies on the Board or a committee of the Board;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a set of corporate governance principles;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the Board and our management.</w:t>
      </w:r>
    </w:p>
    <w:p>
      <w:pPr>
        <w:spacing w:after="0" w:line="117"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nominees to the Board recommended by a shareholder, if that shareholder complies with the advance notice provisions of our bylaws.</w:t>
      </w:r>
    </w:p>
    <w:p>
      <w:pPr>
        <w:spacing w:after="0" w:line="54"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The members of the Nominating and Corporate Governance Committee are Messrs. Higginbotham, Doddy, and Tanemura and Ms. Slotkin, each of whom is independent for purposes of the NYSE corporate governance rules, and each of whom is not an “interested person” of the Company, of the Adviser, or of any of their respective affiliates as defined in Section 2(a)(19) of the 1940 Act. Mr. Higginbotham serves as Chairman.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Role in Risk Oversight</w:t>
      </w:r>
    </w:p>
    <w:p>
      <w:pPr>
        <w:spacing w:after="0" w:line="121"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Our Board of Trustees performs its risk oversight function primarily through (i) its standing committees, which report to the entire Board of Trustees and are comprised solely of independent Trustees, and (ii) active monitoring of our chief compliance officer and our compliance policies and procedures. Oversight of other risks is delegated to the committees.</w:t>
      </w:r>
    </w:p>
    <w:p>
      <w:pPr>
        <w:spacing w:after="0" w:line="68"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8"/>
          <w:szCs w:val="18"/>
          <w:color w:val="auto"/>
        </w:rPr>
        <w:t>Oversight of our investment activities extends to oversight of the risk management processes employed by the Adviser as part of its day-to-day management of our investment activities. The Board of Trustees anticipates reviewing risk management processes at both regular and special board meetings throughout the year, consulting with appropriate representatives of the Adviser as necessary and periodically requesting the production of risk management reports or presentations. The goal of the Board of Trustee’s risk oversight function is to ensure that the risks associated with our investment activities are accurately identified, thoroughly investigated and responsibly addressed. Investors should note, however, that the Board of Trustees’ oversight function cannot eliminate all risks or ensure that particular events do not adversely affect the value of investments.</w:t>
      </w:r>
    </w:p>
    <w:p>
      <w:pPr>
        <w:spacing w:after="0" w:line="7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We believe that the role of our Board of Trustees in risk oversight is effective and appropriate given the extensive regulation to which we are already subject as a BDC. As a BDC, we are required to comply with certain regulatory requirements that control the levels of risk in our business and operations. For example, we are limited in our ability to enter into transactions with our affiliates, including investing in any portfolio company in which one of our affiliates currently has an investment.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Range of Equity Securities Beneficially Owned by Trustees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December 31, 2023, no Trustees held any equity securities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8"/>
          <w:szCs w:val="18"/>
          <w:color w:val="auto"/>
        </w:rPr>
        <w:t>As required by the Advisers Act and the 1940 Act, we and the Adviser have adopted codes of ethics which apply to, among others, our and our Adviser’s executive officers, including our Chief Executive Officer and Chief Financial Officer, as well as our Adviser’s officers, trustees and employees. The codes of ethics establish procedures for personal investments and restrict certain personal securities transactions. Personnel subject to the codes may invest in securities for their personal investment accounts, including securities that may be purchased or held by us, so long as such investments are made in accordance with the codes’ requirements. There have been no material changes to the codes or material waivers of the codes that apply to our Chief Executive Officer or Chief Financial Officer.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Compensation of Executive Officers</w:t>
      </w:r>
    </w:p>
    <w:p>
      <w:pPr>
        <w:spacing w:after="0" w:line="11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We do not currently have any employees and do not expect to have any employees. Services necessary for our business are provided by individuals who are employees of our Adviser, which is also our Administrator, or its affiliates, pursuant to the terms of the Investment Advisory Agreement and the Administration Agreement, as applicable. Our day-to-day investment operations will be managed by the Adviser. Most of the services necessary for the sourcing and administration of our investment portfolio are provided by investment professionals employed by the Adviser or its affiliates.</w:t>
      </w:r>
    </w:p>
    <w:p>
      <w:pPr>
        <w:spacing w:after="0" w:line="180"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For the avoidance of doubt, the Company will bear its allocable portion of the costs of the compensation, benefits, and related administrative expenses (including travel expenses) of its officers who provide operational and administrative services under the Administration Agreement, their respective staffs and other professionals who provide services to the Company (including, in each case, employees of the Administrator or an affiliate) who assist with the preparation, coordination, and administration of the foregoing or provide other “back office” or “middle office” financial or operational services to the Company. The Company reimburses the Adviser (or its affiliates) for an allocable portion of the compensation paid by the Adviser (or its affiliates) to such individuals (based on a percentage of time such individuals devote, on an estimated basis, to the business and affairs of the Company and in acting on behalf of the Company). See “</w:t>
      </w:r>
      <w:r>
        <w:rPr>
          <w:rFonts w:ascii="Times New Roman" w:cs="Times New Roman" w:eastAsia="Times New Roman" w:hAnsi="Times New Roman"/>
          <w:sz w:val="18"/>
          <w:szCs w:val="18"/>
          <w:i w:val="1"/>
          <w:iCs w:val="1"/>
          <w:color w:val="auto"/>
        </w:rPr>
        <w:t>ITEM 1. BUSINESS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 Agreements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ITEM 7. CERTAIN RELATIONSHIPS AND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 AND TRUSTEE INDEPENDENCE</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260" w:hanging="252"/>
        <w:spacing w:after="0"/>
        <w:tabs>
          <w:tab w:leader="none" w:pos="260" w:val="left"/>
        </w:tabs>
        <w:numPr>
          <w:ilvl w:val="0"/>
          <w:numId w:val="9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Compensation of Trustees</w:t>
      </w:r>
    </w:p>
    <w:p>
      <w:pPr>
        <w:spacing w:after="0" w:line="119" w:lineRule="exact"/>
        <w:rPr>
          <w:rFonts w:ascii="Times New Roman" w:cs="Times New Roman" w:eastAsia="Times New Roman" w:hAnsi="Times New Roman"/>
          <w:sz w:val="18"/>
          <w:szCs w:val="18"/>
          <w:i w:val="1"/>
          <w:iCs w:val="1"/>
          <w:color w:val="auto"/>
        </w:rPr>
      </w:pPr>
    </w:p>
    <w:p>
      <w:pPr>
        <w:ind w:left="2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We pay each Independent Trustee the following amounts for serving as a trustee:</w:t>
      </w:r>
    </w:p>
    <w:p>
      <w:pPr>
        <w:spacing w:after="0" w:line="225"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$110,000 annual retainer;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 for each meeting of the Board attended;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 for each monthly telephonic update meeting attended;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for each committee meeting of ours attended; and</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fee of $15,000 per year for the chairman of the Audit Committee and $10,000 per year for the chairman of the Nominating and Corporate Governance Committee.</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 compensation is paid to our trustees who are “interested persons,” as such term is defined in Section 2(a)(19) of the 1940 Act. We pay each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Independent Trustee as follows:</w:t>
      </w:r>
    </w:p>
    <w:p>
      <w:pPr>
        <w:spacing w:after="0" w:line="207" w:lineRule="exact"/>
        <w:rPr>
          <w:sz w:val="20"/>
          <w:szCs w:val="20"/>
          <w:color w:val="auto"/>
        </w:rPr>
      </w:pPr>
    </w:p>
    <w:p>
      <w:pPr>
        <w:jc w:val="both"/>
        <w:ind w:right="20" w:firstLine="255"/>
        <w:spacing w:after="0" w:line="282" w:lineRule="auto"/>
        <w:rPr>
          <w:sz w:val="20"/>
          <w:szCs w:val="20"/>
          <w:color w:val="auto"/>
        </w:rPr>
      </w:pPr>
      <w:r>
        <w:rPr>
          <w:rFonts w:ascii="Times New Roman" w:cs="Times New Roman" w:eastAsia="Times New Roman" w:hAnsi="Times New Roman"/>
          <w:sz w:val="18"/>
          <w:szCs w:val="18"/>
          <w:color w:val="auto"/>
        </w:rPr>
        <w:t>We are also authorized to pay the reasonable out-of-pocket expenses of each Independent Trustee incurred by such trustee in connection with the fulfillment of his or her duties as an Independent Trustee.</w:t>
      </w:r>
    </w:p>
    <w:p>
      <w:pPr>
        <w:spacing w:after="0" w:line="158"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SHAREHOLDER MATTERS</w:t>
      </w:r>
    </w:p>
    <w:p>
      <w:pPr>
        <w:spacing w:after="0" w:line="51"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No trustee or officer holds any securities. The following table sets forth, as of February 14, 2024, the beneficial ownership of each person known to us to beneficially own 5% or more of the outstanding shares. Percentage of beneficial ownership is based on 65,478,775 shares outstanding as of December 31, 2023.</w:t>
      </w:r>
    </w:p>
    <w:p>
      <w:pPr>
        <w:spacing w:after="0" w:line="176"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voting or investment power with respect to the shares. Ownership information for those persons who beneficially own 5% or more of our shares is based upon filings by such persons with the SEC and other information obtained from such persons, if available.</w:t>
      </w:r>
    </w:p>
    <w:p>
      <w:pPr>
        <w:spacing w:after="0" w:line="185" w:lineRule="exact"/>
        <w:rPr>
          <w:sz w:val="20"/>
          <w:szCs w:val="20"/>
          <w:color w:val="auto"/>
        </w:rPr>
      </w:pPr>
    </w:p>
    <w:tbl>
      <w:tblPr>
        <w:tblLayout w:type="fixed"/>
        <w:tblInd w:w="1640" w:type="dxa"/>
        <w:tblCellMar>
          <w:top w:w="0" w:type="dxa"/>
          <w:left w:w="0" w:type="dxa"/>
          <w:bottom w:w="0" w:type="dxa"/>
          <w:right w:w="0" w:type="dxa"/>
        </w:tblCellMar>
      </w:tblPr>
      <w:tr>
        <w:trPr>
          <w:trHeight w:val="216"/>
        </w:trPr>
        <w:tc>
          <w:tcPr>
            <w:tcW w:w="920" w:type="dxa"/>
            <w:vAlign w:val="bottom"/>
            <w:vMerge w:val="restart"/>
          </w:tcPr>
          <w:p>
            <w:pPr>
              <w:spacing w:after="0"/>
              <w:rPr>
                <w:sz w:val="18"/>
                <w:szCs w:val="18"/>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Type of</w:t>
            </w:r>
          </w:p>
        </w:tc>
        <w:tc>
          <w:tcPr>
            <w:tcW w:w="3860" w:type="dxa"/>
            <w:vAlign w:val="bottom"/>
            <w:vMerge w:val="restart"/>
          </w:tcPr>
          <w:p>
            <w:pPr>
              <w:ind w:left="840"/>
              <w:spacing w:after="0"/>
              <w:rPr>
                <w:sz w:val="20"/>
                <w:szCs w:val="20"/>
                <w:color w:val="auto"/>
              </w:rPr>
            </w:pPr>
            <w:r>
              <w:rPr>
                <w:rFonts w:ascii="Times New Roman" w:cs="Times New Roman" w:eastAsia="Times New Roman" w:hAnsi="Times New Roman"/>
                <w:sz w:val="18"/>
                <w:szCs w:val="18"/>
                <w:b w:val="1"/>
                <w:bCs w:val="1"/>
                <w:color w:val="auto"/>
              </w:rPr>
              <w:t>Number of Shares Owned</w:t>
            </w:r>
          </w:p>
        </w:tc>
        <w:tc>
          <w:tcPr>
            <w:tcW w:w="1880" w:type="dxa"/>
            <w:vAlign w:val="bottom"/>
            <w:vMerge w:val="restart"/>
          </w:tcPr>
          <w:p>
            <w:pPr>
              <w:ind w:left="102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0" w:type="dxa"/>
            <w:vAlign w:val="bottom"/>
          </w:tcPr>
          <w:p>
            <w:pPr>
              <w:spacing w:after="0"/>
              <w:rPr>
                <w:sz w:val="1"/>
                <w:szCs w:val="1"/>
                <w:color w:val="auto"/>
              </w:rPr>
            </w:pPr>
          </w:p>
        </w:tc>
      </w:tr>
      <w:tr>
        <w:trPr>
          <w:trHeight w:val="130"/>
        </w:trPr>
        <w:tc>
          <w:tcPr>
            <w:tcW w:w="920" w:type="dxa"/>
            <w:vAlign w:val="bottom"/>
            <w:vMerge w:val="continue"/>
          </w:tcPr>
          <w:p>
            <w:pPr>
              <w:spacing w:after="0"/>
              <w:rPr>
                <w:sz w:val="11"/>
                <w:szCs w:val="11"/>
                <w:color w:val="auto"/>
              </w:rPr>
            </w:pPr>
          </w:p>
        </w:tc>
        <w:tc>
          <w:tcPr>
            <w:tcW w:w="2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3860" w:type="dxa"/>
            <w:vAlign w:val="bottom"/>
            <w:vMerge w:val="continue"/>
          </w:tcPr>
          <w:p>
            <w:pPr>
              <w:spacing w:after="0"/>
              <w:rPr>
                <w:sz w:val="11"/>
                <w:szCs w:val="11"/>
                <w:color w:val="auto"/>
              </w:rPr>
            </w:pPr>
          </w:p>
        </w:tc>
        <w:tc>
          <w:tcPr>
            <w:tcW w:w="1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920" w:type="dxa"/>
            <w:vAlign w:val="bottom"/>
          </w:tcPr>
          <w:p>
            <w:pPr>
              <w:spacing w:after="0"/>
              <w:rPr>
                <w:sz w:val="9"/>
                <w:szCs w:val="9"/>
                <w:color w:val="auto"/>
              </w:rPr>
            </w:pPr>
          </w:p>
        </w:tc>
        <w:tc>
          <w:tcPr>
            <w:tcW w:w="2520" w:type="dxa"/>
            <w:vAlign w:val="bottom"/>
            <w:vMerge w:val="continue"/>
          </w:tcPr>
          <w:p>
            <w:pPr>
              <w:spacing w:after="0"/>
              <w:rPr>
                <w:sz w:val="9"/>
                <w:szCs w:val="9"/>
                <w:color w:val="auto"/>
              </w:rPr>
            </w:pPr>
          </w:p>
        </w:tc>
        <w:tc>
          <w:tcPr>
            <w:tcW w:w="3860" w:type="dxa"/>
            <w:vAlign w:val="bottom"/>
          </w:tcPr>
          <w:p>
            <w:pPr>
              <w:spacing w:after="0"/>
              <w:rPr>
                <w:sz w:val="9"/>
                <w:szCs w:val="9"/>
                <w:color w:val="auto"/>
              </w:rPr>
            </w:pPr>
          </w:p>
        </w:tc>
        <w:tc>
          <w:tcPr>
            <w:tcW w:w="18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260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Five-Percent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p>
      <w:pPr>
        <w:ind w:left="20"/>
        <w:spacing w:after="0"/>
        <w:tabs>
          <w:tab w:leader="none" w:pos="3560" w:val="left"/>
        </w:tabs>
        <w:rPr>
          <w:sz w:val="20"/>
          <w:szCs w:val="20"/>
          <w:color w:val="auto"/>
        </w:rPr>
      </w:pPr>
      <w:r>
        <w:rPr>
          <w:rFonts w:ascii="Times New Roman" w:cs="Times New Roman" w:eastAsia="Times New Roman" w:hAnsi="Times New Roman"/>
          <w:sz w:val="18"/>
          <w:szCs w:val="18"/>
          <w:color w:val="auto"/>
        </w:rPr>
        <w:t xml:space="preserve">State of Michigan Retirement System </w:t>
      </w:r>
      <w:r>
        <w:rPr>
          <w:rFonts w:ascii="Times New Roman" w:cs="Times New Roman" w:eastAsia="Times New Roman" w:hAnsi="Times New Roman"/>
          <w:sz w:val="24"/>
          <w:szCs w:val="24"/>
          <w:color w:val="auto"/>
          <w:vertAlign w:val="superscript"/>
        </w:rPr>
        <w:t>(1)</w:t>
      </w:r>
      <w:r>
        <w:rPr>
          <w:sz w:val="20"/>
          <w:szCs w:val="20"/>
          <w:color w:val="auto"/>
        </w:rPr>
        <w:tab/>
      </w:r>
      <w:r>
        <w:rPr>
          <w:rFonts w:ascii="Times New Roman" w:cs="Times New Roman" w:eastAsia="Times New Roman" w:hAnsi="Times New Roman"/>
          <w:sz w:val="18"/>
          <w:szCs w:val="18"/>
          <w:color w:val="auto"/>
        </w:rPr>
        <w:t>Record</w:t>
      </w:r>
    </w:p>
    <w:p>
      <w:pPr>
        <w:ind w:left="20"/>
        <w:spacing w:after="0"/>
        <w:tabs>
          <w:tab w:leader="none" w:pos="3560" w:val="left"/>
        </w:tabs>
        <w:rPr>
          <w:sz w:val="20"/>
          <w:szCs w:val="20"/>
          <w:color w:val="auto"/>
        </w:rPr>
      </w:pPr>
      <w:r>
        <w:rPr>
          <w:rFonts w:ascii="Times New Roman" w:cs="Times New Roman" w:eastAsia="Times New Roman" w:hAnsi="Times New Roman"/>
          <w:sz w:val="18"/>
          <w:szCs w:val="18"/>
          <w:color w:val="auto"/>
        </w:rPr>
        <w:t xml:space="preserve">The Public Institution for Social Security </w:t>
      </w:r>
      <w:r>
        <w:rPr>
          <w:rFonts w:ascii="Times New Roman" w:cs="Times New Roman" w:eastAsia="Times New Roman" w:hAnsi="Times New Roman"/>
          <w:sz w:val="24"/>
          <w:szCs w:val="24"/>
          <w:color w:val="auto"/>
          <w:vertAlign w:val="superscript"/>
        </w:rPr>
        <w:t>(2)</w:t>
      </w:r>
      <w:r>
        <w:rPr>
          <w:sz w:val="20"/>
          <w:szCs w:val="20"/>
          <w:color w:val="auto"/>
        </w:rPr>
        <w:tab/>
      </w:r>
      <w:r>
        <w:rPr>
          <w:rFonts w:ascii="Times New Roman" w:cs="Times New Roman" w:eastAsia="Times New Roman" w:hAnsi="Times New Roman"/>
          <w:sz w:val="18"/>
          <w:szCs w:val="18"/>
          <w:color w:val="auto"/>
        </w:rPr>
        <w:t>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5430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line="218" w:lineRule="auto"/>
        <w:rPr>
          <w:sz w:val="20"/>
          <w:szCs w:val="20"/>
          <w:color w:val="auto"/>
        </w:rPr>
      </w:pPr>
      <w:r>
        <w:rPr>
          <w:rFonts w:ascii="Times New Roman" w:cs="Times New Roman" w:eastAsia="Times New Roman" w:hAnsi="Times New Roman"/>
          <w:sz w:val="18"/>
          <w:szCs w:val="18"/>
          <w:color w:val="auto"/>
        </w:rPr>
        <w:t>Sixth Street Lending Partners Note Issuer,</w:t>
      </w:r>
    </w:p>
    <w:p>
      <w:pPr>
        <w:ind w:left="20"/>
        <w:spacing w:after="0"/>
        <w:tabs>
          <w:tab w:leader="none" w:pos="3560" w:val="left"/>
        </w:tabs>
        <w:rPr>
          <w:sz w:val="20"/>
          <w:szCs w:val="20"/>
          <w:color w:val="auto"/>
        </w:rPr>
      </w:pPr>
      <w:r>
        <w:rPr>
          <w:rFonts w:ascii="Times New Roman" w:cs="Times New Roman" w:eastAsia="Times New Roman" w:hAnsi="Times New Roman"/>
          <w:sz w:val="18"/>
          <w:szCs w:val="18"/>
          <w:color w:val="auto"/>
        </w:rPr>
        <w:t xml:space="preserve">LLC </w:t>
      </w:r>
      <w:r>
        <w:rPr>
          <w:rFonts w:ascii="Times New Roman" w:cs="Times New Roman" w:eastAsia="Times New Roman" w:hAnsi="Times New Roman"/>
          <w:sz w:val="24"/>
          <w:szCs w:val="24"/>
          <w:color w:val="auto"/>
          <w:vertAlign w:val="superscript"/>
        </w:rPr>
        <w:t>(3)</w:t>
      </w:r>
      <w:r>
        <w:rPr>
          <w:sz w:val="20"/>
          <w:szCs w:val="20"/>
          <w:color w:val="auto"/>
        </w:rPr>
        <w:tab/>
      </w:r>
      <w:r>
        <w:rPr>
          <w:rFonts w:ascii="Times New Roman" w:cs="Times New Roman" w:eastAsia="Times New Roman" w:hAnsi="Times New Roman"/>
          <w:sz w:val="18"/>
          <w:szCs w:val="18"/>
          <w:color w:val="auto"/>
        </w:rPr>
        <w:t>Record</w:t>
      </w:r>
    </w:p>
    <w:p>
      <w:pPr>
        <w:spacing w:after="0" w:line="1" w:lineRule="exact"/>
        <w:rPr>
          <w:sz w:val="20"/>
          <w:szCs w:val="20"/>
          <w:color w:val="auto"/>
        </w:rPr>
      </w:pPr>
    </w:p>
    <w:p>
      <w:pPr>
        <w:ind w:left="20"/>
        <w:spacing w:after="0"/>
        <w:tabs>
          <w:tab w:leader="none" w:pos="3560" w:val="left"/>
        </w:tabs>
        <w:rPr>
          <w:sz w:val="20"/>
          <w:szCs w:val="20"/>
          <w:color w:val="auto"/>
        </w:rPr>
      </w:pPr>
      <w:r>
        <w:rPr>
          <w:rFonts w:ascii="Times New Roman" w:cs="Times New Roman" w:eastAsia="Times New Roman" w:hAnsi="Times New Roman"/>
          <w:sz w:val="18"/>
          <w:szCs w:val="18"/>
          <w:color w:val="auto"/>
        </w:rPr>
        <w:t xml:space="preserve">Flourish Investment Corporation </w:t>
      </w:r>
      <w:r>
        <w:rPr>
          <w:rFonts w:ascii="Times New Roman" w:cs="Times New Roman" w:eastAsia="Times New Roman" w:hAnsi="Times New Roman"/>
          <w:sz w:val="24"/>
          <w:szCs w:val="24"/>
          <w:color w:val="auto"/>
          <w:vertAlign w:val="superscript"/>
        </w:rPr>
        <w:t>(4)</w:t>
      </w:r>
      <w:r>
        <w:rPr>
          <w:sz w:val="20"/>
          <w:szCs w:val="20"/>
          <w:color w:val="auto"/>
        </w:rPr>
        <w:tab/>
      </w:r>
      <w:r>
        <w:rPr>
          <w:rFonts w:ascii="Times New Roman" w:cs="Times New Roman" w:eastAsia="Times New Roman" w:hAnsi="Times New Roman"/>
          <w:sz w:val="18"/>
          <w:szCs w:val="18"/>
          <w:color w:val="auto"/>
        </w:rPr>
        <w:t>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15430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7"/>
          <w:szCs w:val="17"/>
          <w:color w:val="auto"/>
        </w:rPr>
        <w:t>6,679,018</w:t>
      </w:r>
      <w:r>
        <w:rPr>
          <w:sz w:val="20"/>
          <w:szCs w:val="20"/>
          <w:color w:val="auto"/>
        </w:rPr>
        <w:tab/>
      </w:r>
      <w:r>
        <w:rPr>
          <w:rFonts w:ascii="Times New Roman" w:cs="Times New Roman" w:eastAsia="Times New Roman" w:hAnsi="Times New Roman"/>
          <w:sz w:val="17"/>
          <w:szCs w:val="17"/>
          <w:color w:val="auto"/>
        </w:rPr>
        <w:t>10.20%</w:t>
      </w:r>
    </w:p>
    <w:p>
      <w:pPr>
        <w:spacing w:after="0" w:line="48"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color w:val="auto"/>
        </w:rPr>
        <w:t>5,343,214</w:t>
      </w:r>
      <w:r>
        <w:rPr>
          <w:sz w:val="20"/>
          <w:szCs w:val="20"/>
          <w:color w:val="auto"/>
        </w:rPr>
        <w:tab/>
      </w:r>
      <w:r>
        <w:rPr>
          <w:rFonts w:ascii="Times New Roman" w:cs="Times New Roman" w:eastAsia="Times New Roman" w:hAnsi="Times New Roman"/>
          <w:sz w:val="18"/>
          <w:szCs w:val="18"/>
          <w:color w:val="auto"/>
        </w:rPr>
        <w:t>8.16%</w:t>
      </w:r>
    </w:p>
    <w:p>
      <w:pPr>
        <w:spacing w:after="0" w:line="144"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5"/>
          <w:szCs w:val="15"/>
          <w:color w:val="auto"/>
        </w:rPr>
        <w:t>4,822,540</w:t>
      </w:r>
      <w:r>
        <w:rPr>
          <w:sz w:val="20"/>
          <w:szCs w:val="20"/>
          <w:color w:val="auto"/>
        </w:rPr>
        <w:tab/>
      </w:r>
      <w:r>
        <w:rPr>
          <w:rFonts w:ascii="Times New Roman" w:cs="Times New Roman" w:eastAsia="Times New Roman" w:hAnsi="Times New Roman"/>
          <w:sz w:val="28"/>
          <w:szCs w:val="28"/>
          <w:color w:val="auto"/>
          <w:vertAlign w:val="superscript"/>
        </w:rPr>
        <w:t>7.37%</w:t>
      </w:r>
    </w:p>
    <w:p>
      <w:pPr>
        <w:spacing w:after="0" w:line="49"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color w:val="auto"/>
        </w:rPr>
        <w:t>3,990,096</w:t>
      </w:r>
      <w:r>
        <w:rPr>
          <w:sz w:val="20"/>
          <w:szCs w:val="20"/>
          <w:color w:val="auto"/>
        </w:rPr>
        <w:tab/>
      </w:r>
      <w:r>
        <w:rPr>
          <w:rFonts w:ascii="Times New Roman" w:cs="Times New Roman" w:eastAsia="Times New Roman" w:hAnsi="Times New Roman"/>
          <w:sz w:val="18"/>
          <w:szCs w:val="18"/>
          <w:color w:val="auto"/>
        </w:rPr>
        <w:t>6.09%</w:t>
      </w:r>
    </w:p>
    <w:p>
      <w:pPr>
        <w:spacing w:after="0" w:line="240" w:lineRule="exact"/>
        <w:rPr>
          <w:sz w:val="20"/>
          <w:szCs w:val="20"/>
          <w:color w:val="auto"/>
        </w:rPr>
      </w:pPr>
    </w:p>
    <w:p>
      <w:pPr>
        <w:sectPr>
          <w:pgSz w:w="11900" w:h="16838" w:orient="portrait"/>
          <w:cols w:equalWidth="0" w:num="2">
            <w:col w:w="7980" w:space="720"/>
            <w:col w:w="2540"/>
          </w:cols>
          <w:pgMar w:left="320" w:top="1197" w:right="339" w:bottom="1440" w:gutter="0" w:footer="0" w:header="0"/>
          <w:type w:val="continuous"/>
        </w:sectPr>
      </w:pP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119" w:name="page120"/>
    <w:bookmarkEnd w:id="119"/>
    <w:p>
      <w:pPr>
        <w:jc w:val="both"/>
        <w:ind w:left="520" w:right="420" w:hanging="512"/>
        <w:spacing w:after="0" w:line="266" w:lineRule="auto"/>
        <w:tabs>
          <w:tab w:leader="none" w:pos="5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address for State of Michigan Retirement System (“Michigan”) is 2501 Coolidge Road Suite 400 East Lansing, Michigan 48823. Information obtained from a Schedule 13G filed by Michigan with the SEC reporting share ownership as of December 31, 2023. Based on that filing, Michigan maintains the sole power to vote or dispose of 6,679,018 shares.</w:t>
      </w:r>
    </w:p>
    <w:p>
      <w:pPr>
        <w:spacing w:after="0" w:line="67" w:lineRule="exact"/>
        <w:rPr>
          <w:rFonts w:ascii="Times New Roman" w:cs="Times New Roman" w:eastAsia="Times New Roman" w:hAnsi="Times New Roman"/>
          <w:sz w:val="18"/>
          <w:szCs w:val="18"/>
          <w:color w:val="auto"/>
        </w:rPr>
      </w:pPr>
    </w:p>
    <w:p>
      <w:pPr>
        <w:ind w:left="520" w:right="40" w:hanging="512"/>
        <w:spacing w:after="0" w:line="266" w:lineRule="auto"/>
        <w:tabs>
          <w:tab w:leader="none" w:pos="5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address for The Public Institution for Social Security (“PIFSS”) is AlMurqab, Al-Soor St, Ta’aminat Building, Kuwait City 13104 Kuwait. Information obtained from a Schedule 13G filed by PIFSS with the SEC reporting share ownership as of December 31, 2023. Based on that filing, PIFSS maintains the sole power to vote or dispose of 5,343,214 shares.</w:t>
      </w:r>
    </w:p>
    <w:p>
      <w:pPr>
        <w:spacing w:after="0" w:line="67" w:lineRule="exact"/>
        <w:rPr>
          <w:rFonts w:ascii="Times New Roman" w:cs="Times New Roman" w:eastAsia="Times New Roman" w:hAnsi="Times New Roman"/>
          <w:sz w:val="18"/>
          <w:szCs w:val="18"/>
          <w:color w:val="auto"/>
        </w:rPr>
      </w:pPr>
    </w:p>
    <w:p>
      <w:pPr>
        <w:ind w:left="520" w:right="80" w:hanging="512"/>
        <w:spacing w:after="0" w:line="266" w:lineRule="auto"/>
        <w:tabs>
          <w:tab w:leader="none" w:pos="5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address for Sixth Street Lending Partners Note Issuer, LLC (“Note Issuer”) is 2100 McKinney Avenue, Suite 1500, Dallas, Texas 75201. Information obtained from a Schedule 13D filed by Note Issuer with the SEC reporting share ownership as of December 31, 2023. Based on that filing, Note Issuer maintains the sole power to vote or dispose of 4,822,540 shares.</w:t>
      </w:r>
    </w:p>
    <w:p>
      <w:pPr>
        <w:spacing w:after="0" w:line="67" w:lineRule="exact"/>
        <w:rPr>
          <w:rFonts w:ascii="Times New Roman" w:cs="Times New Roman" w:eastAsia="Times New Roman" w:hAnsi="Times New Roman"/>
          <w:sz w:val="18"/>
          <w:szCs w:val="18"/>
          <w:color w:val="auto"/>
        </w:rPr>
      </w:pPr>
    </w:p>
    <w:p>
      <w:pPr>
        <w:ind w:left="520" w:right="180" w:hanging="512"/>
        <w:spacing w:after="0" w:line="266" w:lineRule="auto"/>
        <w:tabs>
          <w:tab w:leader="none" w:pos="5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address for Flourish Investment Corporation (“Flourish”) is New Poly Plaza, No.1 Chaoyangmen Beidajie, Dongcheng District, Beijing 100010, People’s Republic of China. Information obtained from a Schedule 13G filed by Flourish with the SEC reporting share ownership as of December 31, 2023. Based on that filing, Flourish maintains the sole power to vote or dispose of 3,990,096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 AND RELATED TRANSACTION, AND TRUSTEE INDEPENDENCE</w:t>
      </w:r>
    </w:p>
    <w:p>
      <w:pPr>
        <w:spacing w:after="0" w:line="225" w:lineRule="exact"/>
        <w:rPr>
          <w:sz w:val="20"/>
          <w:szCs w:val="20"/>
          <w:color w:val="auto"/>
        </w:rPr>
      </w:pPr>
    </w:p>
    <w:p>
      <w:pPr>
        <w:ind w:right="5180"/>
        <w:spacing w:after="0" w:line="440" w:lineRule="auto"/>
        <w:rPr>
          <w:sz w:val="20"/>
          <w:szCs w:val="20"/>
          <w:color w:val="auto"/>
        </w:rPr>
      </w:pPr>
      <w:r>
        <w:rPr>
          <w:rFonts w:ascii="Times New Roman" w:cs="Times New Roman" w:eastAsia="Times New Roman" w:hAnsi="Times New Roman"/>
          <w:sz w:val="18"/>
          <w:szCs w:val="18"/>
          <w:b w:val="1"/>
          <w:bCs w:val="1"/>
          <w:color w:val="auto"/>
        </w:rPr>
        <w:t>(a) Transactions with Related Persons, Promoters and Certain Control Persons Advisory Agreement; Administration Agreement</w:t>
      </w:r>
    </w:p>
    <w:p>
      <w:pPr>
        <w:spacing w:after="0" w:line="1"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8"/>
          <w:szCs w:val="18"/>
          <w:color w:val="auto"/>
        </w:rPr>
        <w:t>We have entered into the Investment Advisory Agreement with the Adviser pursuant to which we will pay Management Fees and Incentive Fees to the Adviser and the Administration Agreement with the Administrator. In addition, pursuant to the Investment Advisory Agreement and the Administration Agreement, we will reimburse the Adviser and Administrator for certain expenses as they occur. See “</w:t>
      </w:r>
      <w:r>
        <w:rPr>
          <w:rFonts w:ascii="Times New Roman" w:cs="Times New Roman" w:eastAsia="Times New Roman" w:hAnsi="Times New Roman"/>
          <w:sz w:val="18"/>
          <w:szCs w:val="18"/>
          <w:i w:val="1"/>
          <w:iCs w:val="1"/>
          <w:color w:val="auto"/>
        </w:rPr>
        <w:t>ITEM 1. BUSINESS— Management Agreements</w:t>
      </w:r>
      <w:r>
        <w:rPr>
          <w:rFonts w:ascii="Times New Roman" w:cs="Times New Roman" w:eastAsia="Times New Roman" w:hAnsi="Times New Roman"/>
          <w:sz w:val="18"/>
          <w:szCs w:val="18"/>
          <w:color w:val="auto"/>
        </w:rPr>
        <w:t>.” Each of the Investment Advisory Agreement and the Administration Agreement has been approved by the Board of Trustees. Unless earlier terminated, each of the Investment Advisory Agreement and the Administration Agreement will remain in effect for a period of two years from the date it first becomes effective and will remain in effect from year-to-year thereafter if approved annually by a majority of the Board of Trustees, including a majority of Independent Trustees, or by the holders of a majority of our outstanding voting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Co-Investment Relief</w:t>
      </w:r>
    </w:p>
    <w:p>
      <w:pPr>
        <w:spacing w:after="0" w:line="121"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The Adviser has received an exemptive order from the SEC that permits us, among other things, to co-invest with certain other persons, including certain affiliates of the Adviser and certain funds managed and controlled by the Adviser and its affiliates, subject to certain terms and conditions. Pursuant to such order, the Board of Trustees may establish Board Criteria clearly defining co-investment opportunities in which the Company will have the opportunity to participate with one or more Sixth Street managed funds that target similar assets. If an investment falls within the Board Criteria, the Sixth Street must offer an opportunity for the Company to participate. The Company may determine to participate or not to participate, depending on whether the Adviser determines that the investment is appropriate for the Company (e.g., based on investment strategy). If the Adviser determines that such investment is not appropriate for us, the investment will not be allocated to us, but the Adviser will be required to report such investment and the rationale for its determination for us to not participate in the investment to the Board of Trustees at the next quarterly board meeting.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w:t>
      </w:r>
    </w:p>
    <w:p>
      <w:pPr>
        <w:spacing w:after="0" w:line="121"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We have entered into a License Agreement with Austin IP, LLC that grants us a non-exclusive, royalty-free license to use the mark “Sixth Street” and any derivative thereof.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Promoters and Certain Control Persons</w:t>
      </w:r>
    </w:p>
    <w:p>
      <w:pPr>
        <w:spacing w:after="0" w:line="12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8"/>
          <w:szCs w:val="18"/>
          <w:color w:val="auto"/>
        </w:rPr>
        <w:t>The Adviser may be deemed a promoter of the Company. We have entered into the Investment Advisory Agreement with the Adviser and the Administration Agreement with the Administrator. The Adviser, for its services to us, is entitled to receive management fees and incentive fees in addition to the reimbursement of certain expenses. The Administrator, for its services to us, is entitled to receive reimbursement of certain expenses. In addition, under the Investment Advisory Agreement and Administration Agreement, to the extent permitted by applicable law and in the discretion of our Board, we have indemnified the Adviser and the Administrator and certain of their affiliates. See “</w:t>
      </w:r>
      <w:r>
        <w:rPr>
          <w:rFonts w:ascii="Times New Roman" w:cs="Times New Roman" w:eastAsia="Times New Roman" w:hAnsi="Times New Roman"/>
          <w:sz w:val="18"/>
          <w:szCs w:val="18"/>
          <w:i w:val="1"/>
          <w:iCs w:val="1"/>
          <w:color w:val="auto"/>
        </w:rPr>
        <w:t>ITEM 1. BUSINESS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Policy Regarding Transactions with Related Persons</w:t>
      </w:r>
    </w:p>
    <w:p>
      <w:pPr>
        <w:spacing w:after="0" w:line="121" w:lineRule="exact"/>
        <w:rPr>
          <w:sz w:val="20"/>
          <w:szCs w:val="20"/>
          <w:color w:val="auto"/>
        </w:rPr>
      </w:pPr>
    </w:p>
    <w:p>
      <w:pPr>
        <w:jc w:val="both"/>
        <w:ind w:right="20" w:firstLine="255"/>
        <w:spacing w:after="0" w:line="282" w:lineRule="auto"/>
        <w:rPr>
          <w:sz w:val="20"/>
          <w:szCs w:val="20"/>
          <w:color w:val="auto"/>
        </w:rPr>
      </w:pPr>
      <w:r>
        <w:rPr>
          <w:rFonts w:ascii="Times New Roman" w:cs="Times New Roman" w:eastAsia="Times New Roman" w:hAnsi="Times New Roman"/>
          <w:sz w:val="18"/>
          <w:szCs w:val="18"/>
          <w:color w:val="auto"/>
        </w:rPr>
        <w:t>The Board will conduct quarterly reviews of any potential related party transactions brought to its attention and, during these reviews, it will consider any conflicts of interest brought to its attention pursuant to the Company’s compliance policies and procedures. Each 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0" w:name="page121"/>
    <w:bookmarkEnd w:id="120"/>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trustees and executive officers is subject to the Company’s Code of Ethics, which places restrictions on related party transactions, and is instructed and periodically reminded to inform the Company’s Chief Compliance Officer or her designee of any potential related party transactions. In addition, each such trustee and executive officer completes a questionnaire on an annual basis designed to elicit information about any potential related party transactions.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Trustee Independence</w:t>
      </w:r>
    </w:p>
    <w:p>
      <w:pPr>
        <w:spacing w:after="0" w:line="119" w:lineRule="exact"/>
        <w:rPr>
          <w:sz w:val="20"/>
          <w:szCs w:val="20"/>
          <w:color w:val="auto"/>
        </w:rPr>
      </w:pPr>
    </w:p>
    <w:p>
      <w:pPr>
        <w:jc w:val="both"/>
        <w:ind w:firstLine="255"/>
        <w:spacing w:after="0" w:line="284" w:lineRule="auto"/>
        <w:rPr>
          <w:sz w:val="20"/>
          <w:szCs w:val="20"/>
          <w:color w:val="auto"/>
        </w:rPr>
      </w:pPr>
      <w:r>
        <w:rPr>
          <w:rFonts w:ascii="Times New Roman" w:cs="Times New Roman" w:eastAsia="Times New Roman" w:hAnsi="Times New Roman"/>
          <w:sz w:val="18"/>
          <w:szCs w:val="18"/>
          <w:color w:val="auto"/>
        </w:rPr>
        <w:t>For information regarding the independence of our trustees, see “</w:t>
      </w:r>
      <w:r>
        <w:rPr>
          <w:rFonts w:ascii="Times New Roman" w:cs="Times New Roman" w:eastAsia="Times New Roman" w:hAnsi="Times New Roman"/>
          <w:sz w:val="18"/>
          <w:szCs w:val="18"/>
          <w:i w:val="1"/>
          <w:iCs w:val="1"/>
          <w:color w:val="auto"/>
        </w:rPr>
        <w:t>ITEM 10. TRUSTEES, EXECUTIVE OFFICERS AND 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GOVERNANCE.</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jc w:val="both"/>
        <w:ind w:right="20" w:firstLine="255"/>
        <w:spacing w:after="0" w:line="282" w:lineRule="auto"/>
        <w:rPr>
          <w:sz w:val="20"/>
          <w:szCs w:val="20"/>
          <w:color w:val="auto"/>
        </w:rPr>
      </w:pPr>
      <w:r>
        <w:rPr>
          <w:rFonts w:ascii="Times New Roman" w:cs="Times New Roman" w:eastAsia="Times New Roman" w:hAnsi="Times New Roman"/>
          <w:sz w:val="18"/>
          <w:szCs w:val="18"/>
          <w:color w:val="auto"/>
        </w:rPr>
        <w:t>The audit committee and the independent trustees of our Board have selected KPMG LLP to serve as the independent registered public accounting firm for Company for the fiscal year ending December 31, 2023.</w:t>
      </w:r>
    </w:p>
    <w:p>
      <w:pPr>
        <w:spacing w:after="0" w:line="54" w:lineRule="exact"/>
        <w:rPr>
          <w:sz w:val="20"/>
          <w:szCs w:val="20"/>
          <w:color w:val="auto"/>
        </w:rPr>
      </w:pPr>
    </w:p>
    <w:p>
      <w:pPr>
        <w:jc w:val="both"/>
        <w:ind w:right="20" w:firstLine="255"/>
        <w:spacing w:after="0" w:line="282" w:lineRule="auto"/>
        <w:rPr>
          <w:sz w:val="20"/>
          <w:szCs w:val="20"/>
          <w:color w:val="auto"/>
        </w:rPr>
      </w:pPr>
      <w:r>
        <w:rPr>
          <w:rFonts w:ascii="Times New Roman" w:cs="Times New Roman" w:eastAsia="Times New Roman" w:hAnsi="Times New Roman"/>
          <w:sz w:val="18"/>
          <w:szCs w:val="18"/>
          <w:color w:val="auto"/>
        </w:rPr>
        <w:t>KPMG LLP has advised us that neither the firm nor any present member or associate of it has any material financial interest, direct or indirect, in us or our affiliates.</w:t>
      </w:r>
    </w:p>
    <w:p>
      <w:pPr>
        <w:spacing w:after="0" w:line="63" w:lineRule="exact"/>
        <w:rPr>
          <w:sz w:val="20"/>
          <w:szCs w:val="20"/>
          <w:color w:val="auto"/>
        </w:rPr>
      </w:pPr>
    </w:p>
    <w:tbl>
      <w:tblPr>
        <w:tblLayout w:type="fixed"/>
        <w:tblInd w:w="860" w:type="dxa"/>
        <w:tblCellMar>
          <w:top w:w="0" w:type="dxa"/>
          <w:left w:w="0" w:type="dxa"/>
          <w:bottom w:w="0" w:type="dxa"/>
          <w:right w:w="0" w:type="dxa"/>
        </w:tblCellMar>
      </w:tblPr>
      <w:tr>
        <w:trPr>
          <w:trHeight w:val="245"/>
        </w:trPr>
        <w:tc>
          <w:tcPr>
            <w:tcW w:w="6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r>
      <w:tr>
        <w:trPr>
          <w:trHeight w:val="250"/>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Fees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3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shd w:val="clear" w:color="auto" w:fill="CFF0FC"/>
          </w:tcPr>
          <w:p>
            <w:pPr>
              <w:spacing w:after="0"/>
              <w:rPr>
                <w:sz w:val="21"/>
                <w:szCs w:val="21"/>
                <w:color w:val="auto"/>
              </w:rPr>
            </w:pPr>
          </w:p>
        </w:tc>
      </w:tr>
      <w:tr>
        <w:trPr>
          <w:trHeight w:val="23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80" w:type="dxa"/>
            <w:vAlign w:val="bottom"/>
          </w:tcPr>
          <w:p>
            <w:pPr>
              <w:spacing w:after="0"/>
              <w:rPr>
                <w:sz w:val="20"/>
                <w:szCs w:val="20"/>
                <w:color w:val="auto"/>
              </w:rPr>
            </w:pPr>
          </w:p>
        </w:tc>
        <w:tc>
          <w:tcPr>
            <w:tcW w:w="3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Fees</w:t>
            </w:r>
          </w:p>
        </w:tc>
        <w:tc>
          <w:tcPr>
            <w:tcW w:w="280" w:type="dxa"/>
            <w:vAlign w:val="bottom"/>
            <w:shd w:val="clear" w:color="auto" w:fill="CFF0FC"/>
          </w:tcPr>
          <w:p>
            <w:pPr>
              <w:spacing w:after="0"/>
              <w:rPr>
                <w:sz w:val="21"/>
                <w:szCs w:val="21"/>
                <w:color w:val="auto"/>
              </w:rPr>
            </w:pPr>
          </w:p>
        </w:tc>
        <w:tc>
          <w:tcPr>
            <w:tcW w:w="3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shd w:val="clear" w:color="auto" w:fill="CFF0FC"/>
          </w:tcPr>
          <w:p>
            <w:pPr>
              <w:spacing w:after="0"/>
              <w:rPr>
                <w:sz w:val="21"/>
                <w:szCs w:val="21"/>
                <w:color w:val="auto"/>
              </w:rPr>
            </w:pPr>
          </w:p>
        </w:tc>
      </w:tr>
      <w:tr>
        <w:trPr>
          <w:trHeight w:val="23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80" w:type="dxa"/>
            <w:vAlign w:val="bottom"/>
          </w:tcPr>
          <w:p>
            <w:pPr>
              <w:spacing w:after="0"/>
              <w:rPr>
                <w:sz w:val="20"/>
                <w:szCs w:val="20"/>
                <w:color w:val="auto"/>
              </w:rPr>
            </w:pPr>
          </w:p>
        </w:tc>
        <w:tc>
          <w:tcPr>
            <w:tcW w:w="3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81"/>
        </w:trPr>
        <w:tc>
          <w:tcPr>
            <w:tcW w:w="6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Fees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3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6545580</wp:posOffset>
            </wp:positionH>
            <wp:positionV relativeFrom="paragraph">
              <wp:posOffset>-24765</wp:posOffset>
            </wp:positionV>
            <wp:extent cx="6032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jc w:val="both"/>
        <w:ind w:firstLine="255"/>
        <w:spacing w:after="0" w:line="284" w:lineRule="auto"/>
        <w:rPr>
          <w:sz w:val="20"/>
          <w:szCs w:val="20"/>
          <w:color w:val="auto"/>
        </w:rPr>
      </w:pPr>
      <w:r>
        <w:rPr>
          <w:rFonts w:ascii="Times New Roman" w:cs="Times New Roman" w:eastAsia="Times New Roman" w:hAnsi="Times New Roman"/>
          <w:sz w:val="18"/>
          <w:szCs w:val="18"/>
          <w:i w:val="1"/>
          <w:iCs w:val="1"/>
          <w:color w:val="auto"/>
        </w:rPr>
        <w:t>Audit Fees</w:t>
      </w:r>
      <w:r>
        <w:rPr>
          <w:rFonts w:ascii="Times New Roman" w:cs="Times New Roman" w:eastAsia="Times New Roman" w:hAnsi="Times New Roman"/>
          <w:sz w:val="18"/>
          <w:szCs w:val="18"/>
          <w:color w:val="auto"/>
        </w:rPr>
        <w:t>: Audit fees consist of fees billed for professional services rendered for the audit of our year-end consolidated financial statements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reviews of the consolidated financial statements filed with the SEC on Forms 10-K and 10-Q.</w:t>
      </w:r>
    </w:p>
    <w:p>
      <w:pPr>
        <w:spacing w:after="0" w:line="50"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i w:val="1"/>
          <w:iCs w:val="1"/>
          <w:color w:val="auto"/>
        </w:rPr>
        <w:t>Audit-Related Fees</w:t>
      </w:r>
      <w:r>
        <w:rPr>
          <w:rFonts w:ascii="Times New Roman" w:cs="Times New Roman" w:eastAsia="Times New Roman" w:hAnsi="Times New Roman"/>
          <w:sz w:val="18"/>
          <w:szCs w:val="18"/>
          <w:color w:val="auto"/>
        </w:rPr>
        <w:t>: Audit-related services consist of fees billed for assurance and related services that are reasonably related to the performance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audit or review of our financial statements and are not reported under “Audit Fees”. These services include, among other things, providing comfort letters, consents and review of documents filed with the SEC, as well as attest services that are not required by statute or regulation and consultations concerning financial accounting and reporting standards.</w:t>
      </w:r>
    </w:p>
    <w:p>
      <w:pPr>
        <w:spacing w:after="0" w:line="72" w:lineRule="exact"/>
        <w:rPr>
          <w:sz w:val="20"/>
          <w:szCs w:val="20"/>
          <w:color w:val="auto"/>
        </w:rPr>
      </w:pPr>
    </w:p>
    <w:p>
      <w:pPr>
        <w:jc w:val="both"/>
        <w:ind w:right="20" w:firstLine="255"/>
        <w:spacing w:after="0" w:line="284" w:lineRule="auto"/>
        <w:rPr>
          <w:sz w:val="20"/>
          <w:szCs w:val="20"/>
          <w:color w:val="auto"/>
        </w:rPr>
      </w:pPr>
      <w:r>
        <w:rPr>
          <w:rFonts w:ascii="Times New Roman" w:cs="Times New Roman" w:eastAsia="Times New Roman" w:hAnsi="Times New Roman"/>
          <w:sz w:val="18"/>
          <w:szCs w:val="18"/>
          <w:i w:val="1"/>
          <w:iCs w:val="1"/>
          <w:color w:val="auto"/>
        </w:rPr>
        <w:t>Tax Services Fees</w:t>
      </w:r>
      <w:r>
        <w:rPr>
          <w:rFonts w:ascii="Times New Roman" w:cs="Times New Roman" w:eastAsia="Times New Roman" w:hAnsi="Times New Roman"/>
          <w:sz w:val="18"/>
          <w:szCs w:val="18"/>
          <w:color w:val="auto"/>
        </w:rPr>
        <w:t>: Tax services fees consist of fees billed for professional tax services. These services also include assistance regarding federal, 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local tax compliance.</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All Other Fees</w:t>
      </w:r>
      <w:r>
        <w:rPr>
          <w:rFonts w:ascii="Times New Roman" w:cs="Times New Roman" w:eastAsia="Times New Roman" w:hAnsi="Times New Roman"/>
          <w:sz w:val="18"/>
          <w:szCs w:val="18"/>
          <w:color w:val="auto"/>
        </w:rPr>
        <w:t>: Other fees would include fees for products and services other than the services reported above.</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Audit Committee of our Board operates under a written charter adopted by the Board. The Audit Committee is currently composed of Messrs.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Doddy, Higginbotham and Tanemura and Ms. Slotkin.</w:t>
      </w:r>
    </w:p>
    <w:p>
      <w:pPr>
        <w:spacing w:after="0" w:line="99"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8"/>
          <w:szCs w:val="18"/>
          <w:color w:val="auto"/>
        </w:rPr>
        <w:t>Management is responsible for the Company’s internal controls and the financial reporting process. The Company’s independent registered public accounting firm is responsible for performing an independent audit of the Company’s financial statements in accordance with the standards of the Public Company Accounting Oversight Board (US) and expressing an opinion on the conformity of those audited financial statements in accordance with accounting principles generally accepted in the United States and for auditing and reporting on the effectiveness of the Company’s internal control over financial reporting. The Audit Committee’s responsibility is to monitor and oversee these processes. The Audit Committee is also directly responsible for the appointment, compensation and oversight of the Company’s independent registered public accounting firm.</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Policy</w:t>
      </w:r>
    </w:p>
    <w:p>
      <w:pPr>
        <w:spacing w:after="0" w:line="121" w:lineRule="exact"/>
        <w:rPr>
          <w:sz w:val="20"/>
          <w:szCs w:val="20"/>
          <w:color w:val="auto"/>
        </w:rPr>
      </w:pPr>
    </w:p>
    <w:p>
      <w:pPr>
        <w:jc w:val="both"/>
        <w:ind w:right="200" w:firstLine="255"/>
        <w:spacing w:after="0" w:line="266" w:lineRule="auto"/>
        <w:rPr>
          <w:sz w:val="20"/>
          <w:szCs w:val="20"/>
          <w:color w:val="auto"/>
        </w:rPr>
      </w:pPr>
      <w:r>
        <w:rPr>
          <w:rFonts w:ascii="Times New Roman" w:cs="Times New Roman" w:eastAsia="Times New Roman" w:hAnsi="Times New Roman"/>
          <w:sz w:val="18"/>
          <w:szCs w:val="18"/>
          <w:color w:val="auto"/>
        </w:rPr>
        <w:t>The Audit Committee has established a pre-approval policy that describes the permitted audit, audit-related, tax and other services to be provided by KPMG LLP, the Company’s independent registered public accounting firm. The policy requires that the Audit Committee pre-approve the audit and non-audit services performed by the independent auditor in order to assure that the provision of such service does not impair the auditor’s independence.</w:t>
      </w:r>
    </w:p>
    <w:p>
      <w:pPr>
        <w:spacing w:after="0" w:line="68"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Any requests for audit, audit-related, tax and other services that have not received general pre-approval must be submitted to the Audit Committee for specific pre-approval, irrespective of the amount, and cannot commence until such approval has been granted. Normally, pre-approval is provided at regularly scheduled meetings of the Audit Committee. The Audit Committee does not delegate its responsibilities to pre-approve services performed by the independent registered public accounting firm to management.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with Management</w:t>
      </w:r>
    </w:p>
    <w:p>
      <w:pPr>
        <w:spacing w:after="0" w:line="121" w:lineRule="exact"/>
        <w:rPr>
          <w:sz w:val="20"/>
          <w:szCs w:val="20"/>
          <w:color w:val="auto"/>
        </w:rPr>
      </w:pPr>
    </w:p>
    <w:p>
      <w:pPr>
        <w:ind w:right="540" w:firstLine="255"/>
        <w:spacing w:after="0" w:line="282" w:lineRule="auto"/>
        <w:rPr>
          <w:sz w:val="20"/>
          <w:szCs w:val="20"/>
          <w:color w:val="auto"/>
        </w:rPr>
      </w:pPr>
      <w:r>
        <w:rPr>
          <w:rFonts w:ascii="Times New Roman" w:cs="Times New Roman" w:eastAsia="Times New Roman" w:hAnsi="Times New Roman"/>
          <w:sz w:val="18"/>
          <w:szCs w:val="18"/>
          <w:color w:val="auto"/>
        </w:rPr>
        <w:t>The Audit Committee has reviewed the audited financial statements, along with management’s assessment of the effectiveness of the Company’s internal control over financial reporting, and met and held discussions with management regarding the audited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1" w:name="page122"/>
    <w:bookmarkEnd w:id="121"/>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financial statements and its assessment of the effectiveness of the Company’s internal control over financial reporting. Management has represented to the Audit Committee that the Company’s financial statements were prepared in accordance with accounting principles generally accepted in the United States. The Audit Committee also reviewed the Company’s procedures and internal control processes designed to ensure full, fair and adequate financial reporting and disclosures, including procedures for certifications by the Company’s Chief Executive Officer and Chief Financial Officer that are required in periodic reports filed by the Company with the SEC. The Audit Committee is satisfied that the Company’s internal control system is adequate and that the Company employs appropriate accounting and auditing procedures.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and Discussion with Independent Registered Public Accounting Firm</w:t>
      </w:r>
    </w:p>
    <w:p>
      <w:pPr>
        <w:spacing w:after="0" w:line="121" w:lineRule="exact"/>
        <w:rPr>
          <w:sz w:val="20"/>
          <w:szCs w:val="20"/>
          <w:color w:val="auto"/>
        </w:rPr>
      </w:pPr>
    </w:p>
    <w:p>
      <w:pPr>
        <w:ind w:right="200" w:firstLine="255"/>
        <w:spacing w:after="0" w:line="258" w:lineRule="auto"/>
        <w:rPr>
          <w:sz w:val="20"/>
          <w:szCs w:val="20"/>
          <w:color w:val="auto"/>
        </w:rPr>
      </w:pPr>
      <w:r>
        <w:rPr>
          <w:rFonts w:ascii="Times New Roman" w:cs="Times New Roman" w:eastAsia="Times New Roman" w:hAnsi="Times New Roman"/>
          <w:sz w:val="18"/>
          <w:szCs w:val="18"/>
          <w:color w:val="auto"/>
        </w:rPr>
        <w:t>The Audit Committee has reviewed and discussed the Company’s audited financial statements, along with management’s assessment of the effectiveness of the Company’s internal control over financial reporting and KPMG LLP’s evaluation of the Company’s internal control over financial reporting, with management and KPMG LLP, the Company’s independent registered public accounting firm, with and without management present. The Audit Committee included in its review the results of KPMG’s examinations, the Company’s internal controls and the quality of the Company’s financial reporting.</w:t>
      </w:r>
    </w:p>
    <w:p>
      <w:pPr>
        <w:spacing w:after="0" w:line="75" w:lineRule="exact"/>
        <w:rPr>
          <w:sz w:val="20"/>
          <w:szCs w:val="20"/>
          <w:color w:val="auto"/>
        </w:rPr>
      </w:pPr>
    </w:p>
    <w:p>
      <w:pPr>
        <w:ind w:right="60" w:firstLine="255"/>
        <w:spacing w:after="0" w:line="253" w:lineRule="auto"/>
        <w:rPr>
          <w:sz w:val="20"/>
          <w:szCs w:val="20"/>
          <w:color w:val="auto"/>
        </w:rPr>
      </w:pPr>
      <w:r>
        <w:rPr>
          <w:rFonts w:ascii="Times New Roman" w:cs="Times New Roman" w:eastAsia="Times New Roman" w:hAnsi="Times New Roman"/>
          <w:sz w:val="18"/>
          <w:szCs w:val="18"/>
          <w:color w:val="auto"/>
        </w:rPr>
        <w:t>The Audit Committee also has discussed with KPMG matters relating to KPMG’s judgments about the quality, as well as the acceptability, of the Company’s accounting principles as applied in its financial reporting as required by Public Company Accounting Oversight Board Auditing Standard No. 16, Communications with Audit Committees. In addition, the Audit Committee has discussed with KPMG their independence from management and the Company, as well as the matters in the written disclosures received from KPMG and required by Public Company Accounting Oversight Board Rule 3526, Communication with Audit Committees Concerning Independence. The Audit Committee received a written communication from KPMG confirming their independence and discussed it with them. The Audit Committee discussed and reviewed with KPMG the Company’s critical accounting policies and practices, other material written communications to management, and the scope of KPMG’s audits and all fees paid to KPMG during the fiscal year. The Audit Committee has adopted guidelines requiring review and pre-approval by the Audit Committee of audit and non-audit services performed by KPMG for the Company. The Audit Committee has reviewed and considered the compatibility of KPMG’s performance of non-audit services with the maintenance of KPMG’s independence as the Company’s independent registered public accounting firm.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Conclusion</w:t>
      </w:r>
    </w:p>
    <w:p>
      <w:pPr>
        <w:spacing w:after="0" w:line="121" w:lineRule="exact"/>
        <w:rPr>
          <w:sz w:val="20"/>
          <w:szCs w:val="20"/>
          <w:color w:val="auto"/>
        </w:rPr>
      </w:pPr>
    </w:p>
    <w:p>
      <w:pPr>
        <w:ind w:right="80" w:firstLine="255"/>
        <w:spacing w:after="0" w:line="282" w:lineRule="auto"/>
        <w:rPr>
          <w:sz w:val="20"/>
          <w:szCs w:val="20"/>
          <w:color w:val="auto"/>
        </w:rPr>
      </w:pPr>
      <w:r>
        <w:rPr>
          <w:rFonts w:ascii="Times New Roman" w:cs="Times New Roman" w:eastAsia="Times New Roman" w:hAnsi="Times New Roman"/>
          <w:sz w:val="18"/>
          <w:szCs w:val="18"/>
          <w:color w:val="auto"/>
        </w:rPr>
        <w:t>The Audit Committee also recommended the selection of KPMG LLP to serve as the independent registered public accounting firm for the year ending December 31, 2024.</w:t>
      </w:r>
    </w:p>
    <w:p>
      <w:pPr>
        <w:spacing w:after="0" w:line="1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documents are filed as part of this Annual Report:</w:t>
      </w:r>
    </w:p>
    <w:p>
      <w:pPr>
        <w:spacing w:after="0" w:line="117" w:lineRule="exact"/>
        <w:rPr>
          <w:sz w:val="20"/>
          <w:szCs w:val="20"/>
          <w:color w:val="auto"/>
        </w:rPr>
      </w:pPr>
    </w:p>
    <w:p>
      <w:pPr>
        <w:ind w:left="820" w:right="280" w:hanging="512"/>
        <w:spacing w:after="0" w:line="282" w:lineRule="auto"/>
        <w:tabs>
          <w:tab w:leader="none" w:pos="8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Statements—Financial statements are included in Item 8. See the Index to the consolidated financial statements on page F-1 of this annual report on Form 10-K.</w:t>
      </w:r>
    </w:p>
    <w:p>
      <w:pPr>
        <w:spacing w:after="0" w:line="53" w:lineRule="exact"/>
        <w:rPr>
          <w:rFonts w:ascii="Times New Roman" w:cs="Times New Roman" w:eastAsia="Times New Roman" w:hAnsi="Times New Roman"/>
          <w:sz w:val="18"/>
          <w:szCs w:val="18"/>
          <w:color w:val="auto"/>
        </w:rPr>
      </w:pPr>
    </w:p>
    <w:p>
      <w:pPr>
        <w:ind w:left="820" w:right="200" w:hanging="512"/>
        <w:spacing w:after="0" w:line="266" w:lineRule="auto"/>
        <w:tabs>
          <w:tab w:leader="none" w:pos="8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Schedules—None. We have omitted financial statements schedules because they are not required or are not applicable, or the required information is shown in the consolidated financial statements or notes to the consolidated financial statements included in this annual report on Form 10-K.</w:t>
      </w:r>
    </w:p>
    <w:p>
      <w:pPr>
        <w:spacing w:after="0" w:line="67" w:lineRule="exact"/>
        <w:rPr>
          <w:rFonts w:ascii="Times New Roman" w:cs="Times New Roman" w:eastAsia="Times New Roman" w:hAnsi="Times New Roman"/>
          <w:sz w:val="18"/>
          <w:szCs w:val="18"/>
          <w:color w:val="auto"/>
        </w:rPr>
      </w:pPr>
    </w:p>
    <w:p>
      <w:pPr>
        <w:ind w:left="820" w:hanging="512"/>
        <w:spacing w:after="0"/>
        <w:tabs>
          <w:tab w:leader="none" w:pos="8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Exhibits—The following is a list of all exhibits filed as a part of this annual report on Form 10-K, including those incorporated by reference.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3.1</w:t>
            </w:r>
          </w:p>
        </w:tc>
        <w:tc>
          <w:tcPr>
            <w:tcW w:w="1000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rPr>
            </w:pPr>
            <w:hyperlink r:id="rId490">
              <w:r>
                <w:rPr>
                  <w:rFonts w:ascii="Times New Roman" w:cs="Times New Roman" w:eastAsia="Times New Roman" w:hAnsi="Times New Roman"/>
                  <w:sz w:val="18"/>
                  <w:szCs w:val="18"/>
                  <w:color w:val="0000FF"/>
                </w:rPr>
                <w:t>Second Amended and Restated Declaration of Trust (incorporated by reference to Exhibit 3.1 to the Company’s Registration Statement on</w:t>
              </w:r>
            </w:hyperlink>
          </w:p>
        </w:tc>
        <w:tc>
          <w:tcPr>
            <w:tcW w:w="160" w:type="dxa"/>
            <w:vAlign w:val="bottom"/>
          </w:tcPr>
          <w:p>
            <w:pPr>
              <w:spacing w:after="0"/>
              <w:rPr>
                <w:sz w:val="18"/>
                <w:szCs w:val="18"/>
                <w:color w:val="auto"/>
              </w:rPr>
            </w:pPr>
          </w:p>
        </w:tc>
      </w:tr>
      <w:tr>
        <w:trPr>
          <w:trHeight w:val="196"/>
        </w:trPr>
        <w:tc>
          <w:tcPr>
            <w:tcW w:w="1080" w:type="dxa"/>
            <w:vAlign w:val="bottom"/>
          </w:tcPr>
          <w:p>
            <w:pPr>
              <w:spacing w:after="0"/>
              <w:rPr>
                <w:sz w:val="17"/>
                <w:szCs w:val="17"/>
                <w:color w:val="auto"/>
              </w:rPr>
            </w:pPr>
          </w:p>
        </w:tc>
        <w:tc>
          <w:tcPr>
            <w:tcW w:w="25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490">
              <w:r>
                <w:rPr>
                  <w:rFonts w:ascii="Times New Roman" w:cs="Times New Roman" w:eastAsia="Times New Roman" w:hAnsi="Times New Roman"/>
                  <w:sz w:val="18"/>
                  <w:szCs w:val="18"/>
                  <w:color w:val="0000FF"/>
                  <w:w w:val="99"/>
                </w:rPr>
                <w:t>Form 10 filed on August 22, 2022)</w:t>
              </w:r>
            </w:hyperlink>
          </w:p>
        </w:tc>
        <w:tc>
          <w:tcPr>
            <w:tcW w:w="7640" w:type="dxa"/>
            <w:vAlign w:val="bottom"/>
            <w:gridSpan w:val="4"/>
          </w:tcPr>
          <w:p>
            <w:pPr>
              <w:spacing w:after="0"/>
              <w:rPr>
                <w:sz w:val="17"/>
                <w:szCs w:val="17"/>
                <w:color w:val="auto"/>
              </w:rPr>
            </w:pPr>
          </w:p>
        </w:tc>
      </w:tr>
      <w:tr>
        <w:trPr>
          <w:trHeight w:val="399"/>
        </w:trPr>
        <w:tc>
          <w:tcPr>
            <w:tcW w:w="10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3.2</w:t>
            </w:r>
          </w:p>
        </w:tc>
        <w:tc>
          <w:tcPr>
            <w:tcW w:w="10160" w:type="dxa"/>
            <w:vAlign w:val="bottom"/>
            <w:gridSpan w:val="7"/>
          </w:tcPr>
          <w:p>
            <w:pPr>
              <w:spacing w:after="0"/>
              <w:rPr>
                <w:rFonts w:ascii="Times New Roman" w:cs="Times New Roman" w:eastAsia="Times New Roman" w:hAnsi="Times New Roman"/>
                <w:sz w:val="18"/>
                <w:szCs w:val="18"/>
                <w:color w:val="0000FF"/>
              </w:rPr>
            </w:pPr>
            <w:hyperlink r:id="rId491">
              <w:r>
                <w:rPr>
                  <w:rFonts w:ascii="Times New Roman" w:cs="Times New Roman" w:eastAsia="Times New Roman" w:hAnsi="Times New Roman"/>
                  <w:sz w:val="18"/>
                  <w:szCs w:val="18"/>
                  <w:color w:val="0000FF"/>
                </w:rPr>
                <w:t>Bylaws (incorporated by reference to Exhibit 3.2 to the Company’s Registration Statement on Form 10 filed on June 28, 2022)</w:t>
              </w:r>
            </w:hyperlink>
          </w:p>
        </w:tc>
      </w:tr>
      <w:tr>
        <w:trPr>
          <w:trHeight w:val="20"/>
        </w:trPr>
        <w:tc>
          <w:tcPr>
            <w:tcW w:w="108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340" w:type="dxa"/>
            <w:vAlign w:val="bottom"/>
            <w:tcBorders>
              <w:right w:val="single" w:sz="8" w:color="0000EE"/>
            </w:tcBorders>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601"/>
        </w:trPr>
        <w:tc>
          <w:tcPr>
            <w:tcW w:w="10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4.1</w:t>
            </w:r>
          </w:p>
        </w:tc>
        <w:tc>
          <w:tcPr>
            <w:tcW w:w="990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rPr>
            </w:pPr>
            <w:hyperlink r:id="rId492">
              <w:r>
                <w:rPr>
                  <w:rFonts w:ascii="Times New Roman" w:cs="Times New Roman" w:eastAsia="Times New Roman" w:hAnsi="Times New Roman"/>
                  <w:sz w:val="18"/>
                  <w:szCs w:val="18"/>
                  <w:color w:val="0000FF"/>
                </w:rPr>
                <w:t>Form of Subscription Agreement (incorporated by reference to Exhibit 4.1 to the Company’s Registration Statement on Form 10 filed on</w:t>
              </w:r>
            </w:hyperlink>
          </w:p>
        </w:tc>
        <w:tc>
          <w:tcPr>
            <w:tcW w:w="260" w:type="dxa"/>
            <w:vAlign w:val="bottom"/>
            <w:gridSpan w:val="2"/>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160" w:type="dxa"/>
            <w:vAlign w:val="bottom"/>
            <w:gridSpan w:val="7"/>
          </w:tcPr>
          <w:p>
            <w:pPr>
              <w:spacing w:after="0" w:line="196" w:lineRule="exact"/>
              <w:rPr>
                <w:rFonts w:ascii="Times New Roman" w:cs="Times New Roman" w:eastAsia="Times New Roman" w:hAnsi="Times New Roman"/>
                <w:sz w:val="18"/>
                <w:szCs w:val="18"/>
                <w:color w:val="0000FF"/>
              </w:rPr>
            </w:pPr>
            <w:hyperlink r:id="rId492">
              <w:r>
                <w:rPr>
                  <w:rFonts w:ascii="Times New Roman" w:cs="Times New Roman" w:eastAsia="Times New Roman" w:hAnsi="Times New Roman"/>
                  <w:sz w:val="18"/>
                  <w:szCs w:val="18"/>
                  <w:color w:val="0000FF"/>
                </w:rPr>
                <w:t>June 28, 2022)</w:t>
              </w:r>
            </w:hyperlink>
          </w:p>
        </w:tc>
      </w:tr>
      <w:tr>
        <w:trPr>
          <w:trHeight w:val="20"/>
        </w:trPr>
        <w:tc>
          <w:tcPr>
            <w:tcW w:w="108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360" w:type="dxa"/>
            <w:vAlign w:val="bottom"/>
            <w:gridSpan w:val="5"/>
          </w:tcPr>
          <w:p>
            <w:pPr>
              <w:spacing w:after="0" w:line="20" w:lineRule="exact"/>
              <w:rPr>
                <w:sz w:val="1"/>
                <w:szCs w:val="1"/>
                <w:color w:val="auto"/>
              </w:rPr>
            </w:pPr>
          </w:p>
        </w:tc>
      </w:tr>
      <w:tr>
        <w:trPr>
          <w:trHeight w:val="398"/>
        </w:trPr>
        <w:tc>
          <w:tcPr>
            <w:tcW w:w="10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4.2</w:t>
            </w:r>
          </w:p>
        </w:tc>
        <w:tc>
          <w:tcPr>
            <w:tcW w:w="18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Description of Securities</w:t>
            </w:r>
          </w:p>
        </w:tc>
        <w:tc>
          <w:tcPr>
            <w:tcW w:w="8360" w:type="dxa"/>
            <w:vAlign w:val="bottom"/>
            <w:gridSpan w:val="5"/>
          </w:tcPr>
          <w:p>
            <w:pPr>
              <w:spacing w:after="0"/>
              <w:rPr>
                <w:sz w:val="24"/>
                <w:szCs w:val="24"/>
                <w:color w:val="auto"/>
              </w:rPr>
            </w:pPr>
          </w:p>
        </w:tc>
      </w:tr>
      <w:tr>
        <w:trPr>
          <w:trHeight w:val="858"/>
        </w:trPr>
        <w:tc>
          <w:tcPr>
            <w:tcW w:w="1080" w:type="dxa"/>
            <w:vAlign w:val="bottom"/>
          </w:tcPr>
          <w:p>
            <w:pPr>
              <w:spacing w:after="0"/>
              <w:rPr>
                <w:sz w:val="24"/>
                <w:szCs w:val="24"/>
                <w:color w:val="auto"/>
              </w:rPr>
            </w:pPr>
          </w:p>
        </w:tc>
        <w:tc>
          <w:tcPr>
            <w:tcW w:w="9140" w:type="dxa"/>
            <w:vAlign w:val="bottom"/>
            <w:gridSpan w:val="4"/>
          </w:tcPr>
          <w:p>
            <w:pPr>
              <w:ind w:left="4460"/>
              <w:spacing w:after="0"/>
              <w:rPr>
                <w:sz w:val="20"/>
                <w:szCs w:val="20"/>
                <w:color w:val="auto"/>
              </w:rPr>
            </w:pPr>
            <w:r>
              <w:rPr>
                <w:rFonts w:ascii="Times New Roman" w:cs="Times New Roman" w:eastAsia="Times New Roman" w:hAnsi="Times New Roman"/>
                <w:sz w:val="18"/>
                <w:szCs w:val="18"/>
                <w:color w:val="auto"/>
              </w:rPr>
              <w:t>91</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763"/>
        </w:trPr>
        <w:tc>
          <w:tcPr>
            <w:tcW w:w="10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6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2" w:name="page123"/>
    <w:bookmarkEnd w:id="122"/>
    <w:tbl>
      <w:tblPr>
        <w:tblLayout w:type="fixed"/>
        <w:tblInd w:w="100" w:type="dxa"/>
        <w:tblCellMar>
          <w:top w:w="0" w:type="dxa"/>
          <w:left w:w="0" w:type="dxa"/>
          <w:bottom w:w="0" w:type="dxa"/>
          <w:right w:w="0" w:type="dxa"/>
        </w:tblCellMar>
      </w:tblPr>
      <w:tr>
        <w:trPr>
          <w:trHeight w:val="207"/>
        </w:trPr>
        <w:tc>
          <w:tcPr>
            <w:tcW w:w="9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10.1</w:t>
            </w:r>
          </w:p>
        </w:tc>
        <w:tc>
          <w:tcPr>
            <w:tcW w:w="10060" w:type="dxa"/>
            <w:vAlign w:val="bottom"/>
            <w:gridSpan w:val="14"/>
          </w:tcPr>
          <w:p>
            <w:pPr>
              <w:spacing w:after="0"/>
              <w:rPr>
                <w:rFonts w:ascii="Times New Roman" w:cs="Times New Roman" w:eastAsia="Times New Roman" w:hAnsi="Times New Roman"/>
                <w:sz w:val="18"/>
                <w:szCs w:val="18"/>
                <w:color w:val="0000FF"/>
              </w:rPr>
            </w:pPr>
            <w:hyperlink r:id="rId495">
              <w:r>
                <w:rPr>
                  <w:rFonts w:ascii="Times New Roman" w:cs="Times New Roman" w:eastAsia="Times New Roman" w:hAnsi="Times New Roman"/>
                  <w:sz w:val="18"/>
                  <w:szCs w:val="18"/>
                  <w:color w:val="0000FF"/>
                </w:rPr>
                <w:t>Advisory Agreement (incorporated by reference to Exhibit 10.1 to the Company’s Registration Statement on Form 10 filed on June 28,</w:t>
              </w:r>
            </w:hyperlink>
          </w:p>
        </w:tc>
      </w:tr>
      <w:tr>
        <w:trPr>
          <w:trHeight w:val="196"/>
        </w:trPr>
        <w:tc>
          <w:tcPr>
            <w:tcW w:w="96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5"/>
              </w:rPr>
            </w:pPr>
            <w:hyperlink r:id="rId495">
              <w:r>
                <w:rPr>
                  <w:rFonts w:ascii="Times New Roman" w:cs="Times New Roman" w:eastAsia="Times New Roman" w:hAnsi="Times New Roman"/>
                  <w:sz w:val="18"/>
                  <w:szCs w:val="18"/>
                  <w:color w:val="0000FF"/>
                  <w:w w:val="95"/>
                </w:rPr>
                <w:t>2022)</w:t>
              </w:r>
            </w:hyperlink>
          </w:p>
        </w:tc>
        <w:tc>
          <w:tcPr>
            <w:tcW w:w="20" w:type="dxa"/>
            <w:vAlign w:val="bottom"/>
            <w:tcBorders>
              <w:top w:val="single" w:sz="8" w:color="0000FF"/>
              <w:bottom w:val="single" w:sz="8" w:color="0000EE"/>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398"/>
        </w:trPr>
        <w:tc>
          <w:tcPr>
            <w:tcW w:w="9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10.2</w:t>
            </w:r>
          </w:p>
        </w:tc>
        <w:tc>
          <w:tcPr>
            <w:tcW w:w="10060" w:type="dxa"/>
            <w:vAlign w:val="bottom"/>
            <w:gridSpan w:val="14"/>
          </w:tcPr>
          <w:p>
            <w:pPr>
              <w:spacing w:after="0"/>
              <w:rPr>
                <w:rFonts w:ascii="Times New Roman" w:cs="Times New Roman" w:eastAsia="Times New Roman" w:hAnsi="Times New Roman"/>
                <w:sz w:val="18"/>
                <w:szCs w:val="18"/>
                <w:color w:val="0000FF"/>
              </w:rPr>
            </w:pPr>
            <w:hyperlink r:id="rId496">
              <w:r>
                <w:rPr>
                  <w:rFonts w:ascii="Times New Roman" w:cs="Times New Roman" w:eastAsia="Times New Roman" w:hAnsi="Times New Roman"/>
                  <w:sz w:val="18"/>
                  <w:szCs w:val="18"/>
                  <w:color w:val="0000FF"/>
                </w:rPr>
                <w:t>Administration Agreement (incorporated by reference to Exhibit 10.2 to the Company’s Registration Statement on Form 10 filed on June</w:t>
              </w:r>
            </w:hyperlink>
          </w:p>
        </w:tc>
      </w:tr>
      <w:tr>
        <w:trPr>
          <w:trHeight w:val="196"/>
        </w:trPr>
        <w:tc>
          <w:tcPr>
            <w:tcW w:w="960" w:type="dxa"/>
            <w:vAlign w:val="bottom"/>
          </w:tcPr>
          <w:p>
            <w:pPr>
              <w:spacing w:after="0"/>
              <w:rPr>
                <w:sz w:val="17"/>
                <w:szCs w:val="17"/>
                <w:color w:val="auto"/>
              </w:rPr>
            </w:pPr>
          </w:p>
        </w:tc>
        <w:tc>
          <w:tcPr>
            <w:tcW w:w="70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496">
              <w:r>
                <w:rPr>
                  <w:rFonts w:ascii="Times New Roman" w:cs="Times New Roman" w:eastAsia="Times New Roman" w:hAnsi="Times New Roman"/>
                  <w:sz w:val="18"/>
                  <w:szCs w:val="18"/>
                  <w:color w:val="0000FF"/>
                  <w:w w:val="98"/>
                </w:rPr>
                <w:t>28, 2022)</w:t>
              </w:r>
            </w:hyperlink>
          </w:p>
        </w:tc>
        <w:tc>
          <w:tcPr>
            <w:tcW w:w="20" w:type="dxa"/>
            <w:vAlign w:val="bottom"/>
            <w:tcBorders>
              <w:top w:val="single" w:sz="8" w:color="0000FF"/>
              <w:bottom w:val="single" w:sz="8" w:color="0000EE"/>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r>
      <w:tr>
        <w:trPr>
          <w:trHeight w:val="385"/>
        </w:trPr>
        <w:tc>
          <w:tcPr>
            <w:tcW w:w="9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10.3</w:t>
            </w:r>
          </w:p>
        </w:tc>
        <w:tc>
          <w:tcPr>
            <w:tcW w:w="100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497">
              <w:r>
                <w:rPr>
                  <w:rFonts w:ascii="Times New Roman" w:cs="Times New Roman" w:eastAsia="Times New Roman" w:hAnsi="Times New Roman"/>
                  <w:sz w:val="18"/>
                  <w:szCs w:val="18"/>
                  <w:color w:val="0000FF"/>
                  <w:w w:val="99"/>
                </w:rPr>
                <w:t>Trademark and License Agreement(incorporated by reference to Exhibit 10.3 to the Company’s Registration Statement on Form 10 filed on</w:t>
              </w:r>
            </w:hyperlink>
          </w:p>
        </w:tc>
      </w:tr>
      <w:tr>
        <w:trPr>
          <w:trHeight w:val="196"/>
        </w:trPr>
        <w:tc>
          <w:tcPr>
            <w:tcW w:w="960" w:type="dxa"/>
            <w:vAlign w:val="bottom"/>
          </w:tcPr>
          <w:p>
            <w:pPr>
              <w:spacing w:after="0"/>
              <w:rPr>
                <w:sz w:val="17"/>
                <w:szCs w:val="17"/>
                <w:color w:val="auto"/>
              </w:rPr>
            </w:pPr>
          </w:p>
        </w:tc>
        <w:tc>
          <w:tcPr>
            <w:tcW w:w="10060" w:type="dxa"/>
            <w:vAlign w:val="bottom"/>
            <w:gridSpan w:val="14"/>
          </w:tcPr>
          <w:p>
            <w:pPr>
              <w:spacing w:after="0" w:line="196" w:lineRule="exact"/>
              <w:rPr>
                <w:rFonts w:ascii="Times New Roman" w:cs="Times New Roman" w:eastAsia="Times New Roman" w:hAnsi="Times New Roman"/>
                <w:sz w:val="18"/>
                <w:szCs w:val="18"/>
                <w:color w:val="0000FF"/>
              </w:rPr>
            </w:pPr>
            <w:hyperlink r:id="rId497">
              <w:r>
                <w:rPr>
                  <w:rFonts w:ascii="Times New Roman" w:cs="Times New Roman" w:eastAsia="Times New Roman" w:hAnsi="Times New Roman"/>
                  <w:sz w:val="18"/>
                  <w:szCs w:val="18"/>
                  <w:color w:val="0000FF"/>
                </w:rPr>
                <w:t>June 28, 2022)</w:t>
              </w:r>
            </w:hyperlink>
          </w:p>
        </w:tc>
      </w:tr>
      <w:tr>
        <w:trPr>
          <w:trHeight w:val="20"/>
        </w:trPr>
        <w:tc>
          <w:tcPr>
            <w:tcW w:w="960" w:type="dxa"/>
            <w:vAlign w:val="bottom"/>
          </w:tcPr>
          <w:p>
            <w:pPr>
              <w:spacing w:after="0" w:line="20" w:lineRule="exact"/>
              <w:rPr>
                <w:sz w:val="1"/>
                <w:szCs w:val="1"/>
                <w:color w:val="auto"/>
              </w:rPr>
            </w:pPr>
          </w:p>
        </w:tc>
        <w:tc>
          <w:tcPr>
            <w:tcW w:w="1080" w:type="dxa"/>
            <w:vAlign w:val="bottom"/>
            <w:tcBorders>
              <w:right w:val="single" w:sz="8" w:color="0000EE"/>
            </w:tcBorders>
            <w:gridSpan w:val="5"/>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398"/>
        </w:trPr>
        <w:tc>
          <w:tcPr>
            <w:tcW w:w="9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10.4</w:t>
            </w:r>
          </w:p>
        </w:tc>
        <w:tc>
          <w:tcPr>
            <w:tcW w:w="100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498">
              <w:r>
                <w:rPr>
                  <w:rFonts w:ascii="Times New Roman" w:cs="Times New Roman" w:eastAsia="Times New Roman" w:hAnsi="Times New Roman"/>
                  <w:sz w:val="18"/>
                  <w:szCs w:val="18"/>
                  <w:color w:val="0000FF"/>
                </w:rPr>
                <w:t>Dividend Reinvestment Plan (incorporated by reference to Exhibit 10.4 to the Company’s Registration Statement on Form 10 filed on June</w:t>
              </w:r>
            </w:hyperlink>
          </w:p>
        </w:tc>
      </w:tr>
      <w:tr>
        <w:trPr>
          <w:trHeight w:val="196"/>
        </w:trPr>
        <w:tc>
          <w:tcPr>
            <w:tcW w:w="960" w:type="dxa"/>
            <w:vAlign w:val="bottom"/>
          </w:tcPr>
          <w:p>
            <w:pPr>
              <w:spacing w:after="0"/>
              <w:rPr>
                <w:sz w:val="17"/>
                <w:szCs w:val="17"/>
                <w:color w:val="auto"/>
              </w:rPr>
            </w:pPr>
          </w:p>
        </w:tc>
        <w:tc>
          <w:tcPr>
            <w:tcW w:w="7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498">
              <w:r>
                <w:rPr>
                  <w:rFonts w:ascii="Times New Roman" w:cs="Times New Roman" w:eastAsia="Times New Roman" w:hAnsi="Times New Roman"/>
                  <w:sz w:val="18"/>
                  <w:szCs w:val="18"/>
                  <w:color w:val="0000FF"/>
                  <w:w w:val="98"/>
                </w:rPr>
                <w:t>28, 2022)</w:t>
              </w:r>
            </w:hyperlink>
          </w:p>
        </w:tc>
        <w:tc>
          <w:tcPr>
            <w:tcW w:w="20" w:type="dxa"/>
            <w:vAlign w:val="bottom"/>
            <w:tcBorders>
              <w:bottom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399"/>
        </w:trPr>
        <w:tc>
          <w:tcPr>
            <w:tcW w:w="9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10.5</w:t>
            </w:r>
          </w:p>
        </w:tc>
        <w:tc>
          <w:tcPr>
            <w:tcW w:w="982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499">
              <w:r>
                <w:rPr>
                  <w:rFonts w:ascii="Times New Roman" w:cs="Times New Roman" w:eastAsia="Times New Roman" w:hAnsi="Times New Roman"/>
                  <w:sz w:val="18"/>
                  <w:szCs w:val="18"/>
                  <w:color w:val="0000FF"/>
                </w:rPr>
                <w:t>Expense Support and Conditional Reimbursement Agreement (incorporated by reference to Exhibit 10.5 to the Company’s Registration</w:t>
              </w:r>
            </w:hyperlink>
          </w:p>
        </w:tc>
        <w:tc>
          <w:tcPr>
            <w:tcW w:w="240" w:type="dxa"/>
            <w:vAlign w:val="bottom"/>
            <w:gridSpan w:val="2"/>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332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499">
              <w:r>
                <w:rPr>
                  <w:rFonts w:ascii="Times New Roman" w:cs="Times New Roman" w:eastAsia="Times New Roman" w:hAnsi="Times New Roman"/>
                  <w:sz w:val="18"/>
                  <w:szCs w:val="18"/>
                  <w:color w:val="0000FF"/>
                  <w:w w:val="99"/>
                </w:rPr>
                <w:t>Statement on Form 10 filed on June 28, 2022)</w:t>
              </w:r>
            </w:hyperlink>
          </w:p>
        </w:tc>
        <w:tc>
          <w:tcPr>
            <w:tcW w:w="20" w:type="dxa"/>
            <w:vAlign w:val="bottom"/>
            <w:tcBorders>
              <w:bottom w:val="single" w:sz="8" w:color="0000EE"/>
            </w:tcBorders>
          </w:tcPr>
          <w:p>
            <w:pPr>
              <w:spacing w:after="0"/>
              <w:rPr>
                <w:sz w:val="17"/>
                <w:szCs w:val="17"/>
                <w:color w:val="auto"/>
              </w:rPr>
            </w:pPr>
          </w:p>
        </w:tc>
        <w:tc>
          <w:tcPr>
            <w:tcW w:w="6720" w:type="dxa"/>
            <w:vAlign w:val="bottom"/>
            <w:gridSpan w:val="7"/>
          </w:tcPr>
          <w:p>
            <w:pPr>
              <w:spacing w:after="0"/>
              <w:rPr>
                <w:sz w:val="17"/>
                <w:szCs w:val="17"/>
                <w:color w:val="auto"/>
              </w:rPr>
            </w:pPr>
          </w:p>
        </w:tc>
      </w:tr>
      <w:tr>
        <w:trPr>
          <w:trHeight w:val="601"/>
        </w:trPr>
        <w:tc>
          <w:tcPr>
            <w:tcW w:w="9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10.6</w:t>
            </w:r>
          </w:p>
        </w:tc>
        <w:tc>
          <w:tcPr>
            <w:tcW w:w="100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500">
              <w:r>
                <w:rPr>
                  <w:rFonts w:ascii="Times New Roman" w:cs="Times New Roman" w:eastAsia="Times New Roman" w:hAnsi="Times New Roman"/>
                  <w:sz w:val="18"/>
                  <w:szCs w:val="18"/>
                  <w:color w:val="0000FF"/>
                </w:rPr>
                <w:t>Fund of Funds Agreement (incorporated by reference to Exhibit 10.6 to the Company’s Registration Statement on Form 10 filed on August</w:t>
              </w:r>
            </w:hyperlink>
          </w:p>
        </w:tc>
      </w:tr>
      <w:tr>
        <w:trPr>
          <w:trHeight w:val="196"/>
        </w:trPr>
        <w:tc>
          <w:tcPr>
            <w:tcW w:w="960" w:type="dxa"/>
            <w:vAlign w:val="bottom"/>
          </w:tcPr>
          <w:p>
            <w:pPr>
              <w:spacing w:after="0"/>
              <w:rPr>
                <w:sz w:val="17"/>
                <w:szCs w:val="17"/>
                <w:color w:val="auto"/>
              </w:rPr>
            </w:pPr>
          </w:p>
        </w:tc>
        <w:tc>
          <w:tcPr>
            <w:tcW w:w="7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500">
              <w:r>
                <w:rPr>
                  <w:rFonts w:ascii="Times New Roman" w:cs="Times New Roman" w:eastAsia="Times New Roman" w:hAnsi="Times New Roman"/>
                  <w:sz w:val="18"/>
                  <w:szCs w:val="18"/>
                  <w:color w:val="0000FF"/>
                  <w:w w:val="98"/>
                </w:rPr>
                <w:t>22, 2022)</w:t>
              </w:r>
            </w:hyperlink>
          </w:p>
        </w:tc>
        <w:tc>
          <w:tcPr>
            <w:tcW w:w="20" w:type="dxa"/>
            <w:vAlign w:val="bottom"/>
            <w:tcBorders>
              <w:bottom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385"/>
        </w:trPr>
        <w:tc>
          <w:tcPr>
            <w:tcW w:w="9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10.7</w:t>
            </w:r>
          </w:p>
        </w:tc>
        <w:tc>
          <w:tcPr>
            <w:tcW w:w="976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501">
              <w:r>
                <w:rPr>
                  <w:rFonts w:ascii="Times New Roman" w:cs="Times New Roman" w:eastAsia="Times New Roman" w:hAnsi="Times New Roman"/>
                  <w:sz w:val="18"/>
                  <w:szCs w:val="18"/>
                  <w:color w:val="0000FF"/>
                </w:rPr>
                <w:t>Revolving Credit Agreement, dated as of September 1, 2022, by and among Sixth Street Lending Partners and Wells Fargo Bank, N.A.</w:t>
              </w:r>
            </w:hyperlink>
          </w:p>
        </w:tc>
        <w:tc>
          <w:tcPr>
            <w:tcW w:w="300" w:type="dxa"/>
            <w:vAlign w:val="bottom"/>
            <w:gridSpan w:val="4"/>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85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501">
              <w:r>
                <w:rPr>
                  <w:rFonts w:ascii="Times New Roman" w:cs="Times New Roman" w:eastAsia="Times New Roman" w:hAnsi="Times New Roman"/>
                  <w:sz w:val="18"/>
                  <w:szCs w:val="18"/>
                  <w:color w:val="0000FF"/>
                  <w:w w:val="99"/>
                </w:rPr>
                <w:t>(incorporated by reference to Exhibit 10.1 to the Company’s Current Report on Form 8-K filed on September 6, 2022)</w:t>
              </w:r>
            </w:hyperlink>
          </w:p>
        </w:tc>
        <w:tc>
          <w:tcPr>
            <w:tcW w:w="20" w:type="dxa"/>
            <w:vAlign w:val="bottom"/>
            <w:tcBorders>
              <w:bottom w:val="single" w:sz="8" w:color="0000EE"/>
            </w:tcBorders>
          </w:tcPr>
          <w:p>
            <w:pPr>
              <w:spacing w:after="0"/>
              <w:rPr>
                <w:sz w:val="17"/>
                <w:szCs w:val="17"/>
                <w:color w:val="auto"/>
              </w:rPr>
            </w:pPr>
          </w:p>
        </w:tc>
        <w:tc>
          <w:tcPr>
            <w:tcW w:w="1520" w:type="dxa"/>
            <w:vAlign w:val="bottom"/>
            <w:gridSpan w:val="5"/>
          </w:tcPr>
          <w:p>
            <w:pPr>
              <w:spacing w:after="0"/>
              <w:rPr>
                <w:sz w:val="17"/>
                <w:szCs w:val="17"/>
                <w:color w:val="auto"/>
              </w:rPr>
            </w:pPr>
          </w:p>
        </w:tc>
      </w:tr>
    </w:tbl>
    <w:p>
      <w:pPr>
        <w:spacing w:after="0" w:line="2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9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10.8</w:t>
            </w:r>
          </w:p>
        </w:tc>
        <w:tc>
          <w:tcPr>
            <w:tcW w:w="100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502">
              <w:r>
                <w:rPr>
                  <w:rFonts w:ascii="Times New Roman" w:cs="Times New Roman" w:eastAsia="Times New Roman" w:hAnsi="Times New Roman"/>
                  <w:sz w:val="18"/>
                  <w:szCs w:val="18"/>
                  <w:color w:val="0000FF"/>
                </w:rPr>
                <w:t>Lender Joinder and First Amendment to Revolving Credit Agreement, dated as of December 21, 2022, by and among Sixth Street Lending</w:t>
              </w:r>
            </w:hyperlink>
          </w:p>
        </w:tc>
        <w:tc>
          <w:tcPr>
            <w:tcW w:w="2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982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502">
              <w:r>
                <w:rPr>
                  <w:rFonts w:ascii="Times New Roman" w:cs="Times New Roman" w:eastAsia="Times New Roman" w:hAnsi="Times New Roman"/>
                  <w:sz w:val="18"/>
                  <w:szCs w:val="18"/>
                  <w:color w:val="0000FF"/>
                  <w:w w:val="99"/>
                </w:rPr>
                <w:t>Partners and Wells Fargo Bank, N.A. (incorporated by reference to Exhibit 10.1 to the Company’s Current Report on Form 8-K filed on</w:t>
              </w:r>
            </w:hyperlink>
          </w:p>
        </w:tc>
        <w:tc>
          <w:tcPr>
            <w:tcW w:w="240" w:type="dxa"/>
            <w:vAlign w:val="bottom"/>
            <w:gridSpan w:val="5"/>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48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8"/>
              </w:rPr>
            </w:pPr>
            <w:hyperlink r:id="rId502">
              <w:r>
                <w:rPr>
                  <w:rFonts w:ascii="Times New Roman" w:cs="Times New Roman" w:eastAsia="Times New Roman" w:hAnsi="Times New Roman"/>
                  <w:sz w:val="18"/>
                  <w:szCs w:val="18"/>
                  <w:color w:val="0000FF"/>
                  <w:w w:val="98"/>
                </w:rPr>
                <w:t>December 22, 2022)</w:t>
              </w:r>
            </w:hyperlink>
          </w:p>
        </w:tc>
        <w:tc>
          <w:tcPr>
            <w:tcW w:w="20" w:type="dxa"/>
            <w:vAlign w:val="bottom"/>
            <w:tcBorders>
              <w:bottom w:val="single" w:sz="8" w:color="0000EE"/>
            </w:tcBorders>
          </w:tcPr>
          <w:p>
            <w:pPr>
              <w:spacing w:after="0"/>
              <w:rPr>
                <w:sz w:val="17"/>
                <w:szCs w:val="17"/>
                <w:color w:val="auto"/>
              </w:rPr>
            </w:pPr>
          </w:p>
        </w:tc>
        <w:tc>
          <w:tcPr>
            <w:tcW w:w="8560" w:type="dxa"/>
            <w:vAlign w:val="bottom"/>
            <w:gridSpan w:val="12"/>
          </w:tcPr>
          <w:p>
            <w:pPr>
              <w:spacing w:after="0"/>
              <w:rPr>
                <w:sz w:val="17"/>
                <w:szCs w:val="17"/>
                <w:color w:val="auto"/>
              </w:rPr>
            </w:pPr>
          </w:p>
        </w:tc>
      </w:tr>
      <w:tr>
        <w:trPr>
          <w:trHeight w:val="385"/>
        </w:trPr>
        <w:tc>
          <w:tcPr>
            <w:tcW w:w="9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10.9</w:t>
            </w:r>
          </w:p>
        </w:tc>
        <w:tc>
          <w:tcPr>
            <w:tcW w:w="97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503">
              <w:r>
                <w:rPr>
                  <w:rFonts w:ascii="Times New Roman" w:cs="Times New Roman" w:eastAsia="Times New Roman" w:hAnsi="Times New Roman"/>
                  <w:sz w:val="18"/>
                  <w:szCs w:val="18"/>
                  <w:color w:val="0000FF"/>
                </w:rPr>
                <w:t>Senior Secured Revolving Credit Agreement, dated January 19, 2023, between Sixth Street Lending Partners, the Lenders and Issuing</w:t>
              </w:r>
            </w:hyperlink>
          </w:p>
        </w:tc>
        <w:tc>
          <w:tcPr>
            <w:tcW w:w="360" w:type="dxa"/>
            <w:vAlign w:val="bottom"/>
            <w:gridSpan w:val="7"/>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1002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503">
              <w:r>
                <w:rPr>
                  <w:rFonts w:ascii="Times New Roman" w:cs="Times New Roman" w:eastAsia="Times New Roman" w:hAnsi="Times New Roman"/>
                  <w:sz w:val="18"/>
                  <w:szCs w:val="18"/>
                  <w:color w:val="0000FF"/>
                </w:rPr>
                <w:t>Banks party thereto and Truist Bank as Administrative Agent. (incorporated by reference to Exhibit 10.1 to the Company’s Current Report</w:t>
              </w:r>
            </w:hyperlink>
          </w:p>
        </w:tc>
        <w:tc>
          <w:tcPr>
            <w:tcW w:w="40" w:type="dxa"/>
            <w:vAlign w:val="bottom"/>
            <w:gridSpan w:val="2"/>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060" w:type="dxa"/>
            <w:vAlign w:val="bottom"/>
            <w:gridSpan w:val="18"/>
          </w:tcPr>
          <w:p>
            <w:pPr>
              <w:spacing w:after="0" w:line="196" w:lineRule="exact"/>
              <w:rPr>
                <w:rFonts w:ascii="Times New Roman" w:cs="Times New Roman" w:eastAsia="Times New Roman" w:hAnsi="Times New Roman"/>
                <w:sz w:val="18"/>
                <w:szCs w:val="18"/>
                <w:color w:val="0000FF"/>
              </w:rPr>
            </w:pPr>
            <w:hyperlink r:id="rId503">
              <w:r>
                <w:rPr>
                  <w:rFonts w:ascii="Times New Roman" w:cs="Times New Roman" w:eastAsia="Times New Roman" w:hAnsi="Times New Roman"/>
                  <w:sz w:val="18"/>
                  <w:szCs w:val="18"/>
                  <w:color w:val="0000FF"/>
                </w:rPr>
                <w:t>on Form 8-K filed on January 24, 2022)</w:t>
              </w:r>
            </w:hyperlink>
          </w:p>
        </w:tc>
      </w:tr>
      <w:tr>
        <w:trPr>
          <w:trHeight w:val="20"/>
        </w:trPr>
        <w:tc>
          <w:tcPr>
            <w:tcW w:w="9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tcBorders>
              <w:right w:val="single" w:sz="8" w:color="0000EE"/>
            </w:tcBorders>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615"/>
        </w:trPr>
        <w:tc>
          <w:tcPr>
            <w:tcW w:w="9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14.1</w:t>
            </w:r>
          </w:p>
        </w:tc>
        <w:tc>
          <w:tcPr>
            <w:tcW w:w="10060" w:type="dxa"/>
            <w:vAlign w:val="bottom"/>
            <w:gridSpan w:val="18"/>
          </w:tcPr>
          <w:p>
            <w:pPr>
              <w:spacing w:after="0"/>
              <w:rPr>
                <w:rFonts w:ascii="Times New Roman" w:cs="Times New Roman" w:eastAsia="Times New Roman" w:hAnsi="Times New Roman"/>
                <w:sz w:val="18"/>
                <w:szCs w:val="18"/>
                <w:color w:val="0000FF"/>
              </w:rPr>
            </w:pPr>
            <w:hyperlink r:id="rId504">
              <w:r>
                <w:rPr>
                  <w:rFonts w:ascii="Times New Roman" w:cs="Times New Roman" w:eastAsia="Times New Roman" w:hAnsi="Times New Roman"/>
                  <w:sz w:val="18"/>
                  <w:szCs w:val="18"/>
                  <w:color w:val="0000FF"/>
                </w:rPr>
                <w:t>Fund Code of Ethics (incorporated by reference to Exhibit 14.1 to the Company’s Registration Statement on Form 10 filed on June 28,</w:t>
              </w:r>
            </w:hyperlink>
          </w:p>
        </w:tc>
      </w:tr>
      <w:tr>
        <w:trPr>
          <w:trHeight w:val="196"/>
        </w:trPr>
        <w:tc>
          <w:tcPr>
            <w:tcW w:w="96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5"/>
              </w:rPr>
            </w:pPr>
            <w:hyperlink r:id="rId504">
              <w:r>
                <w:rPr>
                  <w:rFonts w:ascii="Times New Roman" w:cs="Times New Roman" w:eastAsia="Times New Roman" w:hAnsi="Times New Roman"/>
                  <w:sz w:val="18"/>
                  <w:szCs w:val="18"/>
                  <w:color w:val="0000FF"/>
                  <w:w w:val="95"/>
                </w:rPr>
                <w:t>2022)</w:t>
              </w:r>
            </w:hyperlink>
          </w:p>
        </w:tc>
        <w:tc>
          <w:tcPr>
            <w:tcW w:w="20" w:type="dxa"/>
            <w:vAlign w:val="bottom"/>
            <w:tcBorders>
              <w:top w:val="single" w:sz="8" w:color="0000FF"/>
              <w:bottom w:val="single" w:sz="8" w:color="0000EE"/>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3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3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99"/>
        </w:trPr>
        <w:tc>
          <w:tcPr>
            <w:tcW w:w="9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14.2</w:t>
            </w:r>
          </w:p>
        </w:tc>
        <w:tc>
          <w:tcPr>
            <w:tcW w:w="10060" w:type="dxa"/>
            <w:vAlign w:val="bottom"/>
            <w:gridSpan w:val="18"/>
          </w:tcPr>
          <w:p>
            <w:pPr>
              <w:spacing w:after="0"/>
              <w:rPr>
                <w:rFonts w:ascii="Times New Roman" w:cs="Times New Roman" w:eastAsia="Times New Roman" w:hAnsi="Times New Roman"/>
                <w:sz w:val="18"/>
                <w:szCs w:val="18"/>
                <w:color w:val="0000FF"/>
              </w:rPr>
            </w:pPr>
            <w:hyperlink r:id="rId505">
              <w:r>
                <w:rPr>
                  <w:rFonts w:ascii="Times New Roman" w:cs="Times New Roman" w:eastAsia="Times New Roman" w:hAnsi="Times New Roman"/>
                  <w:sz w:val="18"/>
                  <w:szCs w:val="18"/>
                  <w:color w:val="0000FF"/>
                </w:rPr>
                <w:t>Adviser Code of Ethics (incorporated by reference to Exhibit 14.2 to the Company’s Registration Statement on Form 10 filed on June 28,</w:t>
              </w:r>
            </w:hyperlink>
          </w:p>
        </w:tc>
      </w:tr>
      <w:tr>
        <w:trPr>
          <w:trHeight w:val="196"/>
        </w:trPr>
        <w:tc>
          <w:tcPr>
            <w:tcW w:w="96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5"/>
              </w:rPr>
            </w:pPr>
            <w:hyperlink r:id="rId505">
              <w:r>
                <w:rPr>
                  <w:rFonts w:ascii="Times New Roman" w:cs="Times New Roman" w:eastAsia="Times New Roman" w:hAnsi="Times New Roman"/>
                  <w:sz w:val="18"/>
                  <w:szCs w:val="18"/>
                  <w:color w:val="0000FF"/>
                  <w:w w:val="95"/>
                </w:rPr>
                <w:t>2022)</w:t>
              </w:r>
            </w:hyperlink>
          </w:p>
        </w:tc>
        <w:tc>
          <w:tcPr>
            <w:tcW w:w="20" w:type="dxa"/>
            <w:vAlign w:val="bottom"/>
            <w:tcBorders>
              <w:top w:val="single" w:sz="8" w:color="0000FF"/>
              <w:bottom w:val="single" w:sz="8" w:color="0000EE"/>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3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3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85"/>
        </w:trPr>
        <w:tc>
          <w:tcPr>
            <w:tcW w:w="9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21.1</w:t>
            </w:r>
          </w:p>
        </w:tc>
        <w:tc>
          <w:tcPr>
            <w:tcW w:w="100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Subsidiaries of Sixth Street Lending Partners</w:t>
            </w:r>
          </w:p>
        </w:tc>
      </w:tr>
      <w:tr>
        <w:trPr>
          <w:trHeight w:val="20"/>
        </w:trPr>
        <w:tc>
          <w:tcPr>
            <w:tcW w:w="96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439"/>
        </w:trPr>
        <w:tc>
          <w:tcPr>
            <w:tcW w:w="9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24.1</w:t>
            </w:r>
          </w:p>
        </w:tc>
        <w:tc>
          <w:tcPr>
            <w:tcW w:w="63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Power of Attorney (set forth on the signature page to this Annual Report on Form 10-K)</w:t>
            </w:r>
          </w:p>
        </w:tc>
        <w:tc>
          <w:tcPr>
            <w:tcW w:w="20" w:type="dxa"/>
            <w:vAlign w:val="bottom"/>
            <w:tcBorders>
              <w:bottom w:val="single" w:sz="8" w:color="0000EE"/>
            </w:tcBorders>
          </w:tcPr>
          <w:p>
            <w:pPr>
              <w:spacing w:after="0"/>
              <w:rPr>
                <w:sz w:val="24"/>
                <w:szCs w:val="24"/>
                <w:color w:val="auto"/>
              </w:rPr>
            </w:pPr>
          </w:p>
        </w:tc>
        <w:tc>
          <w:tcPr>
            <w:tcW w:w="3680" w:type="dxa"/>
            <w:vAlign w:val="bottom"/>
            <w:gridSpan w:val="8"/>
          </w:tcPr>
          <w:p>
            <w:pPr>
              <w:spacing w:after="0"/>
              <w:rPr>
                <w:sz w:val="24"/>
                <w:szCs w:val="24"/>
                <w:color w:val="auto"/>
              </w:rPr>
            </w:pPr>
          </w:p>
        </w:tc>
      </w:tr>
      <w:tr>
        <w:trPr>
          <w:trHeight w:val="439"/>
        </w:trPr>
        <w:tc>
          <w:tcPr>
            <w:tcW w:w="9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31.1</w:t>
            </w:r>
          </w:p>
        </w:tc>
        <w:tc>
          <w:tcPr>
            <w:tcW w:w="98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302 of the Sarbanes-Oxley</w:t>
            </w:r>
          </w:p>
        </w:tc>
        <w:tc>
          <w:tcPr>
            <w:tcW w:w="220" w:type="dxa"/>
            <w:vAlign w:val="bottom"/>
            <w:gridSpan w:val="4"/>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100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96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9140" w:type="dxa"/>
            <w:vAlign w:val="bottom"/>
            <w:gridSpan w:val="14"/>
          </w:tcPr>
          <w:p>
            <w:pPr>
              <w:spacing w:after="0" w:line="20" w:lineRule="exact"/>
              <w:rPr>
                <w:sz w:val="1"/>
                <w:szCs w:val="1"/>
                <w:color w:val="auto"/>
              </w:rPr>
            </w:pPr>
          </w:p>
        </w:tc>
      </w:tr>
      <w:tr>
        <w:trPr>
          <w:trHeight w:val="439"/>
        </w:trPr>
        <w:tc>
          <w:tcPr>
            <w:tcW w:w="9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31.2</w:t>
            </w:r>
          </w:p>
        </w:tc>
        <w:tc>
          <w:tcPr>
            <w:tcW w:w="100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18 U.S.C. Section 1350, as Adopted Pursuant to Section 302 of the Sarbanes-Oxley Act</w:t>
            </w:r>
          </w:p>
        </w:tc>
      </w:tr>
      <w:tr>
        <w:trPr>
          <w:trHeight w:val="196"/>
        </w:trPr>
        <w:tc>
          <w:tcPr>
            <w:tcW w:w="960" w:type="dxa"/>
            <w:vAlign w:val="bottom"/>
          </w:tcPr>
          <w:p>
            <w:pPr>
              <w:spacing w:after="0"/>
              <w:rPr>
                <w:sz w:val="17"/>
                <w:szCs w:val="17"/>
                <w:color w:val="auto"/>
              </w:rPr>
            </w:pPr>
          </w:p>
        </w:tc>
        <w:tc>
          <w:tcPr>
            <w:tcW w:w="100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r>
      <w:tr>
        <w:trPr>
          <w:trHeight w:val="20"/>
        </w:trPr>
        <w:tc>
          <w:tcPr>
            <w:tcW w:w="9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p>
    <w:p>
      <w:pPr>
        <w:spacing w:after="0" w:line="191" w:lineRule="exact"/>
        <w:rPr>
          <w:sz w:val="20"/>
          <w:szCs w:val="20"/>
          <w:color w:val="auto"/>
        </w:rPr>
      </w:pPr>
    </w:p>
    <w:p>
      <w:pPr>
        <w:ind w:left="1060" w:right="420" w:hanging="968"/>
        <w:spacing w:after="0" w:line="282" w:lineRule="auto"/>
        <w:tabs>
          <w:tab w:leader="none" w:pos="10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of CEO and CFO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-185420</wp:posOffset>
            </wp:positionV>
            <wp:extent cx="614362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6">
                      <a:extLst>
                        <a:ext uri="{28A0092B-C50C-407E-A947-70E740481C1C}"/>
                      </a:extLst>
                    </a:blip>
                    <a:srcRect/>
                    <a:stretch>
                      <a:fillRect/>
                    </a:stretch>
                  </pic:blipFill>
                  <pic:spPr bwMode="auto">
                    <a:xfrm>
                      <a:off x="0" y="0"/>
                      <a:ext cx="6143625" cy="8890"/>
                    </a:xfrm>
                    <a:prstGeom prst="rect">
                      <a:avLst/>
                    </a:prstGeom>
                    <a:noFill/>
                  </pic:spPr>
                </pic:pic>
              </a:graphicData>
            </a:graphic>
          </wp:anchor>
        </w:drawing>
        <w:drawing>
          <wp:anchor simplePos="0" relativeHeight="251657728" behindDoc="1" locked="0" layoutInCell="0" allowOverlap="1">
            <wp:simplePos x="0" y="0"/>
            <wp:positionH relativeFrom="column">
              <wp:posOffset>675640</wp:posOffset>
            </wp:positionH>
            <wp:positionV relativeFrom="paragraph">
              <wp:posOffset>-48260</wp:posOffset>
            </wp:positionV>
            <wp:extent cx="25717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7">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9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XBRL tags are embedded</w:t>
            </w:r>
          </w:p>
        </w:tc>
      </w:tr>
      <w:tr>
        <w:trPr>
          <w:trHeight w:val="234"/>
        </w:trPr>
        <w:tc>
          <w:tcPr>
            <w:tcW w:w="840" w:type="dxa"/>
            <w:vAlign w:val="bottom"/>
          </w:tcPr>
          <w:p>
            <w:pPr>
              <w:spacing w:after="0"/>
              <w:rPr>
                <w:sz w:val="20"/>
                <w:szCs w:val="20"/>
                <w:color w:val="auto"/>
              </w:rPr>
            </w:pPr>
          </w:p>
        </w:tc>
        <w:tc>
          <w:tcPr>
            <w:tcW w:w="9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4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spacing w:after="0" w:line="9" w:lineRule="exact"/>
        <w:rPr>
          <w:sz w:val="20"/>
          <w:szCs w:val="20"/>
          <w:color w:val="auto"/>
        </w:rPr>
      </w:pPr>
    </w:p>
    <w:p>
      <w:pPr>
        <w:ind w:left="5520" w:right="4340" w:hanging="5519"/>
        <w:spacing w:after="0" w:line="798" w:lineRule="auto"/>
        <w:tabs>
          <w:tab w:leader="none" w:pos="100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161925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985" w:right="4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97" w:right="1440" w:bottom="1440" w:gutter="0" w:footer="0" w:header="0"/>
        </w:sectPr>
      </w:pPr>
    </w:p>
    <w:bookmarkStart w:id="124" w:name="page125"/>
    <w:bookmarkEnd w:id="12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80" w:firstLine="25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to be signed on its behalf by the undersigned, thereunto duly authorized.</w:t>
      </w:r>
    </w:p>
    <w:p>
      <w:pPr>
        <w:spacing w:after="0" w:line="171" w:lineRule="exact"/>
        <w:rPr>
          <w:sz w:val="20"/>
          <w:szCs w:val="20"/>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18"/>
          <w:szCs w:val="18"/>
          <w:color w:val="auto"/>
        </w:rPr>
        <w:t>Date: February 16, 2024</w:t>
      </w:r>
      <w:r>
        <w:rPr>
          <w:sz w:val="20"/>
          <w:szCs w:val="20"/>
          <w:color w:val="auto"/>
        </w:rPr>
        <w:tab/>
      </w:r>
      <w:r>
        <w:rPr>
          <w:rFonts w:ascii="Times New Roman" w:cs="Times New Roman" w:eastAsia="Times New Roman" w:hAnsi="Times New Roman"/>
          <w:sz w:val="17"/>
          <w:szCs w:val="17"/>
          <w:b w:val="1"/>
          <w:bCs w:val="1"/>
          <w:color w:val="auto"/>
        </w:rPr>
        <w:t>SIXTH STREET LENDING PARTNERS</w:t>
      </w:r>
    </w:p>
    <w:p>
      <w:pPr>
        <w:spacing w:after="0" w:line="31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26035</wp:posOffset>
            </wp:positionV>
            <wp:extent cx="348869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0">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06" w:lineRule="exact"/>
        <w:rPr>
          <w:sz w:val="20"/>
          <w:szCs w:val="20"/>
          <w:color w:val="auto"/>
        </w:rPr>
      </w:pPr>
    </w:p>
    <w:p>
      <w:pPr>
        <w:ind w:right="100" w:firstLine="255"/>
        <w:spacing w:after="0" w:line="254"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Joshua Easterly, Ian Simmonds, David Stiepleman and Jennifer Gordon, and each of them, such person’s true and lawful attorney-in-fact and agent, with full power of substitution and revocation, for such person and in such person’s name, place and stead, in any and all capacities, to sign one or more Annual Reports on Form 10-K for the fiscal year ended December 31, 2023, and any and all amendments thereto, and to file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such person might or could do in person, hereby ratifying and confirming all that said attorneys-in-fact and agents and each of them, or their or his substitute or substitutes, may lawfully do or cause to be done by virtue hereof.</w:t>
      </w:r>
    </w:p>
    <w:p>
      <w:pPr>
        <w:spacing w:after="0" w:line="192"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has been signed below by the following persons on behalf of the registrant and in the capacities indicated on February 16, 2024.</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Borders>
              <w:bottom w:val="single" w:sz="8" w:color="auto"/>
            </w:tcBorders>
          </w:tcPr>
          <w:p>
            <w:pPr>
              <w:spacing w:after="0"/>
              <w:rPr>
                <w:sz w:val="16"/>
                <w:szCs w:val="16"/>
                <w:color w:val="auto"/>
              </w:rPr>
            </w:pPr>
          </w:p>
        </w:tc>
        <w:tc>
          <w:tcPr>
            <w:tcW w:w="4720" w:type="dxa"/>
            <w:vAlign w:val="bottom"/>
            <w:tcBorders>
              <w:bottom w:val="single" w:sz="8" w:color="auto"/>
            </w:tcBorders>
            <w:gridSpan w:val="2"/>
          </w:tcPr>
          <w:p>
            <w:pPr>
              <w:ind w:left="20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6400" w:type="dxa"/>
            <w:vAlign w:val="bottom"/>
            <w:tcBorders>
              <w:bottom w:val="single" w:sz="8" w:color="auto"/>
            </w:tcBorders>
          </w:tcPr>
          <w:p>
            <w:pPr>
              <w:ind w:left="306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439"/>
        </w:trPr>
        <w:tc>
          <w:tcPr>
            <w:tcW w:w="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Joshua Easterly</w:t>
            </w:r>
          </w:p>
        </w:tc>
        <w:tc>
          <w:tcPr>
            <w:tcW w:w="10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Chief Executive Officer, Trustee and Chairman of the Board of Trustees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Principal</w:t>
            </w:r>
          </w:p>
        </w:tc>
      </w:tr>
      <w:tr>
        <w:trPr>
          <w:trHeight w:val="228"/>
        </w:trPr>
        <w:tc>
          <w:tcPr>
            <w:tcW w:w="20" w:type="dxa"/>
            <w:vAlign w:val="bottom"/>
          </w:tcPr>
          <w:p>
            <w:pPr>
              <w:spacing w:after="0"/>
              <w:rPr>
                <w:sz w:val="19"/>
                <w:szCs w:val="19"/>
                <w:color w:val="auto"/>
              </w:rPr>
            </w:pPr>
          </w:p>
        </w:tc>
        <w:tc>
          <w:tcPr>
            <w:tcW w:w="4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Joshua Easterly</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Officer)</w:t>
            </w:r>
          </w:p>
        </w:tc>
      </w:tr>
      <w:tr>
        <w:trPr>
          <w:trHeight w:val="454"/>
        </w:trPr>
        <w:tc>
          <w:tcPr>
            <w:tcW w:w="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Ian Simmonds</w:t>
            </w:r>
          </w:p>
        </w:tc>
        <w:tc>
          <w:tcPr>
            <w:tcW w:w="10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r>
        <w:trPr>
          <w:trHeight w:val="228"/>
        </w:trPr>
        <w:tc>
          <w:tcPr>
            <w:tcW w:w="20" w:type="dxa"/>
            <w:vAlign w:val="bottom"/>
          </w:tcPr>
          <w:p>
            <w:pPr>
              <w:spacing w:after="0"/>
              <w:rPr>
                <w:sz w:val="19"/>
                <w:szCs w:val="19"/>
                <w:color w:val="auto"/>
              </w:rPr>
            </w:pPr>
          </w:p>
        </w:tc>
        <w:tc>
          <w:tcPr>
            <w:tcW w:w="4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Ian Simmonds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54"/>
        </w:trPr>
        <w:tc>
          <w:tcPr>
            <w:tcW w:w="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Michael Graf</w:t>
            </w:r>
          </w:p>
        </w:tc>
        <w:tc>
          <w:tcPr>
            <w:tcW w:w="10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Deputy Chief Financial Officer (Principal Accounting Officer)</w:t>
            </w:r>
          </w:p>
        </w:tc>
      </w:tr>
      <w:tr>
        <w:trPr>
          <w:trHeight w:val="228"/>
        </w:trPr>
        <w:tc>
          <w:tcPr>
            <w:tcW w:w="20" w:type="dxa"/>
            <w:vAlign w:val="bottom"/>
          </w:tcPr>
          <w:p>
            <w:pPr>
              <w:spacing w:after="0"/>
              <w:rPr>
                <w:sz w:val="19"/>
                <w:szCs w:val="19"/>
                <w:color w:val="auto"/>
              </w:rPr>
            </w:pPr>
          </w:p>
        </w:tc>
        <w:tc>
          <w:tcPr>
            <w:tcW w:w="4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Michael Graf</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Judy Slotkin</w:t>
            </w:r>
          </w:p>
        </w:tc>
        <w:tc>
          <w:tcPr>
            <w:tcW w:w="10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Trustee and Chairman of the Audit Committee</w:t>
            </w:r>
          </w:p>
        </w:tc>
      </w:tr>
      <w:tr>
        <w:trPr>
          <w:trHeight w:val="228"/>
        </w:trPr>
        <w:tc>
          <w:tcPr>
            <w:tcW w:w="20" w:type="dxa"/>
            <w:vAlign w:val="bottom"/>
          </w:tcPr>
          <w:p>
            <w:pPr>
              <w:spacing w:after="0"/>
              <w:rPr>
                <w:sz w:val="19"/>
                <w:szCs w:val="19"/>
                <w:color w:val="auto"/>
              </w:rPr>
            </w:pPr>
          </w:p>
        </w:tc>
        <w:tc>
          <w:tcPr>
            <w:tcW w:w="4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Judy Slotkin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54"/>
        </w:trPr>
        <w:tc>
          <w:tcPr>
            <w:tcW w:w="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Jennifer Gordon</w:t>
            </w:r>
          </w:p>
        </w:tc>
        <w:tc>
          <w:tcPr>
            <w:tcW w:w="10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Trustee</w:t>
            </w:r>
          </w:p>
        </w:tc>
      </w:tr>
      <w:tr>
        <w:trPr>
          <w:trHeight w:val="228"/>
        </w:trPr>
        <w:tc>
          <w:tcPr>
            <w:tcW w:w="20" w:type="dxa"/>
            <w:vAlign w:val="bottom"/>
          </w:tcPr>
          <w:p>
            <w:pPr>
              <w:spacing w:after="0"/>
              <w:rPr>
                <w:sz w:val="19"/>
                <w:szCs w:val="19"/>
                <w:color w:val="auto"/>
              </w:rPr>
            </w:pPr>
          </w:p>
        </w:tc>
        <w:tc>
          <w:tcPr>
            <w:tcW w:w="4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Jennifer Gordon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54"/>
        </w:trPr>
        <w:tc>
          <w:tcPr>
            <w:tcW w:w="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Richard A. Higginbotham</w:t>
            </w:r>
          </w:p>
        </w:tc>
        <w:tc>
          <w:tcPr>
            <w:tcW w:w="10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Trustee</w:t>
            </w:r>
          </w:p>
        </w:tc>
      </w:tr>
      <w:tr>
        <w:trPr>
          <w:trHeight w:val="228"/>
        </w:trPr>
        <w:tc>
          <w:tcPr>
            <w:tcW w:w="20" w:type="dxa"/>
            <w:vAlign w:val="bottom"/>
          </w:tcPr>
          <w:p>
            <w:pPr>
              <w:spacing w:after="0"/>
              <w:rPr>
                <w:sz w:val="19"/>
                <w:szCs w:val="19"/>
                <w:color w:val="auto"/>
              </w:rPr>
            </w:pPr>
          </w:p>
        </w:tc>
        <w:tc>
          <w:tcPr>
            <w:tcW w:w="4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A. Higginbotham</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54"/>
        </w:trPr>
        <w:tc>
          <w:tcPr>
            <w:tcW w:w="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Hurley Doddy</w:t>
            </w:r>
          </w:p>
        </w:tc>
        <w:tc>
          <w:tcPr>
            <w:tcW w:w="10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Trustee</w:t>
            </w:r>
          </w:p>
        </w:tc>
      </w:tr>
      <w:tr>
        <w:trPr>
          <w:trHeight w:val="228"/>
        </w:trPr>
        <w:tc>
          <w:tcPr>
            <w:tcW w:w="20" w:type="dxa"/>
            <w:vAlign w:val="bottom"/>
          </w:tcPr>
          <w:p>
            <w:pPr>
              <w:spacing w:after="0"/>
              <w:rPr>
                <w:sz w:val="19"/>
                <w:szCs w:val="19"/>
                <w:color w:val="auto"/>
              </w:rPr>
            </w:pPr>
          </w:p>
        </w:tc>
        <w:tc>
          <w:tcPr>
            <w:tcW w:w="4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Hurley Doddy</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54"/>
        </w:trPr>
        <w:tc>
          <w:tcPr>
            <w:tcW w:w="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David Stiepleman</w:t>
            </w:r>
          </w:p>
        </w:tc>
        <w:tc>
          <w:tcPr>
            <w:tcW w:w="10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Trustee</w:t>
            </w:r>
          </w:p>
        </w:tc>
      </w:tr>
      <w:tr>
        <w:trPr>
          <w:trHeight w:val="228"/>
        </w:trPr>
        <w:tc>
          <w:tcPr>
            <w:tcW w:w="20" w:type="dxa"/>
            <w:vAlign w:val="bottom"/>
          </w:tcPr>
          <w:p>
            <w:pPr>
              <w:spacing w:after="0"/>
              <w:rPr>
                <w:sz w:val="19"/>
                <w:szCs w:val="19"/>
                <w:color w:val="auto"/>
              </w:rPr>
            </w:pPr>
          </w:p>
        </w:tc>
        <w:tc>
          <w:tcPr>
            <w:tcW w:w="4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David Stiepleman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54"/>
        </w:trPr>
        <w:tc>
          <w:tcPr>
            <w:tcW w:w="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Ronald K. Tanemura</w:t>
            </w:r>
          </w:p>
        </w:tc>
        <w:tc>
          <w:tcPr>
            <w:tcW w:w="10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Trustee</w:t>
            </w:r>
          </w:p>
        </w:tc>
      </w:tr>
      <w:tr>
        <w:trPr>
          <w:trHeight w:val="228"/>
        </w:trPr>
        <w:tc>
          <w:tcPr>
            <w:tcW w:w="20" w:type="dxa"/>
            <w:vAlign w:val="bottom"/>
          </w:tcPr>
          <w:p>
            <w:pPr>
              <w:spacing w:after="0"/>
              <w:rPr>
                <w:sz w:val="19"/>
                <w:szCs w:val="19"/>
                <w:color w:val="auto"/>
              </w:rPr>
            </w:pPr>
          </w:p>
        </w:tc>
        <w:tc>
          <w:tcPr>
            <w:tcW w:w="4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Ronald K. Tanemura</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657"/>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00" w:type="dxa"/>
            <w:vAlign w:val="bottom"/>
            <w:gridSpan w:val="2"/>
          </w:tcPr>
          <w:p>
            <w:pPr>
              <w:jc w:val="right"/>
              <w:ind w:right="5432"/>
              <w:spacing w:after="0"/>
              <w:rPr>
                <w:sz w:val="20"/>
                <w:szCs w:val="20"/>
                <w:color w:val="auto"/>
              </w:rPr>
            </w:pPr>
            <w:r>
              <w:rPr>
                <w:rFonts w:ascii="Times New Roman" w:cs="Times New Roman" w:eastAsia="Times New Roman" w:hAnsi="Times New Roman"/>
                <w:sz w:val="18"/>
                <w:szCs w:val="18"/>
                <w:color w:val="auto"/>
              </w:rPr>
              <w:t>94</w:t>
            </w:r>
          </w:p>
        </w:tc>
      </w:tr>
      <w:tr>
        <w:trPr>
          <w:trHeight w:val="763"/>
        </w:trPr>
        <w:tc>
          <w:tcPr>
            <w:tcW w:w="2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07"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The terms of the Declaration of Trust authorize an unlimited number of Common Shares. There is currently no market for the Common Shares, and there can be no assurance that a market for the Common Shares will develop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Shares</w:t>
      </w:r>
    </w:p>
    <w:p>
      <w:pPr>
        <w:spacing w:after="0" w:line="229" w:lineRule="exact"/>
        <w:rPr>
          <w:sz w:val="20"/>
          <w:szCs w:val="20"/>
          <w:color w:val="auto"/>
        </w:rPr>
      </w:pPr>
    </w:p>
    <w:p>
      <w:pPr>
        <w:jc w:val="both"/>
        <w:ind w:firstLine="307"/>
        <w:spacing w:after="0" w:line="252" w:lineRule="auto"/>
        <w:rPr>
          <w:sz w:val="20"/>
          <w:szCs w:val="20"/>
          <w:color w:val="auto"/>
        </w:rPr>
      </w:pPr>
      <w:r>
        <w:rPr>
          <w:rFonts w:ascii="Times New Roman" w:cs="Times New Roman" w:eastAsia="Times New Roman" w:hAnsi="Times New Roman"/>
          <w:sz w:val="18"/>
          <w:szCs w:val="18"/>
          <w:color w:val="auto"/>
        </w:rPr>
        <w:t>Under the terms of the Company’s Declaration of Trust, all Common Shares, when they are issued in accordance with the terms of the Declaration of Trust, will be duly authorized, validly issued, fully paid and nonassessable. Dividends and distributions may be paid to shareholders if, as and when authorized by the Board of Trustees and declared by the Company out of funds legally available therefore. Except as may be provided by the Board of Trustees in setting the terms of classified or reclassified shares, the Common Shares will have no preemptive, exchange, conversion, appraisal or redemption rights. In the event of liquidation, dissolution or winding up, each of the Common Shares would be entitled to share pro rata in all of the Company’s assets that are legally available for distribution after the Company pays all debts and other liabilities and subject to any preferential rights of holders of the Company’s preferred shares, if any preferred shares are outstanding at such time. Subject to the rights of holders of any other class or series of shares, each whole share of the Common Shares will be entitled to one vote (and each fractional share of the Common Shares will be entitled to a proportionate fractional vote) on all matters submitted to a vote of shareholders, including the election of Trustees. Except as may be provided by the Board of Trustees in setting the terms of classified or reclassified shares, and subject to the express terms of any class or series of preferred shares, the shareholders shall have no power to vote on any matter except matters on which a vote of shareholders is required by the 1940 Act, the Declaration of Trust or resolution of the Trustees or, after an Exchange Listing, by any applicable stock exchange. There will be no cumulative voting in the election or removal of Trustees. Subject to the special rights of the holders of any class or series of preferred shares to elect Trustees, each Trustee will be elected by a plurality of the votes cast with respect to such Trustee’s election. Pursuant to, and in accordance with, the Company’s Declaration of Trust, the Company’s Board of Trustees may amend the Declaration of Trust to alter the vote required to elect trustees.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Shares</w:t>
      </w:r>
    </w:p>
    <w:p>
      <w:pPr>
        <w:spacing w:after="0" w:line="229"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Under the terms of the Declaration of Trust, our Board of Trustees is authorized to issue preferred shares in one or more series without shareholder approval. Prior to the issuance of shares of each series, our Board of Trustees is required by the Declaration of Trust to set the terms, preferences, conversion or other rights, voting powers, restrictions, limitations as to distributions, qualifications and terms or conditions of redemption for each series. The 1940 Act limits our flexibility as certain rights and preferences of the preferred shares require, among other things: (i) immediately after issuance and before any distribution is made with respect to shares, we must meet an asset coverage ratio of total assets to total senior securities, which include all of our borrowings and preferred shares, of at least 150%; and (ii) the holders of preferred shares, if any are issued, must be entitled as a class to elect two Trustees at all times and to elect a majority of the Trustees if and for so long as dividends on the preferred shares are unpaid in an amount equal to two full years of dividends on the preferred shares.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and Resale Restrictions</w:t>
      </w:r>
    </w:p>
    <w:p>
      <w:pPr>
        <w:spacing w:after="0" w:line="229"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8"/>
          <w:szCs w:val="18"/>
          <w:color w:val="auto"/>
        </w:rPr>
        <w:t>To the fullest extent permitted by law, prior to an Exchange Listing (or such other time pursuant to any agreements between the Company and shareholders), shareholders may not sell, assign, transfer or otherwise dispose of (a “Transfer”) any Common Shares unless (i) the Adviser, in its sole discretion, gives its consent and, if required by our lending arrangements, our lenders give consent and (ii) the Transfer is made in accordance with applicable securities laws. No Transfer will be effectuated except by registration of the Transfer on our books. Each transferee must agree to be bound by these restrictions and all other obligations as a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1144270</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Redemptions by the Company</w:t>
      </w:r>
    </w:p>
    <w:p>
      <w:pPr>
        <w:spacing w:after="0" w:line="229"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8"/>
          <w:szCs w:val="18"/>
          <w:color w:val="auto"/>
        </w:rPr>
        <w:t>Each Common Share is subject to redemption (out of the assets of the Company) by the Company at the redemption price equal to the then current NAV per Common Share of the Company determined in accordance with the Declaration of Trust at any time if the Trustees determine in their sole discretion that a shareholder has breached any of its representations or warranties contained in such shareholder’s Subscription Agreement with the Company, and upon such redemption the holders of the Common Shares so redeemed shall have no further right with respect thereto other than to receive payment of such redemption price.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Delaware Law and Certain Declaration of Trust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Duration</w:t>
      </w:r>
    </w:p>
    <w:p>
      <w:pPr>
        <w:spacing w:after="0" w:line="229"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We were formed as a Delaware statutory trust and will remain in existence until dissolved in accordance with our Declaration of Trust or pursuant to Delaware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Purpose</w:t>
      </w:r>
    </w:p>
    <w:p>
      <w:pPr>
        <w:spacing w:after="0" w:line="229"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8"/>
          <w:szCs w:val="18"/>
          <w:color w:val="auto"/>
        </w:rPr>
        <w:t>Under the Declaration of Trust, the purpose of the Company is to conduct, operate and carry on the business of a business development company within the meaning of the 1940 Act. In furtherance of the foregoing, it shall be the purpose of the Company to do everything necessary, suitable, convenient or proper for the conduct, promotion and attainment of any businesses and purposes which at any time may be incidental or may appear conducive or expedient for the accomplishment of the business of a business development company regulated under the 1940 Act and which may be engaged in or carried on by a statutory trust organized under the Delaware Statutory Trust Statute, and in connection therewith the Company shall have the power and authority to engage in the foregoing and may exercise all of the powers conferred by the laws of the State of Delaware upon a Delaware statutory trust.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 to be Bound by the Declaration of Trust; Power of Attorney</w:t>
      </w:r>
    </w:p>
    <w:p>
      <w:pPr>
        <w:spacing w:after="0" w:line="229"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8"/>
          <w:szCs w:val="18"/>
          <w:color w:val="auto"/>
        </w:rPr>
        <w:t>By subscribing for the Common Shares, investors will be deemed to have agreed to be bound by the terms of the Declaration of Trust. Pursuant to the Declaration of Trust, each shareholder and each person who acquires Common Shares from a shareholder grants to the Trustees and the officers of the Company (and any substitute or successor Trustees or any substitute or successor officer of the Company) (and, if appointed, any liquidator of the Company) a power of attorney to, among other things, execute and file documents required for our qualification, continuance or dissolution. The power of attorney also grants our Board of Trustees the authority to make certain amendments to, and to make consents and waivers under and in accordance with, the Declaration of Trust.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Action by Shareholders</w:t>
      </w:r>
    </w:p>
    <w:p>
      <w:pPr>
        <w:spacing w:after="0" w:line="229"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The shareholders will only have voting rights as required by the 1940 Act or as otherwise provided for in the Declaration of Trust. Under the Declaration of Trust, the Company is not required to hold annual meetings and does not intend to do so. Special meetings called by the Trustees will be limited to the purposes for any such special meeting set forth in the notice thereof. Special meetings shall be called by any Trustee for any proper purpose upon written request of shareholders of the Company holding in the aggregate not less than thirty-three and one-third percent (331⁄3%) of the outstanding Common Shares of the Company, such request specifying the purpose or purposes for which such meeting is to be called, provided that in the case of a meeting called by any Trustee at the request of shareholders for the purpose of electing Trustees or removing the Adviser, written request of shareholders of the Company holding in the aggregate not less than fifty-one percent (51%) of the outstanding Common Shares of the Company or class or series of Common Shares having voting rights on the matter shall be required. These provisions will have the effect of significantly reducing the ability of shareholders being able to have proposals considered at a meeting of shareholders.</w:t>
      </w:r>
    </w:p>
    <w:p>
      <w:pPr>
        <w:spacing w:after="0" w:line="188" w:lineRule="exact"/>
        <w:rPr>
          <w:sz w:val="20"/>
          <w:szCs w:val="20"/>
          <w:color w:val="auto"/>
        </w:rPr>
      </w:pPr>
    </w:p>
    <w:p>
      <w:pPr>
        <w:jc w:val="both"/>
        <w:ind w:right="20" w:firstLine="255"/>
        <w:spacing w:after="0" w:line="266" w:lineRule="auto"/>
        <w:rPr>
          <w:sz w:val="20"/>
          <w:szCs w:val="20"/>
          <w:color w:val="auto"/>
        </w:rPr>
      </w:pPr>
      <w:r>
        <w:rPr>
          <w:rFonts w:ascii="Times New Roman" w:cs="Times New Roman" w:eastAsia="Times New Roman" w:hAnsi="Times New Roman"/>
          <w:sz w:val="18"/>
          <w:szCs w:val="18"/>
          <w:color w:val="auto"/>
        </w:rPr>
        <w:t>With respect to special meetings of shareholders, only the business specified in our notice of the meeting may be brought before the meeting. Nominations of persons for election to the Board of Trustees at a special meeting may be made only (1) pursuant to our notice of the meeting, (2) by the Board of Trustees or (3) provided that the Board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7" w:name="page128"/>
    <w:bookmarkEnd w:id="127"/>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has determined that trustees will be elected at the meeting, by a shareholder who is entitled to vote at the meeting.</w:t>
      </w:r>
    </w:p>
    <w:p>
      <w:pPr>
        <w:spacing w:after="0" w:line="225"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A Trustee may be removed for cause only by action taken by a majority of the remaining Trustees (or in the case of the removal of a Trustee that is not an “interested person” as defined in the 1940 Act, a majority of the remaining Trustees that are not “interested persons” as defined in the 1940 Act) and by the holders of at least a majority of the Common Shares then entitled to vote in an election of such Trustee.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the Declaration of Trust; No Approval by Shareholders</w:t>
      </w:r>
    </w:p>
    <w:p>
      <w:pPr>
        <w:spacing w:after="0" w:line="229"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8"/>
          <w:szCs w:val="18"/>
          <w:color w:val="auto"/>
        </w:rPr>
        <w:t>The Trustees may, without shareholder vote, amend or otherwise supplement the Declaration of Trust. Shareholders shall only have the right to vote: (i) on any amendment to the amendment provision of the Declaration of Trust, (ii) on any amendment that would adversely affect the powers, preferences or special rights of the Common Shares as determined by the Trustees in good faith and (iii) on any amendment submitted to them by the Trustees. In addition, notwithstanding anything to the contrary in the Declaration of Trust, in connection with an Exchange Listing, the Trustees may, without the approval or vote of the shareholders, amend or supplement the Declaration of Trust in any manner, including, without limitation to classify the Board of Trustees, to permit annual meetings of shareholders, to impose advance notice provisions for the bringing of shareholder nominations or proposals, to impose super-majority approval for certain types of transactions, to impose “control share” type provisions and to otherwise add provisions that may be deemed adverse to shareholders. A proposed amendment to the Declaration of Trust requires the affirmative vote of a majority of the Board of Trustees present (a quorum being present) at a meeting for adoption or, without a meeting, written consent to the amendment by the number of Trustees required for approval at a meeting of the Trustees at which all of the Trustees are present and voted.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Conversion, Sale or Other Disposition of Assets</w:t>
      </w:r>
    </w:p>
    <w:p>
      <w:pPr>
        <w:spacing w:after="0" w:line="229"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7"/>
          <w:szCs w:val="17"/>
          <w:color w:val="auto"/>
        </w:rPr>
        <w:t>The Board of Trustees may, without the approval of holders of our outstanding Common Shares, cause us to, among other things, sell, exchange or otherwise dispose of all or substantially all of our assets in a single transaction or a series of related transactions, or approve on our behalf the sale, exchange or other disposition of all or substantially all of our assets. The Board of Trustees also may, without the approval of holders of our outstanding Common Shares, cause and approve a merger, conversion or other reorganization of the Company. For example, upon consummation of the Exchange Listing, the Board is able to cause the Company to reorganize as a Maryland corporation. The Board of Trustees may also cause the sale of all or substantially all of our assets under a foreclosure or other realization without shareholder approval. Shareholders are not entitled to dissenters’ rights of appraisal under the Declaration of Trust or applicable Delaware law in the event of a merger, conversion or consolidation, a sale of all or substantially all of our assets or any other similar transaction or event. Notwithstanding the foregoing, shareholders will be given an opportunity to vote on such a transaction if required by the 1940 Act or if such a transaction is otherwise reasonably anticipated to result in a material dilution of the NAV per Share of the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Actions</w:t>
      </w:r>
    </w:p>
    <w:p>
      <w:pPr>
        <w:spacing w:after="0" w:line="229"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No person, other than a Trustee, who is not a shareholder shall be entitled to bring any derivative action, suit or other proceeding on behalf of the Company. No shareholder may maintain a derivative action on behalf of the Company unless holders of a certain percentage of the outstanding Common Shares, as disclosed in our Declaration of Trust, join in the bringing of such action.</w:t>
      </w:r>
    </w:p>
    <w:p>
      <w:pPr>
        <w:spacing w:after="0" w:line="176"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In addition to the requirements set forth in Section 3816 of the Delaware Statutory Trust Statute, a shareholder may bring a derivative action on behalf of the Company only if the following conditions are met: (i) the shareholder or shareholders must make a pre-suit demand upon the Board of Trustees to bring the subject action unless an effort to cause the Board of Trustees to bring such an action is not likely to succeed; and a demand on the Board of Trustees shall only be deemed not likely to succeed and therefore excused if a majority of the Board of Trustees, or a majority of any committee established to consider the merits of such action, is composed of Trustees who are not “independent trustees” (as that term is defined in the Delaware Statutory Trust Statute); and (ii) unless a demand is not required under clause (i) above, the Board of Trustees must be afforded a reasonable amount of time to consider such shareholder request and to investigate the basis of such claim; and the Board of Trustees shall be entitled to retain counsel and other advisors in considering the merits of the request and may require an undertaking by the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875030</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making such request to reimburse the Company for the expense of any such counsel and advisors in the event that the Board of Trustees determines not to bring such action. The conditions on a shareholder’s ability to bring a derivative action do not apply to claims arising under the federal securities laws. For purposes of this paragraph, the Board of Trustees may designate a committee of one or more Trustees to consider a shareholder demand.</w:t>
      </w:r>
    </w:p>
    <w:p>
      <w:pPr>
        <w:spacing w:after="0" w:line="176"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8"/>
          <w:szCs w:val="18"/>
          <w:color w:val="auto"/>
        </w:rPr>
        <w:t>In addition to all suits, claims or other actions (collectively, “claims”) that under applicable law must be brought as derivative claims, each shareholder agrees that any claim that affects all shareholders of the Company or any series or class equally, that is, proportionately based on their number of Common Shares in the Company or in such series of class, must be brought as a derivative claim subject to the derivative actions section of the Declaration of Trust irrespective of whether such claim involves a violation of the shareholder’s rights under the Declaration of Trust or any other alleged violation of contractual or individual rights that might otherwise give rise to a direct claim.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Delaware Jurisdiction</w:t>
      </w:r>
    </w:p>
    <w:p>
      <w:pPr>
        <w:spacing w:after="0" w:line="229" w:lineRule="exact"/>
        <w:rPr>
          <w:sz w:val="20"/>
          <w:szCs w:val="20"/>
          <w:color w:val="auto"/>
        </w:rPr>
      </w:pPr>
    </w:p>
    <w:p>
      <w:pPr>
        <w:jc w:val="both"/>
        <w:ind w:firstLine="255"/>
        <w:spacing w:after="0" w:line="251" w:lineRule="auto"/>
        <w:rPr>
          <w:sz w:val="20"/>
          <w:szCs w:val="20"/>
          <w:color w:val="auto"/>
        </w:rPr>
      </w:pPr>
      <w:r>
        <w:rPr>
          <w:rFonts w:ascii="Times New Roman" w:cs="Times New Roman" w:eastAsia="Times New Roman" w:hAnsi="Times New Roman"/>
          <w:sz w:val="18"/>
          <w:szCs w:val="18"/>
          <w:color w:val="auto"/>
        </w:rPr>
        <w:t>Each Trustee, each officer and, except as otherwise agreed in writing by the Company, the Adviser and/or affiliates of the Adviser, each person legally or beneficially owning a Common Share or an interest in a Common Share of the Company (whether through a broker, dealer, bank, trust company or clearing corporation or an agent of any of the foregoing or otherwise), to the fullest extent permitted by law, including Section 3804(e) of the Delaware Statutory Trust Statute, (i) irrevocably agrees that any claims, suits, actions or proceedings asserting a claim governed by the internal affairs (or similar) doctrine or arising out of or relating in any way to the Company, the Delaware Statutory Trust Statute, the Declaration of Trust or the bylaws of the Company (including, without limitation, any claims, suits, actions or proceedings to interpret, apply or enforce (A) the provisions of the Declaration of Trust or the bylaws of the Company, or (B) the duties (including fiduciary duties), obligations or liabilities of the Company to the shareholders or the Board of Trustees, or of officers or the Board of Trustees to the Company, to the shareholders or each other, or (C) the rights or powers of, or restrictions on, the Company, the officers, the Board of Trustees or the shareholders, or (D) any provision of the Delaware Statutory Trust Statute or other laws of the State of Delaware pertaining to trusts made applicable to the Company pursuant to Section 3809 of the Delaware Statutory Trust Statute, or (E) any other instrument, document, agreement or certificate contemplated by any provision of the Delaware Statutory Trust Statute, the Declaration of Trust or the bylaws of the Company relating in any way to the Company (regardless, in each case, of whether such claims, suits, actions or proceedings (x) sound in contract, tort, fraud or otherwise, (y) are based on common law, statutory, equitable, legal or other grounds, or (z) are derivative or direct claims)), shall be exclusively brought in the Court of Chancery of the State of Delaware or, if such court does not have subject matter jurisdiction thereof, any other court in the State of Delaware with subject matter jurisdiction; (ii) irrevocably submits to the exclusive jurisdiction of such courts in connection with any such claim, suit, action or proceeding, (iii) irrevocably agrees not to, and waives any right to, assert in any such claim, suit, action or proceeding that (A) it is not personally subject to the jurisdiction of such courts or any other court to which proceedings in such courts may be appealed, (B) such claim, suit, action or proceeding is brought in an inconvenient forum, or (C) the venue of such claim, suit, action or proceeding is improper, (iv) consents to process being served in any such claim, suit, action or proceeding by mailing, certified mail, return receipt requested, a copy thereof to such party at the address in effect for notices under the Declaration of Trust, and agrees that such service shall constitute good and sufficient service of process and notice there of; provided, nothing in clause (iv) hereof shall affect or limit any right to serve process in any other manner permitted by law, and (v) irrevocably waives any and all right to trial by jury in any such claim, suit, action or proceeding. However, these exclusive forum provisions do not apply to claims arising under the federal securities laws.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of the Company</w:t>
      </w:r>
    </w:p>
    <w:p>
      <w:pPr>
        <w:spacing w:after="0" w:line="22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If the Company has not consummated an Exchange Listing within the 10-year anniversary of the Effective Date, subject to up to two one-year extensions if requested by the Adviser and approved by a majority of our Board, including a majority of our Independent Trustees, then our Board (subject to any necessary shareholder approvals and applicable requirements of the 1940 Act) will, within a reasonable period of time, wind down and/or liquidate and dissolve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Books and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1035685</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94"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We are required to keep appropriate books of our business at our principal offices. The books will be maintained for both tax and financial reporting purposes on an accrual basis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ind w:left="1026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60" w:type="dxa"/>
            <w:vAlign w:val="bottom"/>
          </w:tcPr>
          <w:p>
            <w:pPr>
              <w:spacing w:after="0"/>
              <w:rPr>
                <w:sz w:val="20"/>
                <w:szCs w:val="20"/>
                <w:color w:val="auto"/>
              </w:rPr>
            </w:pPr>
          </w:p>
        </w:tc>
        <w:tc>
          <w:tcPr>
            <w:tcW w:w="818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SUBSIDIARIES OF SIXTH STREET LENDING PARTNERS</w:t>
            </w:r>
          </w:p>
        </w:tc>
      </w:tr>
      <w:tr>
        <w:trPr>
          <w:trHeight w:val="391"/>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2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Jurisdiction</w:t>
            </w:r>
          </w:p>
        </w:tc>
      </w:tr>
      <w:tr>
        <w:trPr>
          <w:trHeight w:val="228"/>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SSLP Lending, LLC</w:t>
            </w:r>
          </w:p>
        </w:tc>
        <w:tc>
          <w:tcPr>
            <w:tcW w:w="2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8"/>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Sixth Street LP Holding II, LLC</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Sixth Street Lending Partners Sub, LLC</w:t>
            </w:r>
          </w:p>
        </w:tc>
        <w:tc>
          <w:tcPr>
            <w:tcW w:w="2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1533"/>
        </w:trPr>
        <w:tc>
          <w:tcPr>
            <w:tcW w:w="306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1" w:name="page132"/>
    <w:bookmarkEnd w:id="131"/>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UNDER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Joshua Easterly, certify that:</w:t>
      </w:r>
    </w:p>
    <w:p>
      <w:pPr>
        <w:spacing w:after="0" w:line="117" w:lineRule="exact"/>
        <w:rPr>
          <w:sz w:val="20"/>
          <w:szCs w:val="20"/>
          <w:color w:val="auto"/>
        </w:rPr>
      </w:pPr>
    </w:p>
    <w:p>
      <w:pPr>
        <w:ind w:left="780" w:hanging="517"/>
        <w:spacing w:after="0"/>
        <w:tabs>
          <w:tab w:leader="none" w:pos="7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2023, of Sixth Street Lending Partners;</w:t>
      </w:r>
    </w:p>
    <w:p>
      <w:pPr>
        <w:spacing w:after="0" w:line="117" w:lineRule="exact"/>
        <w:rPr>
          <w:rFonts w:ascii="Times New Roman" w:cs="Times New Roman" w:eastAsia="Times New Roman" w:hAnsi="Times New Roman"/>
          <w:sz w:val="18"/>
          <w:szCs w:val="18"/>
          <w:color w:val="auto"/>
        </w:rPr>
      </w:pPr>
    </w:p>
    <w:p>
      <w:pPr>
        <w:jc w:val="both"/>
        <w:ind w:left="780" w:hanging="517"/>
        <w:spacing w:after="0" w:line="266" w:lineRule="auto"/>
        <w:tabs>
          <w:tab w:leader="none" w:pos="7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780" w:right="220" w:hanging="517"/>
        <w:spacing w:after="0" w:line="282" w:lineRule="auto"/>
        <w:tabs>
          <w:tab w:leader="none" w:pos="7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780" w:right="200" w:hanging="517"/>
        <w:spacing w:after="0" w:line="276" w:lineRule="auto"/>
        <w:tabs>
          <w:tab w:leader="none" w:pos="78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7"/>
          <w:szCs w:val="17"/>
          <w:color w:val="auto"/>
        </w:rPr>
      </w:pPr>
    </w:p>
    <w:p>
      <w:pPr>
        <w:ind w:left="1280" w:right="140" w:hanging="509"/>
        <w:spacing w:after="0" w:line="266" w:lineRule="auto"/>
        <w:tabs>
          <w:tab w:leader="none" w:pos="128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280" w:right="60" w:hanging="509"/>
        <w:spacing w:after="0" w:line="266" w:lineRule="auto"/>
        <w:tabs>
          <w:tab w:leader="none" w:pos="128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67" w:lineRule="exact"/>
        <w:rPr>
          <w:rFonts w:ascii="Times New Roman" w:cs="Times New Roman" w:eastAsia="Times New Roman" w:hAnsi="Times New Roman"/>
          <w:sz w:val="18"/>
          <w:szCs w:val="18"/>
          <w:color w:val="auto"/>
        </w:rPr>
      </w:pPr>
    </w:p>
    <w:p>
      <w:pPr>
        <w:jc w:val="both"/>
        <w:ind w:left="1280" w:right="240" w:hanging="509"/>
        <w:spacing w:after="0" w:line="312" w:lineRule="auto"/>
        <w:tabs>
          <w:tab w:leader="none" w:pos="1280"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280" w:right="100" w:hanging="509"/>
        <w:spacing w:after="0" w:line="266" w:lineRule="auto"/>
        <w:tabs>
          <w:tab w:leader="none" w:pos="128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780" w:right="160" w:hanging="517"/>
        <w:spacing w:after="0" w:line="282" w:lineRule="auto"/>
        <w:tabs>
          <w:tab w:leader="none" w:pos="7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280" w:right="480" w:hanging="509"/>
        <w:spacing w:after="0" w:line="282" w:lineRule="auto"/>
        <w:tabs>
          <w:tab w:leader="none" w:pos="128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280" w:right="160" w:hanging="509"/>
        <w:spacing w:after="0" w:line="282" w:lineRule="auto"/>
        <w:tabs>
          <w:tab w:leader="none" w:pos="128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16, 2024</w:t>
      </w:r>
    </w:p>
    <w:p>
      <w:pPr>
        <w:spacing w:after="0" w:line="239" w:lineRule="exact"/>
        <w:rPr>
          <w:sz w:val="20"/>
          <w:szCs w:val="20"/>
          <w:color w:val="auto"/>
        </w:rPr>
      </w:pPr>
    </w:p>
    <w:p>
      <w:pPr>
        <w:jc w:val="center"/>
        <w:ind w:left="308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J</w:t>
      </w:r>
      <w:r>
        <w:rPr>
          <w:rFonts w:ascii="Times New Roman" w:cs="Times New Roman" w:eastAsia="Times New Roman" w:hAnsi="Times New Roman"/>
          <w:sz w:val="13"/>
          <w:szCs w:val="13"/>
          <w:color w:val="auto"/>
        </w:rPr>
        <w:t>OSHUA</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3"/>
          <w:szCs w:val="13"/>
          <w:color w:val="auto"/>
        </w:rPr>
        <w:t>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26035</wp:posOffset>
            </wp:positionV>
            <wp:extent cx="299148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0">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3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Joshua Easterly</w:t>
      </w:r>
    </w:p>
    <w:p>
      <w:pPr>
        <w:spacing w:after="0" w:line="3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2" w:name="page133"/>
    <w:bookmarkEnd w:id="132"/>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UNDER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Ian Simmonds, certify that:</w:t>
      </w:r>
    </w:p>
    <w:p>
      <w:pPr>
        <w:spacing w:after="0" w:line="117" w:lineRule="exact"/>
        <w:rPr>
          <w:sz w:val="20"/>
          <w:szCs w:val="20"/>
          <w:color w:val="auto"/>
        </w:rPr>
      </w:pPr>
    </w:p>
    <w:p>
      <w:pPr>
        <w:ind w:left="780" w:hanging="517"/>
        <w:spacing w:after="0"/>
        <w:tabs>
          <w:tab w:leader="none" w:pos="7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2023, of Sixth Street Lending Partners;</w:t>
      </w:r>
    </w:p>
    <w:p>
      <w:pPr>
        <w:spacing w:after="0" w:line="117" w:lineRule="exact"/>
        <w:rPr>
          <w:rFonts w:ascii="Times New Roman" w:cs="Times New Roman" w:eastAsia="Times New Roman" w:hAnsi="Times New Roman"/>
          <w:sz w:val="18"/>
          <w:szCs w:val="18"/>
          <w:color w:val="auto"/>
        </w:rPr>
      </w:pPr>
    </w:p>
    <w:p>
      <w:pPr>
        <w:jc w:val="both"/>
        <w:ind w:left="780" w:hanging="517"/>
        <w:spacing w:after="0" w:line="266" w:lineRule="auto"/>
        <w:tabs>
          <w:tab w:leader="none" w:pos="7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780" w:right="220" w:hanging="517"/>
        <w:spacing w:after="0" w:line="282" w:lineRule="auto"/>
        <w:tabs>
          <w:tab w:leader="none" w:pos="7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780" w:right="200" w:hanging="517"/>
        <w:spacing w:after="0" w:line="276" w:lineRule="auto"/>
        <w:tabs>
          <w:tab w:leader="none" w:pos="78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7"/>
          <w:szCs w:val="17"/>
          <w:color w:val="auto"/>
        </w:rPr>
      </w:pPr>
    </w:p>
    <w:p>
      <w:pPr>
        <w:ind w:left="1280" w:right="140" w:hanging="509"/>
        <w:spacing w:after="0" w:line="266" w:lineRule="auto"/>
        <w:tabs>
          <w:tab w:leader="none" w:pos="128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280" w:right="60" w:hanging="509"/>
        <w:spacing w:after="0" w:line="266" w:lineRule="auto"/>
        <w:tabs>
          <w:tab w:leader="none" w:pos="128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67" w:lineRule="exact"/>
        <w:rPr>
          <w:rFonts w:ascii="Times New Roman" w:cs="Times New Roman" w:eastAsia="Times New Roman" w:hAnsi="Times New Roman"/>
          <w:sz w:val="18"/>
          <w:szCs w:val="18"/>
          <w:color w:val="auto"/>
        </w:rPr>
      </w:pPr>
    </w:p>
    <w:p>
      <w:pPr>
        <w:jc w:val="both"/>
        <w:ind w:left="1280" w:right="240" w:hanging="509"/>
        <w:spacing w:after="0" w:line="312" w:lineRule="auto"/>
        <w:tabs>
          <w:tab w:leader="none" w:pos="1280"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280" w:right="100" w:hanging="509"/>
        <w:spacing w:after="0" w:line="266" w:lineRule="auto"/>
        <w:tabs>
          <w:tab w:leader="none" w:pos="128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780" w:right="160" w:hanging="517"/>
        <w:spacing w:after="0" w:line="282" w:lineRule="auto"/>
        <w:tabs>
          <w:tab w:leader="none" w:pos="7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280" w:right="480" w:hanging="509"/>
        <w:spacing w:after="0" w:line="282" w:lineRule="auto"/>
        <w:tabs>
          <w:tab w:leader="none" w:pos="128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280" w:right="160" w:hanging="509"/>
        <w:spacing w:after="0" w:line="282" w:lineRule="auto"/>
        <w:tabs>
          <w:tab w:leader="none" w:pos="128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16, 2024</w:t>
      </w:r>
    </w:p>
    <w:p>
      <w:pPr>
        <w:spacing w:after="0" w:line="23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I</w:t>
      </w:r>
      <w:r>
        <w:rPr>
          <w:rFonts w:ascii="Times New Roman" w:cs="Times New Roman" w:eastAsia="Times New Roman" w:hAnsi="Times New Roman"/>
          <w:sz w:val="13"/>
          <w:szCs w:val="13"/>
          <w:color w:val="auto"/>
        </w:rPr>
        <w:t>AN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3"/>
          <w:szCs w:val="13"/>
          <w:color w:val="auto"/>
        </w:rPr>
        <w:t>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26035</wp:posOffset>
            </wp:positionV>
            <wp:extent cx="297434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2">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Ian Simmonds</w:t>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3" w:name="page134"/>
    <w:bookmarkEnd w:id="133"/>
    <w:p>
      <w:pPr>
        <w:ind w:left="10400"/>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Sixth Street Lending Partners (the “Company”) for the annual period ended December 31, 2023, as filed with the Securities and Exchange Commission on the date hereof (the “Report”), Joshua Easterly, as Chief Executive Officer of the Company and Ian Simmonds, as Chief Financial Officer of the Company, each hereby certifies, pursuant to 18 U.S.C. § 1350, as adopted pursuant to § 906 of the Sarbanes-Oxley Act of 2002, that, to such officer’s knowledge:</w:t>
      </w:r>
    </w:p>
    <w:p>
      <w:pPr>
        <w:spacing w:after="0" w:line="72" w:lineRule="exact"/>
        <w:rPr>
          <w:sz w:val="20"/>
          <w:szCs w:val="20"/>
          <w:color w:val="auto"/>
        </w:rPr>
      </w:pPr>
    </w:p>
    <w:p>
      <w:pPr>
        <w:ind w:left="780" w:hanging="517"/>
        <w:spacing w:after="0"/>
        <w:tabs>
          <w:tab w:leader="none" w:pos="7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17" w:lineRule="exact"/>
        <w:rPr>
          <w:rFonts w:ascii="Times New Roman" w:cs="Times New Roman" w:eastAsia="Times New Roman" w:hAnsi="Times New Roman"/>
          <w:sz w:val="18"/>
          <w:szCs w:val="18"/>
          <w:color w:val="auto"/>
        </w:rPr>
      </w:pPr>
    </w:p>
    <w:p>
      <w:pPr>
        <w:ind w:left="780" w:hanging="517"/>
        <w:spacing w:after="0"/>
        <w:tabs>
          <w:tab w:leader="none" w:pos="78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J</w:t>
      </w:r>
      <w:r>
        <w:rPr>
          <w:rFonts w:ascii="Times New Roman" w:cs="Times New Roman" w:eastAsia="Times New Roman" w:hAnsi="Times New Roman"/>
          <w:sz w:val="13"/>
          <w:szCs w:val="13"/>
          <w:color w:val="auto"/>
        </w:rPr>
        <w:t>OSHUA</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3"/>
          <w:szCs w:val="13"/>
          <w:color w:val="auto"/>
        </w:rPr>
        <w:t>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Name: Joshua Easterly</w:t>
      </w:r>
    </w:p>
    <w:p>
      <w:pPr>
        <w:spacing w:after="0" w:line="36" w:lineRule="exact"/>
        <w:rPr>
          <w:sz w:val="20"/>
          <w:szCs w:val="20"/>
          <w:color w:val="auto"/>
        </w:rPr>
      </w:pPr>
    </w:p>
    <w:p>
      <w:pPr>
        <w:ind w:left="6780"/>
        <w:spacing w:after="0"/>
        <w:tabs>
          <w:tab w:leader="none" w:pos="73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16, 2024</w:t>
      </w:r>
    </w:p>
    <w:p>
      <w:pPr>
        <w:spacing w:after="0" w:line="29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I</w:t>
      </w:r>
      <w:r>
        <w:rPr>
          <w:rFonts w:ascii="Times New Roman" w:cs="Times New Roman" w:eastAsia="Times New Roman" w:hAnsi="Times New Roman"/>
          <w:sz w:val="13"/>
          <w:szCs w:val="13"/>
          <w:color w:val="auto"/>
        </w:rPr>
        <w:t>AN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3"/>
          <w:szCs w:val="13"/>
          <w:color w:val="auto"/>
        </w:rPr>
        <w:t>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Name: Ian Simmonds</w:t>
      </w:r>
    </w:p>
    <w:p>
      <w:pPr>
        <w:spacing w:after="0" w:line="36" w:lineRule="exact"/>
        <w:rPr>
          <w:sz w:val="20"/>
          <w:szCs w:val="20"/>
          <w:color w:val="auto"/>
        </w:rPr>
      </w:pPr>
    </w:p>
    <w:p>
      <w:pPr>
        <w:ind w:left="6780"/>
        <w:spacing w:after="0"/>
        <w:tabs>
          <w:tab w:leader="none" w:pos="73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16, 2024</w:t>
      </w:r>
    </w:p>
    <w:p>
      <w:pPr>
        <w:spacing w:after="0" w:line="22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134" w:name="page135"/>
    <w:bookmarkEnd w:id="1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
      <w:numFmt w:val="bullet"/>
      <w:start w:val="1"/>
    </w:lvl>
  </w:abstractNum>
  <w:abstractNum w:abstractNumId="3">
    <w:nsid w:val="70C6A529"/>
    <w:multiLevelType w:val="hybridMultilevel"/>
    <w:lvl w:ilvl="0">
      <w:lvlJc w:val="left"/>
      <w:lvlText w:val="•"/>
      <w:numFmt w:val="bullet"/>
      <w:start w:val="1"/>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
      <w:numFmt w:val="bullet"/>
      <w:start w:val="1"/>
    </w:lvl>
  </w:abstractNum>
  <w:abstractNum w:abstractNumId="6">
    <w:nsid w:val="4F4EF005"/>
    <w:multiLevelType w:val="hybridMultilevel"/>
    <w:lvl w:ilvl="0">
      <w:lvlJc w:val="left"/>
      <w:lvlText w:val="•"/>
      <w:numFmt w:val="bullet"/>
      <w:start w:val="1"/>
    </w:lvl>
  </w:abstractNum>
  <w:abstractNum w:abstractNumId="7">
    <w:nsid w:val="23F9C13C"/>
    <w:multiLevelType w:val="hybridMultilevel"/>
    <w:lvl w:ilvl="0">
      <w:lvlJc w:val="left"/>
      <w:lvlText w:val="•"/>
      <w:numFmt w:val="bullet"/>
      <w:start w:val="1"/>
    </w:lvl>
  </w:abstractNum>
  <w:abstractNum w:abstractNumId="8">
    <w:nsid w:val="649BB77C"/>
    <w:multiLevelType w:val="hybridMultilevel"/>
    <w:lvl w:ilvl="0">
      <w:lvlJc w:val="left"/>
      <w:lvlText w:val="•"/>
      <w:numFmt w:val="bullet"/>
      <w:start w:val="1"/>
    </w:lvl>
  </w:abstractNum>
  <w:abstractNum w:abstractNumId="9">
    <w:nsid w:val="275AC794"/>
    <w:multiLevelType w:val="hybridMultilevel"/>
    <w:lvl w:ilvl="0">
      <w:lvlJc w:val="left"/>
      <w:lvlText w:val="•"/>
      <w:numFmt w:val="bullet"/>
      <w:start w:val="1"/>
    </w:lvl>
  </w:abstractNum>
  <w:abstractNum w:abstractNumId="10">
    <w:nsid w:val="39386575"/>
    <w:multiLevelType w:val="hybridMultilevel"/>
    <w:lvl w:ilvl="0">
      <w:lvlJc w:val="left"/>
      <w:lvlText w:val="•"/>
      <w:numFmt w:val="bullet"/>
      <w:start w:val="1"/>
    </w:lvl>
  </w:abstractNum>
  <w:abstractNum w:abstractNumId="11">
    <w:nsid w:val="1CF10FD8"/>
    <w:multiLevelType w:val="hybridMultilevel"/>
    <w:lvl w:ilvl="0">
      <w:lvlJc w:val="left"/>
      <w:lvlText w:val="•"/>
      <w:numFmt w:val="bullet"/>
      <w:start w:val="1"/>
    </w:lvl>
  </w:abstractNum>
  <w:abstractNum w:abstractNumId="12">
    <w:nsid w:val="180115BE"/>
    <w:multiLevelType w:val="hybridMultilevel"/>
    <w:lvl w:ilvl="0">
      <w:lvlJc w:val="left"/>
      <w:lvlText w:val="•"/>
      <w:numFmt w:val="bullet"/>
      <w:start w:val="1"/>
    </w:lvl>
  </w:abstractNum>
  <w:abstractNum w:abstractNumId="13">
    <w:nsid w:val="235BA861"/>
    <w:multiLevelType w:val="hybridMultilevel"/>
    <w:lvl w:ilvl="0">
      <w:lvlJc w:val="left"/>
      <w:lvlText w:val="(%1)"/>
      <w:numFmt w:val="decimal"/>
      <w:start w:val="1"/>
    </w:lvl>
  </w:abstractNum>
  <w:abstractNum w:abstractNumId="14">
    <w:nsid w:val="47398C89"/>
    <w:multiLevelType w:val="hybridMultilevel"/>
    <w:lvl w:ilvl="0">
      <w:lvlJc w:val="left"/>
      <w:lvlText w:val="(%1)"/>
      <w:numFmt w:val="decimal"/>
      <w:start w:val="1"/>
    </w:lvl>
  </w:abstractNum>
  <w:abstractNum w:abstractNumId="15">
    <w:nsid w:val="354FE9F9"/>
    <w:multiLevelType w:val="hybridMultilevel"/>
    <w:lvl w:ilvl="0">
      <w:lvlJc w:val="left"/>
      <w:lvlText w:val="(%1)"/>
      <w:numFmt w:val="decimal"/>
      <w:start w:val="1"/>
    </w:lvl>
  </w:abstractNum>
  <w:abstractNum w:abstractNumId="16">
    <w:nsid w:val="15B5AF5C"/>
    <w:multiLevelType w:val="hybridMultilevel"/>
    <w:lvl w:ilvl="0">
      <w:lvlJc w:val="left"/>
      <w:lvlText w:val="(%1)"/>
      <w:numFmt w:val="decimal"/>
      <w:start w:val="1"/>
    </w:lvl>
  </w:abstractNum>
  <w:abstractNum w:abstractNumId="17">
    <w:nsid w:val="741226BB"/>
    <w:multiLevelType w:val="hybridMultilevel"/>
    <w:lvl w:ilvl="0">
      <w:lvlJc w:val="left"/>
      <w:lvlText w:val="(%1)"/>
      <w:numFmt w:val="decimal"/>
      <w:start w:val="1"/>
    </w:lvl>
  </w:abstractNum>
  <w:abstractNum w:abstractNumId="18">
    <w:nsid w:val="D34B6A8"/>
    <w:multiLevelType w:val="hybridMultilevel"/>
    <w:lvl w:ilvl="0">
      <w:lvlJc w:val="left"/>
      <w:lvlText w:val="•"/>
      <w:numFmt w:val="bullet"/>
      <w:start w:val="1"/>
    </w:lvl>
  </w:abstractNum>
  <w:abstractNum w:abstractNumId="19">
    <w:nsid w:val="10233C99"/>
    <w:multiLevelType w:val="hybridMultilevel"/>
    <w:lvl w:ilvl="0">
      <w:lvlJc w:val="left"/>
      <w:lvlText w:val="•"/>
      <w:numFmt w:val="bullet"/>
      <w:start w:val="1"/>
    </w:lvl>
  </w:abstractNum>
  <w:abstractNum w:abstractNumId="20">
    <w:nsid w:val="3F6AB60F"/>
    <w:multiLevelType w:val="hybridMultilevel"/>
    <w:lvl w:ilvl="0">
      <w:lvlJc w:val="left"/>
      <w:lvlText w:val="(%1)"/>
      <w:numFmt w:val="lowerRoman"/>
      <w:start w:val="1"/>
    </w:lvl>
  </w:abstractNum>
  <w:abstractNum w:abstractNumId="21">
    <w:nsid w:val="61574095"/>
    <w:multiLevelType w:val="hybridMultilevel"/>
    <w:lvl w:ilvl="0">
      <w:lvlJc w:val="left"/>
      <w:lvlText w:val="(%1)"/>
      <w:numFmt w:val="lowerRoman"/>
      <w:start w:val="2"/>
    </w:lvl>
  </w:abstractNum>
  <w:abstractNum w:abstractNumId="22">
    <w:nsid w:val="7E0C57B1"/>
    <w:multiLevelType w:val="hybridMultilevel"/>
    <w:lvl w:ilvl="0">
      <w:lvlJc w:val="left"/>
      <w:lvlText w:val="•"/>
      <w:numFmt w:val="bullet"/>
      <w:start w:val="1"/>
    </w:lvl>
  </w:abstractNum>
  <w:abstractNum w:abstractNumId="23">
    <w:nsid w:val="77AE35EB"/>
    <w:multiLevelType w:val="hybridMultilevel"/>
    <w:lvl w:ilvl="0">
      <w:lvlJc w:val="left"/>
      <w:lvlText w:val="•"/>
      <w:numFmt w:val="bullet"/>
      <w:start w:val="1"/>
    </w:lvl>
  </w:abstractNum>
  <w:abstractNum w:abstractNumId="24">
    <w:nsid w:val="579BE4F1"/>
    <w:multiLevelType w:val="hybridMultilevel"/>
    <w:lvl w:ilvl="0">
      <w:lvlJc w:val="left"/>
      <w:lvlText w:val="•"/>
      <w:numFmt w:val="bullet"/>
      <w:start w:val="1"/>
    </w:lvl>
  </w:abstractNum>
  <w:abstractNum w:abstractNumId="25">
    <w:nsid w:val="310C50B3"/>
    <w:multiLevelType w:val="hybridMultilevel"/>
    <w:lvl w:ilvl="0">
      <w:lvlJc w:val="left"/>
      <w:lvlText w:val="•"/>
      <w:numFmt w:val="bullet"/>
      <w:start w:val="1"/>
    </w:lvl>
  </w:abstractNum>
  <w:abstractNum w:abstractNumId="26">
    <w:nsid w:val="5FF87E05"/>
    <w:multiLevelType w:val="hybridMultilevel"/>
    <w:lvl w:ilvl="0">
      <w:lvlJc w:val="left"/>
      <w:lvlText w:val="•"/>
      <w:numFmt w:val="bullet"/>
      <w:start w:val="1"/>
    </w:lvl>
  </w:abstractNum>
  <w:abstractNum w:abstractNumId="27">
    <w:nsid w:val="2F305DE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8">
    <w:nsid w:val="25A70BF7"/>
    <w:multiLevelType w:val="hybridMultilevel"/>
    <w:lvl w:ilvl="0">
      <w:lvlJc w:val="left"/>
      <w:lvlText w:val="•"/>
      <w:numFmt w:val="bullet"/>
      <w:start w:val="1"/>
    </w:lvl>
  </w:abstractNum>
  <w:abstractNum w:abstractNumId="29">
    <w:nsid w:val="1DBABF00"/>
    <w:multiLevelType w:val="hybridMultilevel"/>
    <w:lvl w:ilvl="0">
      <w:lvlJc w:val="left"/>
      <w:lvlText w:val="•"/>
      <w:numFmt w:val="bullet"/>
      <w:start w:val="1"/>
    </w:lvl>
  </w:abstractNum>
  <w:abstractNum w:abstractNumId="30">
    <w:nsid w:val="4AD084E9"/>
    <w:multiLevelType w:val="hybridMultilevel"/>
    <w:lvl w:ilvl="0">
      <w:lvlJc w:val="left"/>
      <w:lvlText w:val="•"/>
      <w:numFmt w:val="bullet"/>
      <w:start w:val="1"/>
    </w:lvl>
  </w:abstractNum>
  <w:abstractNum w:abstractNumId="31">
    <w:nsid w:val="1F48EAA1"/>
    <w:multiLevelType w:val="hybridMultilevel"/>
    <w:lvl w:ilvl="0">
      <w:lvlJc w:val="left"/>
      <w:lvlText w:val="•"/>
      <w:numFmt w:val="bullet"/>
      <w:start w:val="1"/>
    </w:lvl>
  </w:abstractNum>
  <w:abstractNum w:abstractNumId="32">
    <w:nsid w:val="1381823A"/>
    <w:multiLevelType w:val="hybridMultilevel"/>
    <w:lvl w:ilvl="0">
      <w:lvlJc w:val="left"/>
      <w:lvlText w:val="•"/>
      <w:numFmt w:val="bullet"/>
      <w:start w:val="1"/>
    </w:lvl>
  </w:abstractNum>
  <w:abstractNum w:abstractNumId="33">
    <w:nsid w:val="5DB70AE5"/>
    <w:multiLevelType w:val="hybridMultilevel"/>
    <w:lvl w:ilvl="0">
      <w:lvlJc w:val="left"/>
      <w:lvlText w:val="•"/>
      <w:numFmt w:val="bullet"/>
      <w:start w:val="1"/>
    </w:lvl>
  </w:abstractNum>
  <w:abstractNum w:abstractNumId="34">
    <w:nsid w:val="100F8FCA"/>
    <w:multiLevelType w:val="hybridMultilevel"/>
    <w:lvl w:ilvl="0">
      <w:lvlJc w:val="left"/>
      <w:lvlText w:val="•"/>
      <w:numFmt w:val="bullet"/>
      <w:start w:val="1"/>
    </w:lvl>
  </w:abstractNum>
  <w:abstractNum w:abstractNumId="35">
    <w:nsid w:val="6590700B"/>
    <w:multiLevelType w:val="hybridMultilevel"/>
    <w:lvl w:ilvl="0">
      <w:lvlJc w:val="left"/>
      <w:lvlText w:val="•"/>
      <w:numFmt w:val="bullet"/>
      <w:start w:val="1"/>
    </w:lvl>
  </w:abstractNum>
  <w:abstractNum w:abstractNumId="36">
    <w:nsid w:val="15014ACB"/>
    <w:multiLevelType w:val="hybridMultilevel"/>
    <w:lvl w:ilvl="0">
      <w:lvlJc w:val="left"/>
      <w:lvlText w:val="•"/>
      <w:numFmt w:val="bullet"/>
      <w:start w:val="1"/>
    </w:lvl>
  </w:abstractNum>
  <w:abstractNum w:abstractNumId="37">
    <w:nsid w:val="5F5E7FD0"/>
    <w:multiLevelType w:val="hybridMultilevel"/>
    <w:lvl w:ilvl="0">
      <w:lvlJc w:val="left"/>
      <w:lvlText w:val="•"/>
      <w:numFmt w:val="bullet"/>
      <w:start w:val="1"/>
    </w:lvl>
  </w:abstractNum>
  <w:abstractNum w:abstractNumId="38">
    <w:nsid w:val="98A3148"/>
    <w:multiLevelType w:val="hybridMultilevel"/>
    <w:lvl w:ilvl="0">
      <w:lvlJc w:val="left"/>
      <w:lvlText w:val="•"/>
      <w:numFmt w:val="bullet"/>
      <w:start w:val="1"/>
    </w:lvl>
  </w:abstractNum>
  <w:abstractNum w:abstractNumId="39">
    <w:nsid w:val="799D0247"/>
    <w:multiLevelType w:val="hybridMultilevel"/>
    <w:lvl w:ilvl="0">
      <w:lvlJc w:val="left"/>
      <w:lvlText w:val="•"/>
      <w:numFmt w:val="bullet"/>
      <w:start w:val="1"/>
    </w:lvl>
  </w:abstractNum>
  <w:abstractNum w:abstractNumId="40">
    <w:nsid w:val="6B94764"/>
    <w:multiLevelType w:val="hybridMultilevel"/>
    <w:lvl w:ilvl="0">
      <w:lvlJc w:val="left"/>
      <w:lvlText w:val="(%1)"/>
      <w:numFmt w:val="decimal"/>
      <w:start w:val="1"/>
    </w:lvl>
  </w:abstractNum>
  <w:abstractNum w:abstractNumId="41">
    <w:nsid w:val="42C296BD"/>
    <w:multiLevelType w:val="hybridMultilevel"/>
    <w:lvl w:ilvl="0">
      <w:lvlJc w:val="left"/>
      <w:lvlText w:val="•"/>
      <w:numFmt w:val="bullet"/>
      <w:start w:val="1"/>
    </w:lvl>
  </w:abstractNum>
  <w:abstractNum w:abstractNumId="42">
    <w:nsid w:val="168E121F"/>
    <w:multiLevelType w:val="hybridMultilevel"/>
    <w:lvl w:ilvl="0">
      <w:lvlJc w:val="left"/>
      <w:lvlText w:val="•"/>
      <w:numFmt w:val="bullet"/>
      <w:start w:val="1"/>
    </w:lvl>
  </w:abstractNum>
  <w:abstractNum w:abstractNumId="43">
    <w:nsid w:val="1EBA5D23"/>
    <w:multiLevelType w:val="hybridMultilevel"/>
    <w:lvl w:ilvl="0">
      <w:lvlJc w:val="left"/>
      <w:lvlText w:val="•"/>
      <w:numFmt w:val="bullet"/>
      <w:start w:val="1"/>
    </w:lvl>
  </w:abstractNum>
  <w:abstractNum w:abstractNumId="44">
    <w:nsid w:val="661E3F1E"/>
    <w:multiLevelType w:val="hybridMultilevel"/>
    <w:lvl w:ilvl="0">
      <w:lvlJc w:val="left"/>
      <w:lvlText w:val="•"/>
      <w:numFmt w:val="bullet"/>
      <w:start w:val="1"/>
    </w:lvl>
  </w:abstractNum>
  <w:abstractNum w:abstractNumId="45">
    <w:nsid w:val="5DC79EA8"/>
    <w:multiLevelType w:val="hybridMultilevel"/>
    <w:lvl w:ilvl="0">
      <w:lvlJc w:val="left"/>
      <w:lvlText w:val="•"/>
      <w:numFmt w:val="bullet"/>
      <w:start w:val="1"/>
    </w:lvl>
  </w:abstractNum>
  <w:abstractNum w:abstractNumId="46">
    <w:nsid w:val="540A471C"/>
    <w:multiLevelType w:val="hybridMultilevel"/>
    <w:lvl w:ilvl="0">
      <w:lvlJc w:val="left"/>
      <w:lvlText w:val="•"/>
      <w:numFmt w:val="bullet"/>
      <w:start w:val="1"/>
    </w:lvl>
  </w:abstractNum>
  <w:abstractNum w:abstractNumId="47">
    <w:nsid w:val="7BD3EE7B"/>
    <w:multiLevelType w:val="hybridMultilevel"/>
    <w:lvl w:ilvl="0">
      <w:lvlJc w:val="left"/>
      <w:lvlText w:val="•"/>
      <w:numFmt w:val="bullet"/>
      <w:start w:val="1"/>
    </w:lvl>
  </w:abstractNum>
  <w:abstractNum w:abstractNumId="48">
    <w:nsid w:val="51D9C564"/>
    <w:multiLevelType w:val="hybridMultilevel"/>
    <w:lvl w:ilvl="0">
      <w:lvlJc w:val="left"/>
      <w:lvlText w:val="•"/>
      <w:numFmt w:val="bullet"/>
      <w:start w:val="1"/>
    </w:lvl>
  </w:abstractNum>
  <w:abstractNum w:abstractNumId="49">
    <w:nsid w:val="613EFDC5"/>
    <w:multiLevelType w:val="hybridMultilevel"/>
    <w:lvl w:ilvl="0">
      <w:lvlJc w:val="left"/>
      <w:lvlText w:val="•"/>
      <w:numFmt w:val="bullet"/>
      <w:start w:val="1"/>
    </w:lvl>
  </w:abstractNum>
  <w:abstractNum w:abstractNumId="50">
    <w:nsid w:val="BF72B14"/>
    <w:multiLevelType w:val="hybridMultilevel"/>
    <w:lvl w:ilvl="0">
      <w:lvlJc w:val="left"/>
      <w:lvlText w:val="•"/>
      <w:numFmt w:val="bullet"/>
      <w:start w:val="1"/>
    </w:lvl>
  </w:abstractNum>
  <w:abstractNum w:abstractNumId="51">
    <w:nsid w:val="11447B73"/>
    <w:multiLevelType w:val="hybridMultilevel"/>
    <w:lvl w:ilvl="0">
      <w:lvlJc w:val="left"/>
      <w:lvlText w:val="•"/>
      <w:numFmt w:val="bullet"/>
      <w:start w:val="1"/>
    </w:lvl>
  </w:abstractNum>
  <w:abstractNum w:abstractNumId="52">
    <w:nsid w:val="42963E5A"/>
    <w:multiLevelType w:val="hybridMultilevel"/>
    <w:lvl w:ilvl="0">
      <w:lvlJc w:val="left"/>
      <w:lvlText w:val="•"/>
      <w:numFmt w:val="bullet"/>
      <w:start w:val="1"/>
    </w:lvl>
  </w:abstractNum>
  <w:abstractNum w:abstractNumId="53">
    <w:nsid w:val="A0382C5"/>
    <w:multiLevelType w:val="hybridMultilevel"/>
    <w:lvl w:ilvl="0">
      <w:lvlJc w:val="left"/>
      <w:lvlText w:val="•"/>
      <w:numFmt w:val="bullet"/>
      <w:start w:val="1"/>
    </w:lvl>
  </w:abstractNum>
  <w:abstractNum w:abstractNumId="54">
    <w:nsid w:val="8F2B15E"/>
    <w:multiLevelType w:val="hybridMultilevel"/>
    <w:lvl w:ilvl="0">
      <w:lvlJc w:val="left"/>
      <w:lvlText w:val="(%1)"/>
      <w:numFmt w:val="decimal"/>
      <w:start w:val="1"/>
    </w:lvl>
  </w:abstractNum>
  <w:abstractNum w:abstractNumId="55">
    <w:nsid w:val="1A32234B"/>
    <w:multiLevelType w:val="hybridMultilevel"/>
    <w:lvl w:ilvl="0">
      <w:lvlJc w:val="left"/>
      <w:lvlText w:val="•"/>
      <w:numFmt w:val="bullet"/>
      <w:start w:val="1"/>
    </w:lvl>
  </w:abstractNum>
  <w:abstractNum w:abstractNumId="56">
    <w:nsid w:val="3B0FD379"/>
    <w:multiLevelType w:val="hybridMultilevel"/>
    <w:lvl w:ilvl="0">
      <w:lvlJc w:val="left"/>
      <w:lvlText w:val="•"/>
      <w:numFmt w:val="bullet"/>
      <w:start w:val="1"/>
    </w:lvl>
  </w:abstractNum>
  <w:abstractNum w:abstractNumId="57">
    <w:nsid w:val="68EB2F63"/>
    <w:multiLevelType w:val="hybridMultilevel"/>
    <w:lvl w:ilvl="0">
      <w:lvlJc w:val="left"/>
      <w:lvlText w:val="•"/>
      <w:numFmt w:val="bullet"/>
      <w:start w:val="1"/>
    </w:lvl>
  </w:abstractNum>
  <w:abstractNum w:abstractNumId="58">
    <w:nsid w:val="4962813B"/>
    <w:multiLevelType w:val="hybridMultilevel"/>
    <w:lvl w:ilvl="0">
      <w:lvlJc w:val="left"/>
      <w:lvlText w:val="•"/>
      <w:numFmt w:val="bullet"/>
      <w:start w:val="1"/>
    </w:lvl>
  </w:abstractNum>
  <w:abstractNum w:abstractNumId="59">
    <w:nsid w:val="60B6DF70"/>
    <w:multiLevelType w:val="hybridMultilevel"/>
    <w:lvl w:ilvl="0">
      <w:lvlJc w:val="left"/>
      <w:lvlText w:val="(%1)"/>
      <w:numFmt w:val="decimal"/>
      <w:start w:val="1"/>
    </w:lvl>
  </w:abstractNum>
  <w:abstractNum w:abstractNumId="60">
    <w:nsid w:val="6A5EE64"/>
    <w:multiLevelType w:val="hybridMultilevel"/>
    <w:lvl w:ilvl="0">
      <w:lvlJc w:val="left"/>
      <w:lvlText w:val="(%1)"/>
      <w:numFmt w:val="decimal"/>
      <w:start w:val="1"/>
    </w:lvl>
  </w:abstractNum>
  <w:abstractNum w:abstractNumId="61">
    <w:nsid w:val="14330624"/>
    <w:multiLevelType w:val="hybridMultilevel"/>
    <w:lvl w:ilvl="0">
      <w:lvlJc w:val="left"/>
      <w:lvlText w:val="(%1)"/>
      <w:numFmt w:val="decimal"/>
      <w:start w:val="1"/>
    </w:lvl>
  </w:abstractNum>
  <w:abstractNum w:abstractNumId="62">
    <w:nsid w:val="7FFFCA11"/>
    <w:multiLevelType w:val="hybridMultilevel"/>
    <w:lvl w:ilvl="0">
      <w:lvlJc w:val="left"/>
      <w:lvlText w:val="(%1)"/>
      <w:numFmt w:val="decimal"/>
      <w:start w:val="1"/>
    </w:lvl>
  </w:abstractNum>
  <w:abstractNum w:abstractNumId="63">
    <w:nsid w:val="1A27709E"/>
    <w:multiLevelType w:val="hybridMultilevel"/>
    <w:lvl w:ilvl="0">
      <w:lvlJc w:val="left"/>
      <w:lvlText w:val="•"/>
      <w:numFmt w:val="bullet"/>
      <w:start w:val="1"/>
    </w:lvl>
  </w:abstractNum>
  <w:abstractNum w:abstractNumId="64">
    <w:nsid w:val="71EA1109"/>
    <w:multiLevelType w:val="hybridMultilevel"/>
    <w:lvl w:ilvl="0">
      <w:lvlJc w:val="left"/>
      <w:lvlText w:val="•"/>
      <w:numFmt w:val="bullet"/>
      <w:start w:val="1"/>
    </w:lvl>
  </w:abstractNum>
  <w:abstractNum w:abstractNumId="65">
    <w:nsid w:val="100F59DC"/>
    <w:multiLevelType w:val="hybridMultilevel"/>
    <w:lvl w:ilvl="0">
      <w:lvlJc w:val="left"/>
      <w:lvlText w:val="•"/>
      <w:numFmt w:val="bullet"/>
      <w:start w:val="1"/>
    </w:lvl>
  </w:abstractNum>
  <w:abstractNum w:abstractNumId="66">
    <w:nsid w:val="7FB7E0AA"/>
    <w:multiLevelType w:val="hybridMultilevel"/>
    <w:lvl w:ilvl="0">
      <w:lvlJc w:val="left"/>
      <w:lvlText w:val="•"/>
      <w:numFmt w:val="bullet"/>
      <w:start w:val="1"/>
    </w:lvl>
  </w:abstractNum>
  <w:abstractNum w:abstractNumId="67">
    <w:nsid w:val="6EB5BD4"/>
    <w:multiLevelType w:val="hybridMultilevel"/>
    <w:lvl w:ilvl="0">
      <w:lvlJc w:val="left"/>
      <w:lvlText w:val="•"/>
      <w:numFmt w:val="bullet"/>
      <w:start w:val="1"/>
    </w:lvl>
  </w:abstractNum>
  <w:abstractNum w:abstractNumId="68">
    <w:nsid w:val="6F6DD9AC"/>
    <w:multiLevelType w:val="hybridMultilevel"/>
    <w:lvl w:ilvl="0">
      <w:lvlJc w:val="left"/>
      <w:lvlText w:val="•"/>
      <w:numFmt w:val="bullet"/>
      <w:start w:val="1"/>
    </w:lvl>
  </w:abstractNum>
  <w:abstractNum w:abstractNumId="69">
    <w:nsid w:val="94211F2"/>
    <w:multiLevelType w:val="hybridMultilevel"/>
    <w:lvl w:ilvl="0">
      <w:lvlJc w:val="left"/>
      <w:lvlText w:val="(%1)"/>
      <w:numFmt w:val="decimal"/>
      <w:start w:val="1"/>
    </w:lvl>
  </w:abstractNum>
  <w:abstractNum w:abstractNumId="70">
    <w:nsid w:val="885E1B"/>
    <w:multiLevelType w:val="hybridMultilevel"/>
    <w:lvl w:ilvl="0">
      <w:lvlJc w:val="left"/>
      <w:lvlText w:val="(%1)"/>
      <w:numFmt w:val="decimal"/>
      <w:start w:val="1"/>
    </w:lvl>
  </w:abstractNum>
  <w:abstractNum w:abstractNumId="71">
    <w:nsid w:val="76272110"/>
    <w:multiLevelType w:val="hybridMultilevel"/>
    <w:lvl w:ilvl="0">
      <w:lvlJc w:val="left"/>
      <w:lvlText w:val="(%1)"/>
      <w:numFmt w:val="decimal"/>
      <w:start w:val="2"/>
    </w:lvl>
  </w:abstractNum>
  <w:abstractNum w:abstractNumId="72">
    <w:nsid w:val="4C04A8AF"/>
    <w:multiLevelType w:val="hybridMultilevel"/>
    <w:lvl w:ilvl="0">
      <w:lvlJc w:val="left"/>
      <w:lvlText w:val="(%1)"/>
      <w:numFmt w:val="decimal"/>
      <w:start w:val="1"/>
    </w:lvl>
  </w:abstractNum>
  <w:abstractNum w:abstractNumId="73">
    <w:nsid w:val="1716703B"/>
    <w:multiLevelType w:val="hybridMultilevel"/>
    <w:lvl w:ilvl="0">
      <w:lvlJc w:val="left"/>
      <w:lvlText w:val="(%1)"/>
      <w:numFmt w:val="decimal"/>
      <w:start w:val="3"/>
    </w:lvl>
  </w:abstractNum>
  <w:abstractNum w:abstractNumId="74">
    <w:nsid w:val="14E17E33"/>
    <w:multiLevelType w:val="hybridMultilevel"/>
    <w:lvl w:ilvl="0">
      <w:lvlJc w:val="left"/>
      <w:lvlText w:val="•"/>
      <w:numFmt w:val="bullet"/>
      <w:start w:val="1"/>
    </w:lvl>
  </w:abstractNum>
  <w:abstractNum w:abstractNumId="75">
    <w:nsid w:val="3222E7CD"/>
    <w:multiLevelType w:val="hybridMultilevel"/>
    <w:lvl w:ilvl="0">
      <w:lvlJc w:val="left"/>
      <w:lvlText w:val="•"/>
      <w:numFmt w:val="bullet"/>
      <w:start w:val="1"/>
    </w:lvl>
  </w:abstractNum>
  <w:abstractNum w:abstractNumId="76">
    <w:nsid w:val="74DE0EE3"/>
    <w:multiLevelType w:val="hybridMultilevel"/>
    <w:lvl w:ilvl="0">
      <w:lvlJc w:val="left"/>
      <w:lvlText w:val="•"/>
      <w:numFmt w:val="bullet"/>
      <w:start w:val="1"/>
    </w:lvl>
  </w:abstractNum>
  <w:abstractNum w:abstractNumId="77">
    <w:nsid w:val="68EBC550"/>
    <w:multiLevelType w:val="hybridMultilevel"/>
    <w:lvl w:ilvl="0">
      <w:lvlJc w:val="left"/>
      <w:lvlText w:val="(%1)"/>
      <w:numFmt w:val="lowerRoman"/>
      <w:start w:val="1"/>
    </w:lvl>
  </w:abstractNum>
  <w:abstractNum w:abstractNumId="78">
    <w:nsid w:val="2DF6D648"/>
    <w:multiLevelType w:val="hybridMultilevel"/>
    <w:lvl w:ilvl="0">
      <w:lvlJc w:val="left"/>
      <w:lvlText w:val="(%1)"/>
      <w:numFmt w:val="decimal"/>
      <w:start w:val="1"/>
    </w:lvl>
  </w:abstractNum>
  <w:abstractNum w:abstractNumId="79">
    <w:nsid w:val="46B7D447"/>
    <w:multiLevelType w:val="hybridMultilevel"/>
    <w:lvl w:ilvl="0">
      <w:lvlJc w:val="left"/>
      <w:lvlText w:val="$"/>
      <w:numFmt w:val="bullet"/>
      <w:start w:val="1"/>
    </w:lvl>
  </w:abstractNum>
  <w:abstractNum w:abstractNumId="80">
    <w:nsid w:val="4A2AC315"/>
    <w:multiLevelType w:val="hybridMultilevel"/>
    <w:lvl w:ilvl="0">
      <w:lvlJc w:val="left"/>
      <w:lvlText w:val="(%1)"/>
      <w:numFmt w:val="decimal"/>
      <w:start w:val="1"/>
    </w:lvl>
  </w:abstractNum>
  <w:abstractNum w:abstractNumId="81">
    <w:nsid w:val="39EE015C"/>
    <w:multiLevelType w:val="hybridMultilevel"/>
    <w:lvl w:ilvl="0">
      <w:lvlJc w:val="left"/>
      <w:lvlText w:val="•"/>
      <w:numFmt w:val="bullet"/>
      <w:start w:val="1"/>
    </w:lvl>
  </w:abstractNum>
  <w:abstractNum w:abstractNumId="82">
    <w:nsid w:val="57FC4FBB"/>
    <w:multiLevelType w:val="hybridMultilevel"/>
    <w:lvl w:ilvl="0">
      <w:lvlJc w:val="left"/>
      <w:lvlText w:val="(%1)"/>
      <w:numFmt w:val="decimal"/>
      <w:start w:val="1"/>
    </w:lvl>
  </w:abstractNum>
  <w:abstractNum w:abstractNumId="83">
    <w:nsid w:val="CC1016F"/>
    <w:multiLevelType w:val="hybridMultilevel"/>
    <w:lvl w:ilvl="0">
      <w:lvlJc w:val="left"/>
      <w:lvlText w:val="(%1)"/>
      <w:numFmt w:val="decimal"/>
      <w:start w:val="1"/>
    </w:lvl>
  </w:abstractNum>
  <w:abstractNum w:abstractNumId="84">
    <w:nsid w:val="43F18422"/>
    <w:multiLevelType w:val="hybridMultilevel"/>
    <w:lvl w:ilvl="0">
      <w:lvlJc w:val="left"/>
      <w:lvlText w:val="(%1)"/>
      <w:numFmt w:val="decimal"/>
      <w:start w:val="1"/>
    </w:lvl>
  </w:abstractNum>
  <w:abstractNum w:abstractNumId="85">
    <w:nsid w:val="60EF0119"/>
    <w:multiLevelType w:val="hybridMultilevel"/>
    <w:lvl w:ilvl="0">
      <w:lvlJc w:val="left"/>
      <w:lvlText w:val="%1."/>
      <w:numFmt w:val="decimal"/>
      <w:start w:val="10"/>
    </w:lvl>
  </w:abstractNum>
  <w:abstractNum w:abstractNumId="86">
    <w:nsid w:val="26F324BA"/>
    <w:multiLevelType w:val="hybridMultilevel"/>
    <w:lvl w:ilvl="0">
      <w:lvlJc w:val="left"/>
      <w:lvlText w:val="%1."/>
      <w:numFmt w:val="decimal"/>
      <w:start w:val="11"/>
    </w:lvl>
  </w:abstractNum>
  <w:abstractNum w:abstractNumId="87">
    <w:nsid w:val="7F01579B"/>
    <w:multiLevelType w:val="hybridMultilevel"/>
    <w:lvl w:ilvl="0">
      <w:lvlJc w:val="left"/>
      <w:lvlText w:val="(%1)"/>
      <w:numFmt w:val="decimal"/>
      <w:start w:val="1"/>
    </w:lvl>
  </w:abstractNum>
  <w:abstractNum w:abstractNumId="88">
    <w:nsid w:val="49DA307D"/>
    <w:multiLevelType w:val="hybridMultilevel"/>
    <w:lvl w:ilvl="0">
      <w:lvlJc w:val="left"/>
      <w:lvlText w:val="(%1)"/>
      <w:numFmt w:val="decimal"/>
      <w:start w:val="1"/>
    </w:lvl>
  </w:abstractNum>
  <w:abstractNum w:abstractNumId="89">
    <w:nsid w:val="7055A5F5"/>
    <w:multiLevelType w:val="hybridMultilevel"/>
    <w:lvl w:ilvl="0">
      <w:lvlJc w:val="left"/>
      <w:lvlText w:val="(%1)"/>
      <w:numFmt w:val="decimal"/>
      <w:start w:val="1"/>
    </w:lvl>
  </w:abstractNum>
  <w:abstractNum w:abstractNumId="90">
    <w:nsid w:val="5FB8370B"/>
    <w:multiLevelType w:val="hybridMultilevel"/>
    <w:lvl w:ilvl="0">
      <w:lvlJc w:val="left"/>
      <w:lvlText w:val="•"/>
      <w:numFmt w:val="bullet"/>
      <w:start w:val="1"/>
    </w:lvl>
  </w:abstractNum>
  <w:abstractNum w:abstractNumId="91">
    <w:nsid w:val="50801EE1"/>
    <w:multiLevelType w:val="hybridMultilevel"/>
    <w:lvl w:ilvl="0">
      <w:lvlJc w:val="left"/>
      <w:lvlText w:val="•"/>
      <w:numFmt w:val="bullet"/>
      <w:start w:val="1"/>
    </w:lvl>
  </w:abstractNum>
  <w:abstractNum w:abstractNumId="92">
    <w:nsid w:val="488AC1A"/>
    <w:multiLevelType w:val="hybridMultilevel"/>
    <w:lvl w:ilvl="0">
      <w:lvlJc w:val="left"/>
      <w:lvlText w:val="•"/>
      <w:numFmt w:val="bullet"/>
      <w:start w:val="1"/>
    </w:lvl>
  </w:abstractNum>
  <w:abstractNum w:abstractNumId="93">
    <w:nsid w:val="5FB8011C"/>
    <w:multiLevelType w:val="hybridMultilevel"/>
    <w:lvl w:ilvl="0">
      <w:lvlJc w:val="left"/>
      <w:lvlText w:val="•"/>
      <w:numFmt w:val="bullet"/>
      <w:start w:val="1"/>
    </w:lvl>
  </w:abstractNum>
  <w:abstractNum w:abstractNumId="94">
    <w:nsid w:val="6AA78F7F"/>
    <w:multiLevelType w:val="hybridMultilevel"/>
    <w:lvl w:ilvl="0">
      <w:lvlJc w:val="left"/>
      <w:lvlText w:val="(%1)"/>
      <w:numFmt w:val="lowerLetter"/>
      <w:start w:val="2"/>
    </w:lvl>
    <w:lvl w:ilvl="1">
      <w:lvlJc w:val="left"/>
      <w:lvlText w:val="•"/>
      <w:numFmt w:val="bullet"/>
      <w:start w:val="1"/>
    </w:lvl>
  </w:abstractNum>
  <w:abstractNum w:abstractNumId="95">
    <w:nsid w:val="7672BD23"/>
    <w:multiLevelType w:val="hybridMultilevel"/>
    <w:lvl w:ilvl="0">
      <w:lvlJc w:val="left"/>
      <w:lvlText w:val="(%1)"/>
      <w:numFmt w:val="decimal"/>
      <w:start w:val="1"/>
    </w:lvl>
  </w:abstractNum>
  <w:abstractNum w:abstractNumId="96">
    <w:nsid w:val="6FC75AF8"/>
    <w:multiLevelType w:val="hybridMultilevel"/>
    <w:lvl w:ilvl="0">
      <w:lvlJc w:val="left"/>
      <w:lvlText w:val="(%1)"/>
      <w:numFmt w:val="decimal"/>
      <w:start w:val="1"/>
    </w:lvl>
  </w:abstractNum>
  <w:abstractNum w:abstractNumId="97">
    <w:nsid w:val="6A5F7029"/>
    <w:multiLevelType w:val="hybridMultilevel"/>
    <w:lvl w:ilvl="0">
      <w:lvlJc w:val="left"/>
      <w:lvlText w:val="%1"/>
      <w:numFmt w:val="decimal"/>
      <w:start w:val="32"/>
    </w:lvl>
  </w:abstractNum>
  <w:abstractNum w:abstractNumId="98">
    <w:nsid w:val="7D5E18F8"/>
    <w:multiLevelType w:val="hybridMultilevel"/>
    <w:lvl w:ilvl="0">
      <w:lvlJc w:val="left"/>
      <w:lvlText w:val="%1"/>
      <w:numFmt w:val="decimal"/>
      <w:start w:val="104"/>
    </w:lvl>
  </w:abstractNum>
  <w:abstractNum w:abstractNumId="99">
    <w:nsid w:val="5F3534A4"/>
    <w:multiLevelType w:val="hybridMultilevel"/>
    <w:lvl w:ilvl="0">
      <w:lvlJc w:val="left"/>
      <w:lvlText w:val="(%1)"/>
      <w:numFmt w:val="decimal"/>
      <w:start w:val="1"/>
    </w:lvl>
    <w:lvl w:ilvl="1">
      <w:lvlJc w:val="left"/>
      <w:lvlText w:val="(%2)"/>
      <w:numFmt w:val="lowerLetter"/>
      <w:start w:val="1"/>
    </w:lvl>
  </w:abstractNum>
  <w:abstractNum w:abstractNumId="100">
    <w:nsid w:val="73A1821B"/>
    <w:multiLevelType w:val="hybridMultilevel"/>
    <w:lvl w:ilvl="0">
      <w:lvlJc w:val="left"/>
      <w:lvlText w:val="(%1)"/>
      <w:numFmt w:val="decimal"/>
      <w:start w:val="1"/>
    </w:lvl>
    <w:lvl w:ilvl="1">
      <w:lvlJc w:val="left"/>
      <w:lvlText w:val="(%2)"/>
      <w:numFmt w:val="lowerLetter"/>
      <w:start w:val="1"/>
    </w:lvl>
  </w:abstractNum>
  <w:abstractNum w:abstractNumId="101">
    <w:nsid w:val="7DE6771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3" Type="http://schemas.openxmlformats.org/officeDocument/2006/relationships/image" Target="media/image483.png"/><Relationship Id="rId494" Type="http://schemas.openxmlformats.org/officeDocument/2006/relationships/image" Target="media/image484.png"/><Relationship Id="rId506" Type="http://schemas.openxmlformats.org/officeDocument/2006/relationships/image" Target="media/image485.png"/><Relationship Id="rId507" Type="http://schemas.openxmlformats.org/officeDocument/2006/relationships/image" Target="media/image486.png"/><Relationship Id="rId508" Type="http://schemas.openxmlformats.org/officeDocument/2006/relationships/image" Target="media/image487.png"/><Relationship Id="rId509" Type="http://schemas.openxmlformats.org/officeDocument/2006/relationships/image" Target="media/image488.png"/><Relationship Id="rId510" Type="http://schemas.openxmlformats.org/officeDocument/2006/relationships/image" Target="media/image489.png"/><Relationship Id="rId511" Type="http://schemas.openxmlformats.org/officeDocument/2006/relationships/image" Target="media/image490.png"/><Relationship Id="rId512" Type="http://schemas.openxmlformats.org/officeDocument/2006/relationships/image" Target="media/image491.png"/><Relationship Id="rId513" Type="http://schemas.openxmlformats.org/officeDocument/2006/relationships/image" Target="media/image492.png"/><Relationship Id="rId514" Type="http://schemas.openxmlformats.org/officeDocument/2006/relationships/image" Target="media/image493.png"/><Relationship Id="rId515" Type="http://schemas.openxmlformats.org/officeDocument/2006/relationships/image" Target="media/image494.png"/><Relationship Id="rId516" Type="http://schemas.openxmlformats.org/officeDocument/2006/relationships/image" Target="media/image495.png"/><Relationship Id="rId517" Type="http://schemas.openxmlformats.org/officeDocument/2006/relationships/image" Target="media/image496.png"/><Relationship Id="rId518" Type="http://schemas.openxmlformats.org/officeDocument/2006/relationships/image" Target="media/image497.png"/><Relationship Id="rId519" Type="http://schemas.openxmlformats.org/officeDocument/2006/relationships/image" Target="media/image498.png"/><Relationship Id="rId520" Type="http://schemas.openxmlformats.org/officeDocument/2006/relationships/image" Target="media/image499.png"/><Relationship Id="rId521" Type="http://schemas.openxmlformats.org/officeDocument/2006/relationships/image" Target="media/image500.png"/><Relationship Id="rId522" Type="http://schemas.openxmlformats.org/officeDocument/2006/relationships/image" Target="media/image501.png"/><Relationship Id="rId523" Type="http://schemas.openxmlformats.org/officeDocument/2006/relationships/image" Target="media/image502.png"/><Relationship Id="rId524" Type="http://schemas.openxmlformats.org/officeDocument/2006/relationships/image" Target="media/image503.png"/><Relationship Id="rId525" Type="http://schemas.openxmlformats.org/officeDocument/2006/relationships/image" Target="media/image504.png"/><Relationship Id="rId526" Type="http://schemas.openxmlformats.org/officeDocument/2006/relationships/image" Target="media/image505.png"/><Relationship Id="rId490" Type="http://schemas.openxmlformats.org/officeDocument/2006/relationships/hyperlink" Target="https://www.sec.gov/Archives/edgar/data/1925309/000119312522226504/d260658dex31.htm" TargetMode="External"/><Relationship Id="rId491" Type="http://schemas.openxmlformats.org/officeDocument/2006/relationships/hyperlink" Target="https://www.sec.gov/Archives/edgar/data/1925309/000119312522183512/d260658dex32.htm" TargetMode="External"/><Relationship Id="rId492" Type="http://schemas.openxmlformats.org/officeDocument/2006/relationships/hyperlink" Target="https://www.sec.gov/Archives/edgar/data/1925309/000119312522183512/d260658dex41.htm" TargetMode="External"/><Relationship Id="rId495" Type="http://schemas.openxmlformats.org/officeDocument/2006/relationships/hyperlink" Target="https://www.sec.gov/Archives/edgar/data/1925309/000119312522183512/d260658dex101.htm" TargetMode="External"/><Relationship Id="rId496" Type="http://schemas.openxmlformats.org/officeDocument/2006/relationships/hyperlink" Target="https://www.sec.gov/Archives/edgar/data/1925309/000119312522183512/d260658dex102.htm" TargetMode="External"/><Relationship Id="rId497" Type="http://schemas.openxmlformats.org/officeDocument/2006/relationships/hyperlink" Target="https://www.sec.gov/Archives/edgar/data/1925309/000119312522183512/d260658dex103.htm" TargetMode="External"/><Relationship Id="rId498" Type="http://schemas.openxmlformats.org/officeDocument/2006/relationships/hyperlink" Target="https://www.sec.gov/Archives/edgar/data/1925309/000119312522183512/d260658dex104.htm" TargetMode="External"/><Relationship Id="rId499" Type="http://schemas.openxmlformats.org/officeDocument/2006/relationships/hyperlink" Target="https://www.sec.gov/Archives/edgar/data/1925309/000119312522183512/d260658dex105.htm" TargetMode="External"/><Relationship Id="rId500" Type="http://schemas.openxmlformats.org/officeDocument/2006/relationships/hyperlink" Target="https://www.sec.gov/Archives/edgar/data/1925309/000119312522226504/d260658dex106.htm" TargetMode="External"/><Relationship Id="rId501" Type="http://schemas.openxmlformats.org/officeDocument/2006/relationships/hyperlink" Target="https://www.sec.gov/Archives/edgar/data/1925309/000119312522239007/d304088dex101.htm" TargetMode="External"/><Relationship Id="rId502" Type="http://schemas.openxmlformats.org/officeDocument/2006/relationships/hyperlink" Target="https://www.sec.gov/Archives/edgar/data/1925309/000119312522311034/d413255dex101.htm" TargetMode="External"/><Relationship Id="rId503" Type="http://schemas.openxmlformats.org/officeDocument/2006/relationships/hyperlink" Target="https://www.sec.gov/Archives/edgar/data/1925309/000119312523014261/d426575dex101.htm" TargetMode="External"/><Relationship Id="rId504" Type="http://schemas.openxmlformats.org/officeDocument/2006/relationships/hyperlink" Target="https://www.sec.gov/Archives/edgar/data/1925309/000119312522183512/d260658dex141.htm" TargetMode="External"/><Relationship Id="rId505" Type="http://schemas.openxmlformats.org/officeDocument/2006/relationships/hyperlink" Target="https://www.sec.gov/Archives/edgar/data/1925309/000119312522183512/d260658dex1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2024-02-16T15:21:07Z</dcterms:created>
  <dcterms:modified xsi:type="dcterms:W3CDTF">2024-02-16T15:21:07Z</dcterms:modified>
</cp:coreProperties>
</file>