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Sixth Street Lending Partners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shares of beneficial interest, par value $0.001 per share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August 31, 2022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left="120" w:right="1819" w:hanging="104"/>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1380" w:hanging="529"/>
        <w:spacing w:after="0"/>
        <w:tabs>
          <w:tab w:leader="none" w:pos="1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1" w:lineRule="exact"/>
        <w:rPr>
          <w:sz w:val="24"/>
          <w:szCs w:val="24"/>
          <w:color w:val="auto"/>
        </w:rPr>
      </w:pPr>
    </w:p>
    <w:p>
      <w:pPr>
        <w:ind w:left="1160" w:hanging="309"/>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spacing w:after="0" w:line="201"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1" w:lineRule="exact"/>
        <w:rPr>
          <w:sz w:val="24"/>
          <w:szCs w:val="24"/>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Names of Reporting Persons: State of Michigan Retirement System</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3</w:t>
      </w:r>
    </w:p>
    <w:p>
      <w:pPr>
        <w:spacing w:after="0"/>
        <w:rPr>
          <w:sz w:val="20"/>
          <w:szCs w:val="20"/>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Michigan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Sole Voting Power</w:t>
      </w:r>
    </w:p>
    <w:p>
      <w:pPr>
        <w:spacing w:after="0" w:line="37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5,405,827*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Shared Voting Power</w:t>
      </w:r>
    </w:p>
    <w:p>
      <w:pPr>
        <w:spacing w:after="0" w:line="37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Sole Dispositive Power</w:t>
      </w:r>
    </w:p>
    <w:p>
      <w:pPr>
        <w:spacing w:after="0" w:line="37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5,405,827*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Shared Dispositive Power</w:t>
      </w:r>
    </w:p>
    <w:p>
      <w:pPr>
        <w:sectPr>
          <w:pgSz w:w="11900" w:h="16854" w:orient="portrait"/>
          <w:cols w:equalWidth="0" w:num="1">
            <w:col w:w="10139"/>
          </w:cols>
          <w:pgMar w:left="320" w:top="218" w:right="1440" w:bottom="0" w:gutter="0" w:footer="0" w:header="0"/>
        </w:sectPr>
      </w:pPr>
    </w:p>
    <w:bookmarkStart w:id="1" w:name="page2"/>
    <w:bookmarkEnd w:id="1"/>
    <w:p>
      <w:pPr>
        <w:spacing w:after="0" w:line="7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5,405,827*</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ind w:right="2439"/>
        <w:spacing w:after="0" w:line="309"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50"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24.70%*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EP</w:t>
      </w:r>
    </w:p>
    <w:p>
      <w:pPr>
        <w:spacing w:after="0" w:line="31" w:lineRule="exact"/>
        <w:rPr>
          <w:sz w:val="20"/>
          <w:szCs w:val="20"/>
          <w:color w:val="auto"/>
        </w:rPr>
      </w:pPr>
    </w:p>
    <w:p>
      <w:pPr>
        <w:ind w:right="5399" w:firstLine="8"/>
        <w:spacing w:after="0" w:line="45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ownership as of December 31, 2022. Explanatory Note</w:t>
      </w:r>
    </w:p>
    <w:p>
      <w:pPr>
        <w:spacing w:after="0" w:line="1" w:lineRule="exact"/>
        <w:rPr>
          <w:sz w:val="20"/>
          <w:szCs w:val="20"/>
          <w:color w:val="auto"/>
        </w:rPr>
      </w:pPr>
    </w:p>
    <w:p>
      <w:pPr>
        <w:ind w:right="1819"/>
        <w:spacing w:after="0" w:line="243" w:lineRule="auto"/>
        <w:rPr>
          <w:sz w:val="20"/>
          <w:szCs w:val="20"/>
          <w:color w:val="auto"/>
        </w:rPr>
      </w:pPr>
      <w:r>
        <w:rPr>
          <w:rFonts w:ascii="Courier New" w:cs="Courier New" w:eastAsia="Courier New" w:hAnsi="Courier New"/>
          <w:sz w:val="18"/>
          <w:szCs w:val="18"/>
          <w:color w:val="auto"/>
        </w:rPr>
        <w:t>Reporting Person's ownership of Common Shares (defined below) first resulted in beneficial ownership representing more than five percent of the outstanding Common Shares on August 31, 2022, at which date, Reporting Person beneficially owned 958,083 Common Shares representing 43.41% of the outstanding Common Shares, based on 2,205,694 Common Shares outstanding on such date. The information presented in this Schedule 13G reflects ownership as of December 31, 2022.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Sixth Street Lending Partners</w:t>
      </w:r>
    </w:p>
    <w:p>
      <w:pPr>
        <w:ind w:left="120" w:right="1919" w:hanging="112"/>
        <w:spacing w:after="0" w:line="309" w:lineRule="auto"/>
        <w:tabs>
          <w:tab w:leader="none" w:pos="8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2100 McKinney Avenue, Suite 1500, Dallas, TX 75201</w:t>
      </w:r>
    </w:p>
    <w:p>
      <w:pPr>
        <w:spacing w:after="0" w:line="50"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State of Michigan Retirement System</w:t>
      </w:r>
    </w:p>
    <w:p>
      <w:pPr>
        <w:spacing w:after="0" w:line="30" w:lineRule="exact"/>
        <w:rPr>
          <w:rFonts w:ascii="Courier New" w:cs="Courier New" w:eastAsia="Courier New" w:hAnsi="Courier New"/>
          <w:sz w:val="18"/>
          <w:szCs w:val="18"/>
          <w:color w:val="auto"/>
        </w:rPr>
      </w:pPr>
    </w:p>
    <w:p>
      <w:pPr>
        <w:ind w:left="120" w:right="1819" w:hanging="112"/>
        <w:spacing w:after="0" w:line="309" w:lineRule="auto"/>
        <w:tabs>
          <w:tab w:leader="none" w:pos="43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2501 Coolidge Road Suite 400 East Lansing, MI 48823</w:t>
      </w:r>
    </w:p>
    <w:p>
      <w:pPr>
        <w:spacing w:after="0" w:line="50" w:lineRule="exact"/>
        <w:rPr>
          <w:sz w:val="20"/>
          <w:szCs w:val="20"/>
          <w:color w:val="auto"/>
        </w:rPr>
      </w:pPr>
    </w:p>
    <w:p>
      <w:pPr>
        <w:ind w:left="120" w:right="2119" w:hanging="112"/>
        <w:spacing w:after="0" w:line="257"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shares of beneficial interest, par value $0.001 per share (the "Common Shares")</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N/A</w:t>
      </w: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9"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Broker or dealer registered under Section 15 of the Act;</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Insurance company as defined in Section 3(a)(19) of the Act;</w:t>
      </w:r>
    </w:p>
    <w:p>
      <w:pPr>
        <w:ind w:left="120" w:right="1819" w:hanging="112"/>
        <w:spacing w:after="0" w:line="238"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An investment adviser in accordance with Rule 13d-1(b)(1)(ii)(E);</w:t>
      </w:r>
    </w:p>
    <w:p>
      <w:pPr>
        <w:ind w:right="2019" w:firstLine="8"/>
        <w:spacing w:after="0" w:line="238"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[x_] An employee benefit plan or endowment fund in accordance with Rule 13d-1(b)(1)(ii)(F);</w:t>
      </w:r>
    </w:p>
    <w:p>
      <w:pPr>
        <w:ind w:right="2019" w:firstLine="8"/>
        <w:spacing w:after="0" w:line="238"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ind w:left="120" w:right="1699" w:hanging="112"/>
        <w:spacing w:after="0" w:line="238"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ind w:right="2339" w:firstLine="8"/>
        <w:spacing w:after="0" w:line="238"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 non-U.S. institution in accordance with Rule 240.13d-1(b)(1)(ii)(J);</w:t>
      </w:r>
    </w:p>
    <w:p>
      <w:pPr>
        <w:ind w:right="1179" w:firstLine="8"/>
        <w:spacing w:after="0" w:line="238"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240.13d-1(b)(1)(ii)(K). If filing as a non-U.S. institution in accordance with Rule 240.13d-1(b)(1)(ii)(J), please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specify the type of institution: ____</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169" w:lineRule="exact"/>
        <w:rPr>
          <w:sz w:val="20"/>
          <w:szCs w:val="20"/>
          <w:color w:val="auto"/>
        </w:rPr>
      </w:pPr>
    </w:p>
    <w:p>
      <w:pPr>
        <w:ind w:left="860" w:hanging="747"/>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24.70%</w:t>
      </w:r>
    </w:p>
    <w:p>
      <w:pPr>
        <w:spacing w:after="0" w:line="30" w:lineRule="exact"/>
        <w:rPr>
          <w:rFonts w:ascii="Courier New" w:cs="Courier New" w:eastAsia="Courier New" w:hAnsi="Courier New"/>
          <w:sz w:val="18"/>
          <w:szCs w:val="18"/>
          <w:color w:val="auto"/>
        </w:rPr>
      </w:pPr>
    </w:p>
    <w:p>
      <w:pPr>
        <w:ind w:left="860" w:hanging="747"/>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line="238" w:lineRule="auto"/>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5,405,827</w:t>
      </w:r>
    </w:p>
    <w:p>
      <w:pPr>
        <w:ind w:left="1700" w:hanging="849"/>
        <w:spacing w:after="0" w:line="238" w:lineRule="auto"/>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640" w:hanging="632"/>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5,405,827</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 w:lineRule="exact"/>
        <w:rPr>
          <w:sz w:val="20"/>
          <w:szCs w:val="20"/>
          <w:color w:val="auto"/>
        </w:rPr>
      </w:pPr>
    </w:p>
    <w:p>
      <w:pPr>
        <w:ind w:right="1919"/>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 w:lineRule="exact"/>
        <w:rPr>
          <w:sz w:val="20"/>
          <w:szCs w:val="20"/>
          <w:color w:val="auto"/>
        </w:rPr>
      </w:pPr>
    </w:p>
    <w:p>
      <w:pPr>
        <w:ind w:right="2119"/>
        <w:spacing w:after="0" w:line="238" w:lineRule="auto"/>
        <w:rPr>
          <w:sz w:val="20"/>
          <w:szCs w:val="20"/>
          <w:color w:val="auto"/>
        </w:rPr>
      </w:pPr>
      <w:r>
        <w:rPr>
          <w:rFonts w:ascii="Courier New" w:cs="Courier New" w:eastAsia="Courier New" w:hAnsi="Courier New"/>
          <w:sz w:val="18"/>
          <w:szCs w:val="18"/>
          <w:color w:val="auto"/>
        </w:rPr>
        <w:t>Item 6. Ownership of more than Five Percent on Behalf of Another Person. Not applicable.</w:t>
      </w:r>
    </w:p>
    <w:p>
      <w:pPr>
        <w:spacing w:after="0" w:line="1" w:lineRule="exact"/>
        <w:rPr>
          <w:sz w:val="20"/>
          <w:szCs w:val="20"/>
          <w:color w:val="auto"/>
        </w:rPr>
      </w:pPr>
    </w:p>
    <w:p>
      <w:pPr>
        <w:ind w:right="1819"/>
        <w:spacing w:after="0" w:line="377"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 or control person. The</w:t>
      </w:r>
    </w:p>
    <w:p>
      <w:pPr>
        <w:sectPr>
          <w:pgSz w:w="11900" w:h="16909" w:orient="portrait"/>
          <w:cols w:equalWidth="0" w:num="1">
            <w:col w:w="10139"/>
          </w:cols>
          <w:pgMar w:left="320" w:top="515" w:right="1440" w:bottom="0" w:gutter="0" w:footer="0" w:header="0"/>
        </w:sectPr>
      </w:pPr>
    </w:p>
    <w:bookmarkStart w:id="2" w:name="page3"/>
    <w:bookmarkEnd w:id="2"/>
    <w:p>
      <w:pPr>
        <w:ind w:left="120" w:right="1819"/>
        <w:spacing w:after="0" w:line="273" w:lineRule="auto"/>
        <w:rPr>
          <w:sz w:val="20"/>
          <w:szCs w:val="20"/>
          <w:color w:val="auto"/>
        </w:rPr>
      </w:pPr>
      <w:r>
        <w:rPr>
          <w:rFonts w:ascii="Courier New" w:cs="Courier New" w:eastAsia="Courier New" w:hAnsi="Courier New"/>
          <w:sz w:val="16"/>
          <w:szCs w:val="16"/>
          <w:color w:val="auto"/>
        </w:rPr>
        <w:t>security was acquired by the State of Michigan Retirement System (the SMRS). The Michigan Department of Treasury, Bureau of Investments is delegated as the investment fiduciary of the SMRS. See Executive Organization Act of 1965, 1965 PA 380, MCL 16.191, and MCL 38.1176. Investments are made in accordance with the parameters and limitations set forth in the Public Employee Retirement System Investment Act, 1965 PA 314, MCL 38.1132 et seq; MCL 16.191 and also in accordance with the Investment Policy Statement for the State of Michigan Retirement System, last revised November 27, 2018.</w:t>
      </w:r>
    </w:p>
    <w:p>
      <w:pPr>
        <w:spacing w:after="0" w:line="3"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ind w:left="860"/>
        <w:spacing w:after="0" w:line="238" w:lineRule="auto"/>
        <w:rPr>
          <w:sz w:val="20"/>
          <w:szCs w:val="20"/>
          <w:color w:val="auto"/>
        </w:rPr>
      </w:pPr>
      <w:r>
        <w:rPr>
          <w:rFonts w:ascii="Courier New" w:cs="Courier New" w:eastAsia="Courier New" w:hAnsi="Courier New"/>
          <w:sz w:val="18"/>
          <w:szCs w:val="18"/>
          <w:color w:val="auto"/>
        </w:rPr>
        <w:t>The Reporting Person hereby makes the following certification:</w:t>
      </w:r>
    </w:p>
    <w:p>
      <w:pPr>
        <w:ind w:left="860"/>
        <w:spacing w:after="0"/>
        <w:rPr>
          <w:sz w:val="20"/>
          <w:szCs w:val="20"/>
          <w:color w:val="auto"/>
        </w:rPr>
      </w:pPr>
      <w:r>
        <w:rPr>
          <w:rFonts w:ascii="Courier New" w:cs="Courier New" w:eastAsia="Courier New" w:hAnsi="Courier New"/>
          <w:sz w:val="18"/>
          <w:szCs w:val="18"/>
          <w:color w:val="auto"/>
        </w:rPr>
        <w:t>By signing below the undersigned certifies that, to the best of its</w:t>
      </w:r>
    </w:p>
    <w:p>
      <w:pPr>
        <w:ind w:right="1919"/>
        <w:spacing w:after="0" w:line="256" w:lineRule="auto"/>
        <w:rPr>
          <w:sz w:val="20"/>
          <w:szCs w:val="20"/>
          <w:color w:val="auto"/>
        </w:rPr>
      </w:pPr>
      <w:r>
        <w:rPr>
          <w:rFonts w:ascii="Courier New" w:cs="Courier New" w:eastAsia="Courier New" w:hAnsi="Courier New"/>
          <w:sz w:val="18"/>
          <w:szCs w:val="18"/>
          <w:color w:val="auto"/>
        </w:rPr>
        <w:t>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right="1919"/>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11, 2023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Michigan Retirement System</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Karl Borgquist</w:t>
      </w:r>
    </w:p>
    <w:p>
      <w:pPr>
        <w:spacing w:after="0" w:line="238" w:lineRule="auto"/>
        <w:rPr>
          <w:sz w:val="20"/>
          <w:szCs w:val="20"/>
          <w:color w:val="auto"/>
        </w:rPr>
      </w:pPr>
      <w:r>
        <w:rPr>
          <w:rFonts w:ascii="Courier New" w:cs="Courier New" w:eastAsia="Courier New" w:hAnsi="Courier New"/>
          <w:sz w:val="18"/>
          <w:szCs w:val="18"/>
          <w:color w:val="auto"/>
        </w:rPr>
        <w:t>Name: Karl Borgquist</w:t>
      </w:r>
    </w:p>
    <w:p>
      <w:pPr>
        <w:spacing w:after="0" w:line="238" w:lineRule="auto"/>
        <w:rPr>
          <w:sz w:val="20"/>
          <w:szCs w:val="20"/>
          <w:color w:val="auto"/>
        </w:rPr>
      </w:pPr>
      <w:r>
        <w:rPr>
          <w:rFonts w:ascii="Courier New" w:cs="Courier New" w:eastAsia="Courier New" w:hAnsi="Courier New"/>
          <w:sz w:val="18"/>
          <w:szCs w:val="18"/>
          <w:color w:val="auto"/>
        </w:rPr>
        <w:t>Title: Chief Compliance Officer &amp; General Counsel</w:t>
      </w:r>
    </w:p>
    <w:p>
      <w:pPr>
        <w:spacing w:after="0" w:line="1"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3" w:lineRule="exact"/>
        <w:rPr>
          <w:sz w:val="20"/>
          <w:szCs w:val="20"/>
          <w:color w:val="auto"/>
        </w:rPr>
      </w:pPr>
    </w:p>
    <w:p>
      <w:pPr>
        <w:ind w:left="120" w:right="2019" w:hanging="104"/>
        <w:spacing w:after="0" w:line="309" w:lineRule="auto"/>
        <w:rPr>
          <w:sz w:val="20"/>
          <w:szCs w:val="20"/>
          <w:color w:val="auto"/>
        </w:rPr>
      </w:pPr>
      <w:r>
        <w:rPr>
          <w:rFonts w:ascii="Courier New" w:cs="Courier New" w:eastAsia="Courier New" w:hAnsi="Courier New"/>
          <w:sz w:val="18"/>
          <w:szCs w:val="18"/>
          <w:color w:val="auto"/>
        </w:rPr>
        <w:t>Attention:</w:t>
      </w:r>
      <w:r>
        <w:rPr>
          <w:sz w:val="20"/>
          <w:szCs w:val="20"/>
          <w:color w:val="auto"/>
        </w:rPr>
        <w:t xml:space="preserve"> </w:t>
      </w:r>
      <w:r>
        <w:rPr>
          <w:rFonts w:ascii="Courier New" w:cs="Courier New" w:eastAsia="Courier New" w:hAnsi="Courier New"/>
          <w:sz w:val="18"/>
          <w:szCs w:val="18"/>
          <w:color w:val="auto"/>
        </w:rPr>
        <w:t>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2"/>
    </w:lvl>
    <w:lvl w:ilvl="1">
      <w:lvlJc w:val="left"/>
      <w:lvlText w:val="(%2)"/>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2023-01-11T14:57:12Z</dcterms:created>
  <dcterms:modified xsi:type="dcterms:W3CDTF">2023-01-11T14:57:12Z</dcterms:modified>
</cp:coreProperties>
</file>