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-233680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-617220</wp:posOffset>
            </wp:positionV>
            <wp:extent cx="57785" cy="630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0555"/>
                    </a:xfrm>
                    <a:prstGeom prst="rect">
                      <a:avLst/>
                    </a:prstGeom>
                    <a:noFill/>
                  </pic:spPr>
                </pic:pic>
              </a:graphicData>
            </a:graphic>
          </wp:anchor>
        </w:drawing>
        <w:drawing>
          <wp:anchor simplePos="0" relativeHeight="251657728" behindDoc="1" locked="0" layoutInCell="0" allowOverlap="1">
            <wp:simplePos x="0" y="0"/>
            <wp:positionH relativeFrom="column">
              <wp:posOffset>3960495</wp:posOffset>
            </wp:positionH>
            <wp:positionV relativeFrom="paragraph">
              <wp:posOffset>-617220</wp:posOffset>
            </wp:positionV>
            <wp:extent cx="57785" cy="6305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055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7047230" cy="48177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81774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19"/>
          <w:szCs w:val="19"/>
          <w:u w:val="single" w:color="auto"/>
          <w:color w:val="0000EE"/>
        </w:rPr>
      </w:pPr>
      <w:hyperlink r:id="rId12">
        <w:r>
          <w:rPr>
            <w:rFonts w:ascii="Arial" w:cs="Arial" w:eastAsia="Arial" w:hAnsi="Arial"/>
            <w:sz w:val="19"/>
            <w:szCs w:val="19"/>
            <w:u w:val="single" w:color="auto"/>
            <w:color w:val="0000EE"/>
          </w:rPr>
          <w:t>Public Institution for Social Security</w:t>
        </w:r>
      </w:hyperlink>
    </w:p>
    <w:p>
      <w:pPr>
        <w:spacing w:after="0" w:line="31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P.O. BOX 24324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18"/>
          <w:szCs w:val="18"/>
          <w:color w:val="0000EE"/>
        </w:rPr>
      </w:pPr>
      <w:hyperlink r:id="rId13">
        <w:r>
          <w:rPr>
            <w:rFonts w:ascii="Arial" w:cs="Arial" w:eastAsia="Arial" w:hAnsi="Arial"/>
            <w:sz w:val="18"/>
            <w:szCs w:val="18"/>
            <w:u w:val="single" w:color="auto"/>
            <w:color w:val="0000EE"/>
          </w:rPr>
          <w:t>Sixth Street Lending Partners</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NONE</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30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03/21/2023</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80" w:firstLine="6"/>
        <w:spacing w:after="0" w:line="234"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p>
      <w:pPr>
        <w:ind w:left="514"/>
        <w:spacing w:after="0"/>
        <w:tabs>
          <w:tab w:leader="none" w:pos="1754" w:val="left"/>
          <w:tab w:leader="none" w:pos="207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2"/>
          <w:szCs w:val="12"/>
          <w:color w:val="auto"/>
        </w:rPr>
        <w:t>10% Owner</w:t>
      </w:r>
    </w:p>
    <w:p>
      <w:pPr>
        <w:spacing w:after="0" w:line="57"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14"/>
        <w:spacing w:after="0"/>
        <w:tabs>
          <w:tab w:leader="none" w:pos="207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87" w:lineRule="exact"/>
        <w:rPr>
          <w:sz w:val="24"/>
          <w:szCs w:val="24"/>
          <w:color w:val="auto"/>
        </w:rPr>
      </w:pPr>
    </w:p>
    <w:p>
      <w:pPr>
        <w:sectPr>
          <w:pgSz w:w="11900" w:h="16838" w:orient="portrait"/>
          <w:cols w:equalWidth="0" w:num="3">
            <w:col w:w="3180" w:space="720"/>
            <w:col w:w="3140" w:space="686"/>
            <w:col w:w="3354"/>
          </w:cols>
          <w:pgMar w:left="460" w:top="220" w:right="359" w:bottom="1440" w:gutter="0" w:footer="0" w:header="0"/>
          <w:type w:val="continuous"/>
        </w:sectPr>
      </w:pPr>
    </w:p>
    <w:p>
      <w:pPr>
        <w:spacing w:after="0" w:line="238"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Arial" w:cs="Arial" w:eastAsia="Arial" w:hAnsi="Arial"/>
                <w:sz w:val="17"/>
                <w:szCs w:val="17"/>
                <w:color w:val="0000FF"/>
                <w:w w:val="99"/>
              </w:rPr>
              <w:t>SAFAT 13104</w:t>
            </w:r>
          </w:p>
        </w:tc>
        <w:tc>
          <w:tcPr>
            <w:tcW w:w="940" w:type="dxa"/>
            <w:vAlign w:val="bottom"/>
          </w:tcPr>
          <w:p>
            <w:pPr>
              <w:ind w:left="140"/>
              <w:spacing w:after="0"/>
              <w:rPr>
                <w:sz w:val="20"/>
                <w:szCs w:val="20"/>
                <w:color w:val="auto"/>
              </w:rPr>
            </w:pPr>
            <w:r>
              <w:rPr>
                <w:rFonts w:ascii="Arial" w:cs="Arial" w:eastAsia="Arial" w:hAnsi="Arial"/>
                <w:sz w:val="17"/>
                <w:szCs w:val="17"/>
                <w:color w:val="0000FF"/>
              </w:rPr>
              <w:t>M6</w:t>
            </w:r>
          </w:p>
        </w:tc>
        <w:tc>
          <w:tcPr>
            <w:tcW w:w="1600" w:type="dxa"/>
            <w:vAlign w:val="bottom"/>
          </w:tcPr>
          <w:p>
            <w:pPr>
              <w:spacing w:after="0"/>
              <w:rPr>
                <w:sz w:val="19"/>
                <w:szCs w:val="19"/>
                <w:color w:val="auto"/>
              </w:rPr>
            </w:pPr>
          </w:p>
        </w:tc>
      </w:tr>
      <w:tr>
        <w:trPr>
          <w:trHeight w:val="148"/>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2"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67" w:lineRule="exact"/>
        <w:rPr>
          <w:sz w:val="24"/>
          <w:szCs w:val="24"/>
          <w:color w:val="auto"/>
        </w:rPr>
      </w:pPr>
    </w:p>
    <w:p>
      <w:pPr>
        <w:sectPr>
          <w:pgSz w:w="11900" w:h="16838" w:orient="portrait"/>
          <w:cols w:equalWidth="0" w:num="2">
            <w:col w:w="3740" w:space="160"/>
            <w:col w:w="718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40" w:type="dxa"/>
            <w:vAlign w:val="bottom"/>
          </w:tcPr>
          <w:p>
            <w:pPr>
              <w:spacing w:after="0"/>
              <w:rPr>
                <w:sz w:val="13"/>
                <w:szCs w:val="13"/>
                <w:color w:val="auto"/>
              </w:rPr>
            </w:pP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9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60" w:type="dxa"/>
            <w:vAlign w:val="bottom"/>
            <w:gridSpan w:val="6"/>
          </w:tcPr>
          <w:p>
            <w:pPr>
              <w:ind w:left="6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8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8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300" w:type="dxa"/>
            <w:vAlign w:val="bottom"/>
          </w:tcPr>
          <w:p>
            <w:pPr>
              <w:spacing w:after="0"/>
              <w:rPr>
                <w:sz w:val="11"/>
                <w:szCs w:val="11"/>
                <w:color w:val="auto"/>
              </w:rPr>
            </w:pPr>
          </w:p>
        </w:tc>
        <w:tc>
          <w:tcPr>
            <w:tcW w:w="360" w:type="dxa"/>
            <w:vAlign w:val="bottom"/>
          </w:tcPr>
          <w:p>
            <w:pPr>
              <w:ind w:left="40"/>
              <w:spacing w:after="0"/>
              <w:rPr>
                <w:sz w:val="20"/>
                <w:szCs w:val="20"/>
                <w:color w:val="auto"/>
              </w:rPr>
            </w:pPr>
            <w:r>
              <w:rPr>
                <w:rFonts w:ascii="Arial" w:cs="Arial" w:eastAsia="Arial" w:hAnsi="Arial"/>
                <w:sz w:val="11"/>
                <w:szCs w:val="11"/>
                <w:b w:val="1"/>
                <w:bCs w:val="1"/>
                <w:color w:val="auto"/>
              </w:rPr>
              <w:t>(A) or</w:t>
            </w:r>
          </w:p>
        </w:tc>
        <w:tc>
          <w:tcPr>
            <w:tcW w:w="68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240" w:type="dxa"/>
            <w:vAlign w:val="bottom"/>
            <w:tcBorders>
              <w:bottom w:val="single" w:sz="8" w:color="2C2C2C"/>
            </w:tcBorders>
            <w:gridSpan w:val="4"/>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240" w:type="dxa"/>
            <w:vAlign w:val="bottom"/>
            <w:gridSpan w:val="4"/>
          </w:tcPr>
          <w:p>
            <w:pPr>
              <w:ind w:left="60"/>
              <w:spacing w:after="0"/>
              <w:rPr>
                <w:sz w:val="20"/>
                <w:szCs w:val="20"/>
                <w:color w:val="auto"/>
              </w:rPr>
            </w:pPr>
            <w:r>
              <w:rPr>
                <w:rFonts w:ascii="Arial" w:cs="Arial" w:eastAsia="Arial" w:hAnsi="Arial"/>
                <w:sz w:val="17"/>
                <w:szCs w:val="17"/>
                <w:color w:val="0000FF"/>
              </w:rPr>
              <w:t>Common shares of beneficial interest, par</w:t>
            </w:r>
          </w:p>
        </w:tc>
        <w:tc>
          <w:tcPr>
            <w:tcW w:w="1080" w:type="dxa"/>
            <w:vAlign w:val="bottom"/>
            <w:gridSpan w:val="2"/>
            <w:vMerge w:val="restart"/>
          </w:tcPr>
          <w:p>
            <w:pPr>
              <w:jc w:val="right"/>
              <w:ind w:right="104"/>
              <w:spacing w:after="0"/>
              <w:rPr>
                <w:sz w:val="20"/>
                <w:szCs w:val="20"/>
                <w:color w:val="auto"/>
              </w:rPr>
            </w:pPr>
            <w:r>
              <w:rPr>
                <w:rFonts w:ascii="Arial" w:cs="Arial" w:eastAsia="Arial" w:hAnsi="Arial"/>
                <w:sz w:val="17"/>
                <w:szCs w:val="17"/>
                <w:color w:val="0000FF"/>
              </w:rPr>
              <w:t>03/21/2023</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vMerge w:val="restart"/>
          </w:tcPr>
          <w:p>
            <w:pPr>
              <w:ind w:left="100"/>
              <w:spacing w:after="0"/>
              <w:rPr>
                <w:sz w:val="20"/>
                <w:szCs w:val="20"/>
                <w:color w:val="auto"/>
              </w:rPr>
            </w:pPr>
            <w:r>
              <w:rPr>
                <w:rFonts w:ascii="Arial" w:cs="Arial" w:eastAsia="Arial" w:hAnsi="Arial"/>
                <w:sz w:val="25"/>
                <w:szCs w:val="25"/>
                <w:color w:val="0000FF"/>
                <w:vertAlign w:val="subscript"/>
              </w:rPr>
              <w:t>X</w:t>
            </w:r>
            <w:r>
              <w:rPr>
                <w:rFonts w:ascii="Arial" w:cs="Arial" w:eastAsia="Arial" w:hAnsi="Arial"/>
                <w:sz w:val="11"/>
                <w:szCs w:val="11"/>
                <w:color w:val="008000"/>
              </w:rPr>
              <w:t>(1)</w:t>
            </w:r>
          </w:p>
        </w:tc>
        <w:tc>
          <w:tcPr>
            <w:tcW w:w="1000" w:type="dxa"/>
            <w:vAlign w:val="bottom"/>
            <w:gridSpan w:val="2"/>
            <w:vMerge w:val="restart"/>
          </w:tcPr>
          <w:p>
            <w:pPr>
              <w:ind w:left="280"/>
              <w:spacing w:after="0"/>
              <w:rPr>
                <w:sz w:val="20"/>
                <w:szCs w:val="20"/>
                <w:color w:val="auto"/>
              </w:rPr>
            </w:pPr>
            <w:r>
              <w:rPr>
                <w:rFonts w:ascii="Arial" w:cs="Arial" w:eastAsia="Arial" w:hAnsi="Arial"/>
                <w:sz w:val="17"/>
                <w:szCs w:val="17"/>
                <w:color w:val="0000FF"/>
              </w:rPr>
              <w:t>681,976</w:t>
            </w:r>
          </w:p>
        </w:tc>
        <w:tc>
          <w:tcPr>
            <w:tcW w:w="360" w:type="dxa"/>
            <w:vAlign w:val="bottom"/>
            <w:vMerge w:val="restart"/>
          </w:tcPr>
          <w:p>
            <w:pPr>
              <w:ind w:left="160"/>
              <w:spacing w:after="0"/>
              <w:rPr>
                <w:sz w:val="20"/>
                <w:szCs w:val="20"/>
                <w:color w:val="auto"/>
              </w:rPr>
            </w:pPr>
            <w:r>
              <w:rPr>
                <w:rFonts w:ascii="Arial" w:cs="Arial" w:eastAsia="Arial" w:hAnsi="Arial"/>
                <w:sz w:val="17"/>
                <w:szCs w:val="17"/>
                <w:color w:val="0000FF"/>
              </w:rPr>
              <w:t>A</w:t>
            </w:r>
          </w:p>
        </w:tc>
        <w:tc>
          <w:tcPr>
            <w:tcW w:w="680" w:type="dxa"/>
            <w:vAlign w:val="bottom"/>
            <w:gridSpan w:val="2"/>
            <w:vMerge w:val="restart"/>
          </w:tcPr>
          <w:p>
            <w:pPr>
              <w:ind w:left="20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25.91</w:t>
            </w:r>
          </w:p>
        </w:tc>
        <w:tc>
          <w:tcPr>
            <w:tcW w:w="1260" w:type="dxa"/>
            <w:vAlign w:val="bottom"/>
            <w:gridSpan w:val="3"/>
            <w:vMerge w:val="restart"/>
          </w:tcPr>
          <w:p>
            <w:pPr>
              <w:ind w:left="320"/>
              <w:spacing w:after="0"/>
              <w:rPr>
                <w:sz w:val="20"/>
                <w:szCs w:val="20"/>
                <w:color w:val="auto"/>
              </w:rPr>
            </w:pPr>
            <w:r>
              <w:rPr>
                <w:rFonts w:ascii="Arial" w:cs="Arial" w:eastAsia="Arial" w:hAnsi="Arial"/>
                <w:sz w:val="17"/>
                <w:szCs w:val="17"/>
                <w:color w:val="0000FF"/>
              </w:rPr>
              <w:t>5,006,638</w:t>
            </w:r>
          </w:p>
        </w:tc>
        <w:tc>
          <w:tcPr>
            <w:tcW w:w="260" w:type="dxa"/>
            <w:vAlign w:val="bottom"/>
          </w:tcPr>
          <w:p>
            <w:pPr>
              <w:spacing w:after="0"/>
              <w:rPr>
                <w:sz w:val="21"/>
                <w:szCs w:val="21"/>
                <w:color w:val="auto"/>
              </w:rPr>
            </w:pPr>
          </w:p>
        </w:tc>
        <w:tc>
          <w:tcPr>
            <w:tcW w:w="680" w:type="dxa"/>
            <w:vAlign w:val="bottom"/>
            <w:vMerge w:val="restart"/>
          </w:tcPr>
          <w:p>
            <w:pPr>
              <w:ind w:left="40"/>
              <w:spacing w:after="0"/>
              <w:rPr>
                <w:sz w:val="20"/>
                <w:szCs w:val="20"/>
                <w:color w:val="auto"/>
              </w:rPr>
            </w:pPr>
            <w:r>
              <w:rPr>
                <w:rFonts w:ascii="Arial" w:cs="Arial" w:eastAsia="Arial" w:hAnsi="Arial"/>
                <w:sz w:val="33"/>
                <w:szCs w:val="33"/>
                <w:color w:val="0000FF"/>
                <w:vertAlign w:val="subscript"/>
              </w:rPr>
              <w:t>D</w:t>
            </w:r>
            <w:r>
              <w:rPr>
                <w:rFonts w:ascii="Arial" w:cs="Arial" w:eastAsia="Arial" w:hAnsi="Arial"/>
                <w:sz w:val="11"/>
                <w:szCs w:val="11"/>
                <w:color w:val="008000"/>
              </w:rPr>
              <w:t>(2)</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40" w:type="dxa"/>
            <w:vAlign w:val="bottom"/>
            <w:gridSpan w:val="2"/>
            <w:vMerge w:val="restart"/>
          </w:tcPr>
          <w:p>
            <w:pPr>
              <w:ind w:left="60"/>
              <w:spacing w:after="0"/>
              <w:rPr>
                <w:sz w:val="20"/>
                <w:szCs w:val="20"/>
                <w:color w:val="auto"/>
              </w:rPr>
            </w:pPr>
            <w:r>
              <w:rPr>
                <w:rFonts w:ascii="Arial" w:cs="Arial" w:eastAsia="Arial" w:hAnsi="Arial"/>
                <w:sz w:val="17"/>
                <w:szCs w:val="17"/>
                <w:color w:val="0000FF"/>
              </w:rPr>
              <w:t>value $0.001</w:t>
            </w: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10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jc w:val="center"/>
              <w:ind w:right="14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0" w:type="dxa"/>
            <w:vAlign w:val="bottom"/>
            <w:gridSpan w:val="10"/>
          </w:tcPr>
          <w:p>
            <w:pPr>
              <w:jc w:val="center"/>
              <w:ind w:right="240"/>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3"/>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34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500" w:type="dxa"/>
            <w:vAlign w:val="bottom"/>
            <w:gridSpan w:val="4"/>
          </w:tcPr>
          <w:p>
            <w:pPr>
              <w:ind w:left="10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Underlying Derivative</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Security (Instr. 3 and</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4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300" w:type="dxa"/>
            <w:vAlign w:val="bottom"/>
          </w:tcPr>
          <w:p>
            <w:pPr>
              <w:ind w:left="60"/>
              <w:spacing w:after="0"/>
              <w:rPr>
                <w:sz w:val="20"/>
                <w:szCs w:val="20"/>
                <w:color w:val="auto"/>
              </w:rPr>
            </w:pPr>
            <w:r>
              <w:rPr>
                <w:rFonts w:ascii="Arial" w:cs="Arial" w:eastAsia="Arial" w:hAnsi="Arial"/>
                <w:sz w:val="11"/>
                <w:szCs w:val="11"/>
                <w:b w:val="1"/>
                <w:bCs w:val="1"/>
                <w:color w:val="auto"/>
                <w:w w:val="97"/>
              </w:rPr>
              <w:t>Title</w:t>
            </w:r>
          </w:p>
        </w:tc>
        <w:tc>
          <w:tcPr>
            <w:tcW w:w="360" w:type="dxa"/>
            <w:vAlign w:val="bottom"/>
          </w:tcPr>
          <w:p>
            <w:pPr>
              <w:spacing w:after="0"/>
              <w:rPr>
                <w:sz w:val="13"/>
                <w:szCs w:val="13"/>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of 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gridSpan w:val="2"/>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gridSpan w:val="2"/>
          </w:tcPr>
          <w:p>
            <w:pPr>
              <w:ind w:left="80"/>
              <w:spacing w:after="0" w:line="140" w:lineRule="exact"/>
              <w:rPr>
                <w:sz w:val="20"/>
                <w:szCs w:val="20"/>
                <w:color w:val="auto"/>
              </w:rPr>
            </w:pPr>
            <w:r>
              <w:rPr>
                <w:rFonts w:ascii="Arial" w:cs="Arial" w:eastAsia="Arial" w:hAnsi="Arial"/>
                <w:sz w:val="13"/>
                <w:szCs w:val="13"/>
                <w:color w:val="0000FF"/>
              </w:rPr>
              <w:t>shares of</w:t>
            </w: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Obligation</w:t>
            </w:r>
          </w:p>
        </w:tc>
        <w:tc>
          <w:tcPr>
            <w:tcW w:w="760" w:type="dxa"/>
            <w:vAlign w:val="bottom"/>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25.91</w:t>
            </w:r>
          </w:p>
        </w:tc>
        <w:tc>
          <w:tcPr>
            <w:tcW w:w="1060" w:type="dxa"/>
            <w:vAlign w:val="bottom"/>
          </w:tcPr>
          <w:p>
            <w:pPr>
              <w:jc w:val="right"/>
              <w:ind w:right="181"/>
              <w:spacing w:after="0"/>
              <w:rPr>
                <w:sz w:val="20"/>
                <w:szCs w:val="20"/>
                <w:color w:val="auto"/>
              </w:rPr>
            </w:pPr>
            <w:r>
              <w:rPr>
                <w:rFonts w:ascii="Arial" w:cs="Arial" w:eastAsia="Arial" w:hAnsi="Arial"/>
                <w:sz w:val="13"/>
                <w:szCs w:val="13"/>
                <w:color w:val="0000FF"/>
              </w:rPr>
              <w:t>03/21/2023</w:t>
            </w: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jc w:val="center"/>
              <w:ind w:right="264"/>
              <w:spacing w:after="0" w:line="199" w:lineRule="exact"/>
              <w:rPr>
                <w:sz w:val="20"/>
                <w:szCs w:val="20"/>
                <w:color w:val="auto"/>
              </w:rPr>
            </w:pPr>
            <w:r>
              <w:rPr>
                <w:rFonts w:ascii="Arial" w:cs="Arial" w:eastAsia="Arial" w:hAnsi="Arial"/>
                <w:sz w:val="23"/>
                <w:szCs w:val="23"/>
                <w:color w:val="0000FF"/>
                <w:w w:val="97"/>
                <w:vertAlign w:val="subscript"/>
              </w:rPr>
              <w:t>X</w:t>
            </w:r>
            <w:r>
              <w:rPr>
                <w:rFonts w:ascii="Arial" w:cs="Arial" w:eastAsia="Arial" w:hAnsi="Arial"/>
                <w:sz w:val="10"/>
                <w:szCs w:val="10"/>
                <w:color w:val="008000"/>
                <w:w w:val="97"/>
              </w:rPr>
              <w:t>(1)</w:t>
            </w:r>
          </w:p>
        </w:tc>
        <w:tc>
          <w:tcPr>
            <w:tcW w:w="940" w:type="dxa"/>
            <w:vAlign w:val="bottom"/>
          </w:tcPr>
          <w:p>
            <w:pPr>
              <w:ind w:left="420"/>
              <w:spacing w:after="0"/>
              <w:rPr>
                <w:sz w:val="20"/>
                <w:szCs w:val="20"/>
                <w:color w:val="auto"/>
              </w:rPr>
            </w:pPr>
            <w:r>
              <w:rPr>
                <w:rFonts w:ascii="Arial" w:cs="Arial" w:eastAsia="Arial" w:hAnsi="Arial"/>
                <w:sz w:val="13"/>
                <w:szCs w:val="13"/>
                <w:color w:val="0000FF"/>
              </w:rPr>
              <w:t>681,976</w:t>
            </w:r>
          </w:p>
        </w:tc>
        <w:tc>
          <w:tcPr>
            <w:tcW w:w="74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tcPr>
          <w:p>
            <w:pPr>
              <w:ind w:left="280"/>
              <w:spacing w:after="0"/>
              <w:rPr>
                <w:sz w:val="20"/>
                <w:szCs w:val="20"/>
                <w:color w:val="auto"/>
              </w:rPr>
            </w:pPr>
            <w:r>
              <w:rPr>
                <w:rFonts w:ascii="Arial" w:cs="Arial" w:eastAsia="Arial" w:hAnsi="Arial"/>
                <w:sz w:val="11"/>
                <w:szCs w:val="11"/>
                <w:color w:val="008000"/>
              </w:rPr>
              <w:t>(1)</w:t>
            </w: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beneficial</w:t>
            </w:r>
          </w:p>
        </w:tc>
        <w:tc>
          <w:tcPr>
            <w:tcW w:w="640" w:type="dxa"/>
            <w:vAlign w:val="bottom"/>
          </w:tcPr>
          <w:p>
            <w:pPr>
              <w:ind w:left="40"/>
              <w:spacing w:after="0"/>
              <w:rPr>
                <w:sz w:val="20"/>
                <w:szCs w:val="20"/>
                <w:color w:val="auto"/>
              </w:rPr>
            </w:pPr>
            <w:r>
              <w:rPr>
                <w:rFonts w:ascii="Arial" w:cs="Arial" w:eastAsia="Arial" w:hAnsi="Arial"/>
                <w:sz w:val="17"/>
                <w:szCs w:val="17"/>
                <w:color w:val="0000FF"/>
                <w:w w:val="94"/>
              </w:rPr>
              <w:t>681,976</w:t>
            </w:r>
          </w:p>
        </w:tc>
        <w:tc>
          <w:tcPr>
            <w:tcW w:w="40" w:type="dxa"/>
            <w:vAlign w:val="bottom"/>
          </w:tcPr>
          <w:p>
            <w:pPr>
              <w:spacing w:after="0"/>
              <w:rPr>
                <w:sz w:val="17"/>
                <w:szCs w:val="17"/>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008000"/>
              </w:rPr>
              <w:t>(1)</w:t>
            </w:r>
          </w:p>
        </w:tc>
        <w:tc>
          <w:tcPr>
            <w:tcW w:w="560" w:type="dxa"/>
            <w:vAlign w:val="bottom"/>
          </w:tcPr>
          <w:p>
            <w:pPr>
              <w:ind w:left="360"/>
              <w:spacing w:after="0"/>
              <w:rPr>
                <w:sz w:val="20"/>
                <w:szCs w:val="20"/>
                <w:color w:val="auto"/>
              </w:rPr>
            </w:pPr>
            <w:r>
              <w:rPr>
                <w:rFonts w:ascii="Arial" w:cs="Arial" w:eastAsia="Arial" w:hAnsi="Arial"/>
                <w:sz w:val="13"/>
                <w:szCs w:val="13"/>
                <w:color w:val="0000FF"/>
              </w:rPr>
              <w:t>0</w:t>
            </w:r>
          </w:p>
        </w:tc>
        <w:tc>
          <w:tcPr>
            <w:tcW w:w="260" w:type="dxa"/>
            <w:vAlign w:val="bottom"/>
          </w:tcPr>
          <w:p>
            <w:pPr>
              <w:spacing w:after="0"/>
              <w:rPr>
                <w:sz w:val="17"/>
                <w:szCs w:val="17"/>
                <w:color w:val="auto"/>
              </w:rPr>
            </w:pPr>
          </w:p>
        </w:tc>
        <w:tc>
          <w:tcPr>
            <w:tcW w:w="680" w:type="dxa"/>
            <w:vAlign w:val="bottom"/>
          </w:tcPr>
          <w:p>
            <w:pPr>
              <w:ind w:left="300"/>
              <w:spacing w:after="0" w:line="199" w:lineRule="exact"/>
              <w:rPr>
                <w:sz w:val="20"/>
                <w:szCs w:val="20"/>
                <w:color w:val="auto"/>
              </w:rPr>
            </w:pPr>
            <w:r>
              <w:rPr>
                <w:rFonts w:ascii="Arial" w:cs="Arial" w:eastAsia="Arial" w:hAnsi="Arial"/>
                <w:sz w:val="23"/>
                <w:szCs w:val="23"/>
                <w:color w:val="0000FF"/>
                <w:vertAlign w:val="subscript"/>
              </w:rPr>
              <w:t>D</w:t>
            </w:r>
            <w:r>
              <w:rPr>
                <w:rFonts w:ascii="Arial" w:cs="Arial" w:eastAsia="Arial" w:hAnsi="Arial"/>
                <w:sz w:val="10"/>
                <w:szCs w:val="10"/>
                <w:color w:val="008000"/>
              </w:rPr>
              <w:t>(2)</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0" w:lineRule="exact"/>
              <w:rPr>
                <w:sz w:val="20"/>
                <w:szCs w:val="20"/>
                <w:color w:val="auto"/>
              </w:rPr>
            </w:pPr>
            <w:r>
              <w:rPr>
                <w:rFonts w:ascii="Arial" w:cs="Arial" w:eastAsia="Arial" w:hAnsi="Arial"/>
                <w:sz w:val="10"/>
                <w:szCs w:val="10"/>
                <w:color w:val="0000FF"/>
              </w:rPr>
              <w:t>to 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gridSpan w:val="2"/>
          </w:tcPr>
          <w:p>
            <w:pPr>
              <w:ind w:left="100"/>
              <w:spacing w:after="0" w:line="90" w:lineRule="exact"/>
              <w:rPr>
                <w:sz w:val="20"/>
                <w:szCs w:val="20"/>
                <w:color w:val="auto"/>
              </w:rPr>
            </w:pPr>
            <w:r>
              <w:rPr>
                <w:rFonts w:ascii="Arial" w:cs="Arial" w:eastAsia="Arial" w:hAnsi="Arial"/>
                <w:sz w:val="10"/>
                <w:szCs w:val="10"/>
                <w:color w:val="0000FF"/>
              </w:rPr>
              <w:t>interest,</w:t>
            </w: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jc w:val="center"/>
        <w:ind w:left="3060"/>
        <w:spacing w:after="0" w:line="224" w:lineRule="auto"/>
        <w:rPr>
          <w:sz w:val="20"/>
          <w:szCs w:val="20"/>
          <w:color w:val="auto"/>
        </w:rPr>
      </w:pPr>
      <w:r>
        <w:rPr>
          <w:rFonts w:ascii="Arial" w:cs="Arial" w:eastAsia="Arial" w:hAnsi="Arial"/>
          <w:sz w:val="13"/>
          <w:szCs w:val="13"/>
          <w:color w:val="0000FF"/>
        </w:rPr>
        <w:t>par value</w:t>
      </w:r>
    </w:p>
    <w:p>
      <w:pPr>
        <w:jc w:val="center"/>
        <w:ind w:left="3060"/>
        <w:spacing w:after="0"/>
        <w:rPr>
          <w:sz w:val="20"/>
          <w:szCs w:val="20"/>
          <w:color w:val="auto"/>
        </w:rPr>
      </w:pPr>
      <w:r>
        <w:rPr>
          <w:rFonts w:ascii="Arial" w:cs="Arial" w:eastAsia="Arial" w:hAnsi="Arial"/>
          <w:sz w:val="13"/>
          <w:szCs w:val="13"/>
          <w:color w:val="0000FF"/>
        </w:rPr>
        <w:t>$0.001</w:t>
      </w:r>
    </w:p>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jc w:val="center"/>
        <w:ind w:left="40" w:right="320"/>
        <w:spacing w:after="0" w:line="313" w:lineRule="auto"/>
        <w:tabs>
          <w:tab w:leader="none" w:pos="16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On March 21, 2023, Sixth Street Lending Partners, a Delaware statutory trust (the "Issuer"), issued 681,976 of its common shares of beneficial interest, par value $0.001 per share ("Shares"), to the reporting person in connection with a mandatory capital call submitted by the Issuer pursuant to the terms and conditions of the Subscription Agreement previously entered into between the reporting person and the Issuer.</w:t>
      </w:r>
    </w:p>
    <w:p>
      <w:pPr>
        <w:ind w:left="40" w:right="220"/>
        <w:spacing w:after="0" w:line="235"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states that neither the filing of this statement nor anything herein shall be deemed an admission that the reporting person is, for purposes of Section 16 of the Securities Exchange Act of 1934, as amended or otherwise, the beneficial owner of any securities covered by this statement. The reporting person disclaims beneficial ownership of the securities covered by this statement, except to the extent of the pecuniary interest of the reporting person in such securities.</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4"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Exhibit 24.1 - Power of Attorney (incorporated by reference to Exhibit 24.1 to the Form 3 filed on December 22, 2022)</w:t>
      </w:r>
    </w:p>
    <w:p>
      <w:pPr>
        <w:spacing w:after="0" w:line="67"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THE PUBLIC INSTITUTION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-13335</wp:posOffset>
            </wp:positionV>
            <wp:extent cx="12871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8714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FOR SOCIAL SECURITY,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-16510</wp:posOffset>
            </wp:positionV>
            <wp:extent cx="13385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8580"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/s/ Ricardo Davidovich, Name:</w:t>
      </w:r>
      <w:r>
        <w:rPr>
          <w:sz w:val="20"/>
          <w:szCs w:val="20"/>
          <w:color w:val="auto"/>
        </w:rPr>
        <w:tab/>
      </w:r>
      <w:r>
        <w:rPr>
          <w:rFonts w:ascii="Arial" w:cs="Arial" w:eastAsia="Arial" w:hAnsi="Arial"/>
          <w:sz w:val="14"/>
          <w:szCs w:val="14"/>
          <w:color w:val="0000FF"/>
        </w:rPr>
        <w:t>03/23/2023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-16510</wp:posOffset>
            </wp:positionV>
            <wp:extent cx="18732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325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Ricardo Davidovich, Title: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-16510</wp:posOffset>
            </wp:positionV>
            <wp:extent cx="11233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2331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Authorized Signatory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-16510</wp:posOffset>
            </wp:positionV>
            <wp:extent cx="9055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905510" cy="8255"/>
                    </a:xfrm>
                    <a:prstGeom prst="rect">
                      <a:avLst/>
                    </a:prstGeom>
                    <a:noFill/>
                  </pic:spPr>
                </pic:pic>
              </a:graphicData>
            </a:graphic>
          </wp:anchor>
        </w:drawing>
      </w:r>
    </w:p>
    <w:p>
      <w:pPr>
        <w:spacing w:after="0" w:line="4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27"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835851" TargetMode="External"/><Relationship Id="rId13" Type="http://schemas.openxmlformats.org/officeDocument/2006/relationships/hyperlink" Target="http://www.sec.gov/cgi-bin/browse-edgar?action=getcompany&amp;CIK=00019253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2023-03-23T17:58:20Z</dcterms:created>
  <dcterms:modified xsi:type="dcterms:W3CDTF">2023-03-23T17:58:20Z</dcterms:modified>
</cp:coreProperties>
</file>