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(Name of Issuer)</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Common shares of beneficial interest,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color w:val="auto"/>
        </w:rPr>
        <w:t>(CUSIP Number)</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14"/>
          <w:szCs w:val="14"/>
          <w:color w:val="auto"/>
        </w:rPr>
        <w:t>(Date of Event Which Requires Filing of this Statement)</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05" w:lineRule="exact"/>
        <w:rPr>
          <w:sz w:val="24"/>
          <w:szCs w:val="24"/>
          <w:color w:val="auto"/>
        </w:rPr>
      </w:pPr>
    </w:p>
    <w:p>
      <w:pPr>
        <w:ind w:left="1180" w:hanging="1172"/>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 w:lineRule="exact"/>
        <w:rPr>
          <w:sz w:val="24"/>
          <w:szCs w:val="24"/>
          <w:color w:val="auto"/>
        </w:rPr>
      </w:pPr>
    </w:p>
    <w:p>
      <w:pPr>
        <w:ind w:left="1180" w:hanging="1172"/>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9" w:lineRule="exact"/>
        <w:rPr>
          <w:sz w:val="24"/>
          <w:szCs w:val="24"/>
          <w:color w:val="auto"/>
        </w:rPr>
      </w:pPr>
    </w:p>
    <w:p>
      <w:pPr>
        <w:ind w:left="1180" w:hanging="1172"/>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28" w:lineRule="exact"/>
        <w:rPr>
          <w:sz w:val="24"/>
          <w:szCs w:val="24"/>
          <w:color w:val="auto"/>
        </w:rPr>
      </w:pPr>
    </w:p>
    <w:p>
      <w:pPr>
        <w:ind w:right="200" w:firstLine="8"/>
        <w:spacing w:after="0" w:line="195" w:lineRule="auto"/>
        <w:tabs>
          <w:tab w:leader="none" w:pos="165"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39"/>
        </w:trPr>
        <w:tc>
          <w:tcPr>
            <w:tcW w:w="1100" w:type="dxa"/>
            <w:vAlign w:val="bottom"/>
            <w:tcBorders>
              <w:top w:val="single" w:sz="8" w:color="auto"/>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1</w:t>
            </w:r>
          </w:p>
        </w:tc>
        <w:tc>
          <w:tcPr>
            <w:tcW w:w="10140" w:type="dxa"/>
            <w:vAlign w:val="bottom"/>
            <w:tcBorders>
              <w:top w:val="single" w:sz="8" w:color="auto"/>
              <w:right w:val="single" w:sz="8" w:color="auto"/>
            </w:tcBorders>
            <w:gridSpan w:val="3"/>
          </w:tcPr>
          <w:p>
            <w:pPr>
              <w:spacing w:after="0" w:line="139" w:lineRule="exact"/>
              <w:rPr>
                <w:sz w:val="20"/>
                <w:szCs w:val="20"/>
                <w:color w:val="auto"/>
              </w:rPr>
            </w:pPr>
            <w:r>
              <w:rPr>
                <w:rFonts w:ascii="Times New Roman" w:cs="Times New Roman" w:eastAsia="Times New Roman" w:hAnsi="Times New Roman"/>
                <w:sz w:val="14"/>
                <w:szCs w:val="14"/>
                <w:color w:val="auto"/>
              </w:rPr>
              <w:t>NAME OF REPORTING PERSONS.</w:t>
            </w: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right w:val="single" w:sz="8" w:color="auto"/>
            </w:tcBorders>
            <w:vMerge w:val="continue"/>
          </w:tcPr>
          <w:p>
            <w:pPr>
              <w:spacing w:after="0"/>
              <w:rPr>
                <w:sz w:val="13"/>
                <w:szCs w:val="13"/>
                <w:color w:val="auto"/>
              </w:rPr>
            </w:pPr>
          </w:p>
        </w:tc>
        <w:tc>
          <w:tcPr>
            <w:tcW w:w="10140" w:type="dxa"/>
            <w:vAlign w:val="bottom"/>
            <w:tcBorders>
              <w:right w:val="single" w:sz="8" w:color="auto"/>
            </w:tcBorders>
            <w:gridSpan w:val="3"/>
          </w:tcPr>
          <w:p>
            <w:pPr>
              <w:spacing w:after="0" w:line="153" w:lineRule="exact"/>
              <w:rPr>
                <w:sz w:val="20"/>
                <w:szCs w:val="20"/>
                <w:color w:val="auto"/>
              </w:rPr>
            </w:pPr>
            <w:r>
              <w:rPr>
                <w:rFonts w:ascii="Times New Roman" w:cs="Times New Roman" w:eastAsia="Times New Roman" w:hAnsi="Times New Roman"/>
                <w:sz w:val="14"/>
                <w:szCs w:val="14"/>
                <w:color w:val="auto"/>
              </w:rPr>
              <w:t>I.R.S. IDENTIFICATION NOS. OF ABOVE PERSONS (ENTITIES ONLY).</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01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Amwal Investments L.L.C.</w:t>
            </w: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2</w:t>
            </w:r>
          </w:p>
        </w:tc>
        <w:tc>
          <w:tcPr>
            <w:tcW w:w="10140" w:type="dxa"/>
            <w:vAlign w:val="bottom"/>
            <w:tcBorders>
              <w:right w:val="single" w:sz="8" w:color="auto"/>
            </w:tcBorders>
            <w:gridSpan w:val="3"/>
          </w:tcPr>
          <w:p>
            <w:pPr>
              <w:spacing w:after="0" w:line="115" w:lineRule="exact"/>
              <w:rPr>
                <w:sz w:val="20"/>
                <w:szCs w:val="20"/>
                <w:color w:val="auto"/>
              </w:rPr>
            </w:pPr>
            <w:r>
              <w:rPr>
                <w:rFonts w:ascii="Times New Roman" w:cs="Times New Roman" w:eastAsia="Times New Roman" w:hAnsi="Times New Roman"/>
                <w:sz w:val="13"/>
                <w:szCs w:val="13"/>
                <w:color w:val="auto"/>
              </w:rPr>
              <w:t>CHECK THE APPROPRIATE BOX IF A MEMBER OF A GROUP (See Instructions)</w:t>
            </w: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0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4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3</w:t>
            </w: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SEC USE ONLY</w:t>
            </w: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4</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CITIZENSHIP OR PLACE OF ORGANIZATION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01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Emirate of Abu Dhabi, United Arab Emirates</w:t>
            </w:r>
          </w:p>
        </w:tc>
        <w:tc>
          <w:tcPr>
            <w:tcW w:w="0" w:type="dxa"/>
            <w:vAlign w:val="bottom"/>
          </w:tcPr>
          <w:p>
            <w:pPr>
              <w:spacing w:after="0"/>
              <w:rPr>
                <w:sz w:val="1"/>
                <w:szCs w:val="1"/>
                <w:color w:val="auto"/>
              </w:rPr>
            </w:pPr>
          </w:p>
        </w:tc>
      </w:tr>
      <w:tr>
        <w:trPr>
          <w:trHeight w:val="209"/>
        </w:trPr>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vMerge w:val="restart"/>
          </w:tcPr>
          <w:p>
            <w:pPr>
              <w:jc w:val="right"/>
              <w:ind w:right="146"/>
              <w:spacing w:after="0" w:line="493" w:lineRule="exact"/>
              <w:rPr>
                <w:sz w:val="20"/>
                <w:szCs w:val="20"/>
                <w:color w:val="auto"/>
              </w:rPr>
            </w:pPr>
            <w:r>
              <w:rPr>
                <w:rFonts w:ascii="Times New Roman" w:cs="Times New Roman" w:eastAsia="Times New Roman" w:hAnsi="Times New Roman"/>
                <w:sz w:val="43"/>
                <w:szCs w:val="43"/>
                <w:b w:val="1"/>
                <w:bCs w:val="1"/>
                <w:color w:val="auto"/>
              </w:rPr>
              <w:t>5</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vMerge w:val="restart"/>
          </w:tcPr>
          <w:p>
            <w:pPr>
              <w:jc w:val="right"/>
              <w:ind w:right="146"/>
              <w:spacing w:after="0" w:line="470" w:lineRule="exact"/>
              <w:rPr>
                <w:sz w:val="20"/>
                <w:szCs w:val="20"/>
                <w:color w:val="auto"/>
              </w:rPr>
            </w:pPr>
            <w:r>
              <w:rPr>
                <w:rFonts w:ascii="Times New Roman" w:cs="Times New Roman" w:eastAsia="Times New Roman" w:hAnsi="Times New Roman"/>
                <w:sz w:val="43"/>
                <w:szCs w:val="43"/>
                <w:b w:val="1"/>
                <w:bCs w:val="1"/>
                <w:color w:val="auto"/>
              </w:rPr>
              <w:t>6</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SHARES</w:t>
            </w:r>
          </w:p>
        </w:tc>
        <w:tc>
          <w:tcPr>
            <w:tcW w:w="108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3,124,109 shares</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108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720" w:type="dxa"/>
            <w:vAlign w:val="bottom"/>
            <w:tcBorders>
              <w:left w:val="single" w:sz="8" w:color="auto"/>
              <w:right w:val="single" w:sz="8" w:color="auto"/>
            </w:tcBorders>
            <w:gridSpan w:val="2"/>
            <w:vMerge w:val="restart"/>
          </w:tcPr>
          <w:p>
            <w:pPr>
              <w:jc w:val="center"/>
              <w:spacing w:after="0" w:line="158" w:lineRule="exact"/>
              <w:rPr>
                <w:sz w:val="20"/>
                <w:szCs w:val="20"/>
                <w:color w:val="auto"/>
              </w:rPr>
            </w:pPr>
            <w:r>
              <w:rPr>
                <w:rFonts w:ascii="Times New Roman" w:cs="Times New Roman" w:eastAsia="Times New Roman" w:hAnsi="Times New Roman"/>
                <w:sz w:val="14"/>
                <w:szCs w:val="14"/>
                <w:color w:val="auto"/>
              </w:rPr>
              <w:t>BY EACH REPORTING</w:t>
            </w: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right w:val="single" w:sz="8" w:color="auto"/>
            </w:tcBorders>
            <w:gridSpan w:val="2"/>
            <w:vMerge w:val="continue"/>
          </w:tcPr>
          <w:p>
            <w:pPr>
              <w:spacing w:after="0"/>
              <w:rPr>
                <w:sz w:val="10"/>
                <w:szCs w:val="10"/>
                <w:color w:val="auto"/>
              </w:rPr>
            </w:pPr>
          </w:p>
        </w:tc>
        <w:tc>
          <w:tcPr>
            <w:tcW w:w="1080" w:type="dxa"/>
            <w:vAlign w:val="bottom"/>
            <w:tcBorders>
              <w:right w:val="single" w:sz="8" w:color="auto"/>
            </w:tcBorders>
            <w:vMerge w:val="restart"/>
          </w:tcPr>
          <w:p>
            <w:pPr>
              <w:jc w:val="right"/>
              <w:ind w:right="146"/>
              <w:spacing w:after="0" w:line="493" w:lineRule="exact"/>
              <w:rPr>
                <w:sz w:val="20"/>
                <w:szCs w:val="20"/>
                <w:color w:val="auto"/>
              </w:rPr>
            </w:pPr>
            <w:r>
              <w:rPr>
                <w:rFonts w:ascii="Times New Roman" w:cs="Times New Roman" w:eastAsia="Times New Roman" w:hAnsi="Times New Roman"/>
                <w:sz w:val="43"/>
                <w:szCs w:val="43"/>
                <w:b w:val="1"/>
                <w:bCs w:val="1"/>
                <w:color w:val="auto"/>
              </w:rPr>
              <w:t>7</w:t>
            </w:r>
          </w:p>
        </w:tc>
        <w:tc>
          <w:tcPr>
            <w:tcW w:w="844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SOLE DISPOSITIVE POWER</w:t>
            </w: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PERSON WITH:</w:t>
            </w:r>
          </w:p>
        </w:tc>
        <w:tc>
          <w:tcPr>
            <w:tcW w:w="1080" w:type="dxa"/>
            <w:vAlign w:val="bottom"/>
            <w:tcBorders>
              <w:right w:val="single" w:sz="8" w:color="auto"/>
            </w:tcBorders>
            <w:vMerge w:val="continue"/>
          </w:tcPr>
          <w:p>
            <w:pPr>
              <w:spacing w:after="0"/>
              <w:rPr>
                <w:sz w:val="16"/>
                <w:szCs w:val="16"/>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vMerge w:val="continue"/>
          </w:tcPr>
          <w:p>
            <w:pPr>
              <w:spacing w:after="0"/>
              <w:rPr>
                <w:sz w:val="16"/>
                <w:szCs w:val="16"/>
                <w:color w:val="auto"/>
              </w:rPr>
            </w:pPr>
          </w:p>
        </w:tc>
        <w:tc>
          <w:tcPr>
            <w:tcW w:w="84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vMerge w:val="restart"/>
          </w:tcPr>
          <w:p>
            <w:pPr>
              <w:jc w:val="right"/>
              <w:ind w:right="146"/>
              <w:spacing w:after="0" w:line="493" w:lineRule="exact"/>
              <w:rPr>
                <w:sz w:val="20"/>
                <w:szCs w:val="20"/>
                <w:color w:val="auto"/>
              </w:rPr>
            </w:pPr>
            <w:r>
              <w:rPr>
                <w:rFonts w:ascii="Times New Roman" w:cs="Times New Roman" w:eastAsia="Times New Roman" w:hAnsi="Times New Roman"/>
                <w:sz w:val="43"/>
                <w:szCs w:val="43"/>
                <w:b w:val="1"/>
                <w:bCs w:val="1"/>
                <w:color w:val="auto"/>
              </w:rPr>
              <w:t>8</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3,124,109 shares</w:t>
            </w:r>
          </w:p>
        </w:tc>
        <w:tc>
          <w:tcPr>
            <w:tcW w:w="0" w:type="dxa"/>
            <w:vAlign w:val="bottom"/>
          </w:tcPr>
          <w:p>
            <w:pPr>
              <w:spacing w:after="0"/>
              <w:rPr>
                <w:sz w:val="1"/>
                <w:szCs w:val="1"/>
                <w:color w:val="auto"/>
              </w:rPr>
            </w:pPr>
          </w:p>
        </w:tc>
      </w:tr>
      <w:tr>
        <w:trPr>
          <w:trHeight w:val="210"/>
        </w:trPr>
        <w:tc>
          <w:tcPr>
            <w:tcW w:w="1100" w:type="dxa"/>
            <w:vAlign w:val="bottom"/>
            <w:tcBorders>
              <w:bottom w:val="single" w:sz="8" w:color="auto"/>
            </w:tcBorders>
          </w:tcPr>
          <w:p>
            <w:pPr>
              <w:spacing w:after="0"/>
              <w:rPr>
                <w:sz w:val="18"/>
                <w:szCs w:val="18"/>
                <w:color w:val="auto"/>
              </w:rPr>
            </w:pPr>
          </w:p>
        </w:tc>
        <w:tc>
          <w:tcPr>
            <w:tcW w:w="1014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9</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3,124,109 shares</w:t>
            </w: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10</w:t>
            </w:r>
          </w:p>
        </w:tc>
        <w:tc>
          <w:tcPr>
            <w:tcW w:w="10140" w:type="dxa"/>
            <w:vAlign w:val="bottom"/>
            <w:tcBorders>
              <w:bottom w:val="single" w:sz="8" w:color="auto"/>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4"/>
                <w:szCs w:val="14"/>
                <w:color w:val="auto"/>
              </w:rPr>
              <w:t xml:space="preserve">CHECK BOX IF THE AGGREGATE AMOUNT IN ROW (9) EXCLUDES CERTAIN SHARES (See Instructions)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w w:val="92"/>
              </w:rPr>
              <w:t>11</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12</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108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100" w:type="dxa"/>
            <w:vAlign w:val="bottom"/>
            <w:tcBorders>
              <w:top w:val="single" w:sz="8" w:color="auto"/>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1</w:t>
            </w:r>
          </w:p>
        </w:tc>
        <w:tc>
          <w:tcPr>
            <w:tcW w:w="10140" w:type="dxa"/>
            <w:vAlign w:val="bottom"/>
            <w:tcBorders>
              <w:top w:val="single" w:sz="8" w:color="auto"/>
              <w:right w:val="single" w:sz="8" w:color="auto"/>
            </w:tcBorders>
            <w:gridSpan w:val="4"/>
          </w:tcPr>
          <w:p>
            <w:pPr>
              <w:spacing w:after="0" w:line="139" w:lineRule="exact"/>
              <w:rPr>
                <w:sz w:val="20"/>
                <w:szCs w:val="20"/>
                <w:color w:val="auto"/>
              </w:rPr>
            </w:pPr>
            <w:r>
              <w:rPr>
                <w:rFonts w:ascii="Times New Roman" w:cs="Times New Roman" w:eastAsia="Times New Roman" w:hAnsi="Times New Roman"/>
                <w:sz w:val="14"/>
                <w:szCs w:val="14"/>
                <w:color w:val="auto"/>
              </w:rPr>
              <w:t>NAME OF REPORTING PERSONS.</w:t>
            </w: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right w:val="single" w:sz="8" w:color="auto"/>
            </w:tcBorders>
            <w:vMerge w:val="continue"/>
          </w:tcPr>
          <w:p>
            <w:pPr>
              <w:spacing w:after="0"/>
              <w:rPr>
                <w:sz w:val="13"/>
                <w:szCs w:val="13"/>
                <w:color w:val="auto"/>
              </w:rPr>
            </w:pPr>
          </w:p>
        </w:tc>
        <w:tc>
          <w:tcPr>
            <w:tcW w:w="10140" w:type="dxa"/>
            <w:vAlign w:val="bottom"/>
            <w:tcBorders>
              <w:right w:val="single" w:sz="8" w:color="auto"/>
            </w:tcBorders>
            <w:gridSpan w:val="4"/>
          </w:tcPr>
          <w:p>
            <w:pPr>
              <w:spacing w:after="0" w:line="153" w:lineRule="exact"/>
              <w:rPr>
                <w:sz w:val="20"/>
                <w:szCs w:val="20"/>
                <w:color w:val="auto"/>
              </w:rPr>
            </w:pPr>
            <w:r>
              <w:rPr>
                <w:rFonts w:ascii="Times New Roman" w:cs="Times New Roman" w:eastAsia="Times New Roman" w:hAnsi="Times New Roman"/>
                <w:sz w:val="14"/>
                <w:szCs w:val="14"/>
                <w:color w:val="auto"/>
              </w:rPr>
              <w:t>I.R.S. IDENTIFICATION NOS. OF ABOVE PERSONS (ENTITIES ONLY).</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01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Abu Dhabi Investment Council Company PJSC</w:t>
            </w: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2</w:t>
            </w:r>
          </w:p>
        </w:tc>
        <w:tc>
          <w:tcPr>
            <w:tcW w:w="10140" w:type="dxa"/>
            <w:vAlign w:val="bottom"/>
            <w:tcBorders>
              <w:right w:val="single" w:sz="8" w:color="auto"/>
            </w:tcBorders>
            <w:gridSpan w:val="4"/>
          </w:tcPr>
          <w:p>
            <w:pPr>
              <w:spacing w:after="0" w:line="115" w:lineRule="exact"/>
              <w:rPr>
                <w:sz w:val="20"/>
                <w:szCs w:val="20"/>
                <w:color w:val="auto"/>
              </w:rPr>
            </w:pPr>
            <w:r>
              <w:rPr>
                <w:rFonts w:ascii="Times New Roman" w:cs="Times New Roman" w:eastAsia="Times New Roman" w:hAnsi="Times New Roman"/>
                <w:sz w:val="13"/>
                <w:szCs w:val="13"/>
                <w:color w:val="auto"/>
              </w:rPr>
              <w:t>CHECK THE APPROPRIATE BOX IF A MEMBER OF A GROUP (See Instructions)</w:t>
            </w: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vMerge w:val="continue"/>
          </w:tcPr>
          <w:p>
            <w:pPr>
              <w:spacing w:after="0"/>
              <w:rPr>
                <w:sz w:val="16"/>
                <w:szCs w:val="16"/>
                <w:color w:val="auto"/>
              </w:rPr>
            </w:pPr>
          </w:p>
        </w:tc>
        <w:tc>
          <w:tcPr>
            <w:tcW w:w="1080" w:type="dxa"/>
            <w:vAlign w:val="bottom"/>
            <w:gridSpan w:val="2"/>
          </w:tcPr>
          <w:p>
            <w:pPr>
              <w:ind w:left="380"/>
              <w:spacing w:after="0" w:line="18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20" w:type="dxa"/>
            <w:vAlign w:val="bottom"/>
          </w:tcPr>
          <w:p>
            <w:pPr>
              <w:spacing w:after="0"/>
              <w:rPr>
                <w:sz w:val="16"/>
                <w:szCs w:val="16"/>
                <w:color w:val="auto"/>
              </w:rPr>
            </w:pPr>
          </w:p>
        </w:tc>
        <w:tc>
          <w:tcPr>
            <w:tcW w:w="8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0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1080" w:type="dxa"/>
            <w:vAlign w:val="bottom"/>
            <w:tcBorders>
              <w:bottom w:val="single" w:sz="8" w:color="auto"/>
            </w:tcBorders>
            <w:gridSpan w:val="2"/>
          </w:tcPr>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20" w:type="dxa"/>
            <w:vAlign w:val="bottom"/>
            <w:tcBorders>
              <w:bottom w:val="single" w:sz="8" w:color="auto"/>
            </w:tcBorders>
          </w:tcPr>
          <w:p>
            <w:pPr>
              <w:spacing w:after="0"/>
              <w:rPr>
                <w:sz w:val="23"/>
                <w:szCs w:val="23"/>
                <w:color w:val="auto"/>
              </w:rPr>
            </w:pPr>
          </w:p>
        </w:tc>
        <w:tc>
          <w:tcPr>
            <w:tcW w:w="84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3</w:t>
            </w: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SEC USE ONLY</w:t>
            </w: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4</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CITIZENSHIP OR PLACE OF ORGANIZATION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01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Emirate of Abu Dhabi, United Arab Emirates</w:t>
            </w:r>
          </w:p>
        </w:tc>
        <w:tc>
          <w:tcPr>
            <w:tcW w:w="0" w:type="dxa"/>
            <w:vAlign w:val="bottom"/>
          </w:tcPr>
          <w:p>
            <w:pPr>
              <w:spacing w:after="0"/>
              <w:rPr>
                <w:sz w:val="1"/>
                <w:szCs w:val="1"/>
                <w:color w:val="auto"/>
              </w:rPr>
            </w:pPr>
          </w:p>
        </w:tc>
      </w:tr>
      <w:tr>
        <w:trPr>
          <w:trHeight w:val="210"/>
        </w:trPr>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104"/>
              <w:spacing w:after="0" w:line="493" w:lineRule="exact"/>
              <w:rPr>
                <w:sz w:val="20"/>
                <w:szCs w:val="20"/>
                <w:color w:val="auto"/>
              </w:rPr>
            </w:pPr>
            <w:r>
              <w:rPr>
                <w:rFonts w:ascii="Times New Roman" w:cs="Times New Roman" w:eastAsia="Times New Roman" w:hAnsi="Times New Roman"/>
                <w:sz w:val="43"/>
                <w:szCs w:val="43"/>
                <w:b w:val="1"/>
                <w:bCs w:val="1"/>
                <w:color w:val="auto"/>
              </w:rPr>
              <w:t>5</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104"/>
              <w:spacing w:after="0" w:line="470" w:lineRule="exact"/>
              <w:rPr>
                <w:sz w:val="20"/>
                <w:szCs w:val="20"/>
                <w:color w:val="auto"/>
              </w:rPr>
            </w:pPr>
            <w:r>
              <w:rPr>
                <w:rFonts w:ascii="Times New Roman" w:cs="Times New Roman" w:eastAsia="Times New Roman" w:hAnsi="Times New Roman"/>
                <w:sz w:val="43"/>
                <w:szCs w:val="43"/>
                <w:b w:val="1"/>
                <w:bCs w:val="1"/>
                <w:color w:val="auto"/>
              </w:rPr>
              <w:t>6</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SHARES</w:t>
            </w:r>
          </w:p>
        </w:tc>
        <w:tc>
          <w:tcPr>
            <w:tcW w:w="46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3,124,109 shares</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46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720" w:type="dxa"/>
            <w:vAlign w:val="bottom"/>
            <w:tcBorders>
              <w:left w:val="single" w:sz="8" w:color="auto"/>
              <w:right w:val="single" w:sz="8" w:color="auto"/>
            </w:tcBorders>
            <w:gridSpan w:val="2"/>
            <w:vMerge w:val="restart"/>
          </w:tcPr>
          <w:p>
            <w:pPr>
              <w:jc w:val="center"/>
              <w:spacing w:after="0" w:line="158" w:lineRule="exact"/>
              <w:rPr>
                <w:sz w:val="20"/>
                <w:szCs w:val="20"/>
                <w:color w:val="auto"/>
              </w:rPr>
            </w:pPr>
            <w:r>
              <w:rPr>
                <w:rFonts w:ascii="Times New Roman" w:cs="Times New Roman" w:eastAsia="Times New Roman" w:hAnsi="Times New Roman"/>
                <w:sz w:val="14"/>
                <w:szCs w:val="14"/>
                <w:color w:val="auto"/>
              </w:rPr>
              <w:t>BY EACH REPORTING</w:t>
            </w: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right w:val="single" w:sz="8" w:color="auto"/>
            </w:tcBorders>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104"/>
              <w:spacing w:after="0" w:line="493" w:lineRule="exact"/>
              <w:rPr>
                <w:sz w:val="20"/>
                <w:szCs w:val="20"/>
                <w:color w:val="auto"/>
              </w:rPr>
            </w:pPr>
            <w:r>
              <w:rPr>
                <w:rFonts w:ascii="Times New Roman" w:cs="Times New Roman" w:eastAsia="Times New Roman" w:hAnsi="Times New Roman"/>
                <w:sz w:val="43"/>
                <w:szCs w:val="43"/>
                <w:b w:val="1"/>
                <w:bCs w:val="1"/>
                <w:color w:val="auto"/>
              </w:rPr>
              <w:t>7</w:t>
            </w:r>
          </w:p>
        </w:tc>
        <w:tc>
          <w:tcPr>
            <w:tcW w:w="844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SOLE DISPOSITIVE POWER</w:t>
            </w: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PERSON WITH:</w:t>
            </w:r>
          </w:p>
        </w:tc>
        <w:tc>
          <w:tcPr>
            <w:tcW w:w="46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90"/>
        </w:trPr>
        <w:tc>
          <w:tcPr>
            <w:tcW w:w="110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84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104"/>
              <w:spacing w:after="0" w:line="493" w:lineRule="exact"/>
              <w:rPr>
                <w:sz w:val="20"/>
                <w:szCs w:val="20"/>
                <w:color w:val="auto"/>
              </w:rPr>
            </w:pPr>
            <w:r>
              <w:rPr>
                <w:rFonts w:ascii="Times New Roman" w:cs="Times New Roman" w:eastAsia="Times New Roman" w:hAnsi="Times New Roman"/>
                <w:sz w:val="43"/>
                <w:szCs w:val="43"/>
                <w:b w:val="1"/>
                <w:bCs w:val="1"/>
                <w:color w:val="auto"/>
              </w:rPr>
              <w:t>8</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3,124,109 shares</w:t>
            </w:r>
          </w:p>
        </w:tc>
        <w:tc>
          <w:tcPr>
            <w:tcW w:w="0" w:type="dxa"/>
            <w:vAlign w:val="bottom"/>
          </w:tcPr>
          <w:p>
            <w:pPr>
              <w:spacing w:after="0"/>
              <w:rPr>
                <w:sz w:val="1"/>
                <w:szCs w:val="1"/>
                <w:color w:val="auto"/>
              </w:rPr>
            </w:pPr>
          </w:p>
        </w:tc>
      </w:tr>
      <w:tr>
        <w:trPr>
          <w:trHeight w:val="209"/>
        </w:trPr>
        <w:tc>
          <w:tcPr>
            <w:tcW w:w="1100" w:type="dxa"/>
            <w:vAlign w:val="bottom"/>
            <w:tcBorders>
              <w:bottom w:val="single" w:sz="8" w:color="auto"/>
            </w:tcBorders>
          </w:tcPr>
          <w:p>
            <w:pPr>
              <w:spacing w:after="0"/>
              <w:rPr>
                <w:sz w:val="18"/>
                <w:szCs w:val="18"/>
                <w:color w:val="auto"/>
              </w:rPr>
            </w:pPr>
          </w:p>
        </w:tc>
        <w:tc>
          <w:tcPr>
            <w:tcW w:w="1014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9</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3,124,109 shares</w:t>
            </w: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10</w:t>
            </w:r>
          </w:p>
        </w:tc>
        <w:tc>
          <w:tcPr>
            <w:tcW w:w="10140" w:type="dxa"/>
            <w:vAlign w:val="bottom"/>
            <w:tcBorders>
              <w:bottom w:val="single" w:sz="8" w:color="auto"/>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4"/>
                <w:szCs w:val="14"/>
                <w:color w:val="auto"/>
              </w:rPr>
              <w:t xml:space="preserve">CHECK BOX IF THE AGGREGATE AMOUNT IN ROW (9) EXCLUDES CERTAIN SHARES (See Instructions)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w w:val="92"/>
              </w:rPr>
              <w:t>11</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12</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4660" w:type="dxa"/>
            <w:vAlign w:val="bottom"/>
          </w:tcPr>
          <w:p>
            <w:pPr>
              <w:spacing w:after="0"/>
              <w:rPr>
                <w:sz w:val="19"/>
                <w:szCs w:val="19"/>
                <w:color w:val="auto"/>
              </w:rPr>
            </w:pP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Sixth Street Lending Partners (the “Issuer”).</w:t>
            </w:r>
          </w:p>
        </w:tc>
        <w:tc>
          <w:tcPr>
            <w:tcW w:w="466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5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tc>
        <w:tc>
          <w:tcPr>
            <w:tcW w:w="46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2100 McKinney Avenue,</w:t>
            </w:r>
          </w:p>
        </w:tc>
        <w:tc>
          <w:tcPr>
            <w:tcW w:w="46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Suite 1500,</w:t>
            </w:r>
          </w:p>
        </w:tc>
        <w:tc>
          <w:tcPr>
            <w:tcW w:w="46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Dallas, TX 75201</w:t>
            </w:r>
          </w:p>
        </w:tc>
        <w:tc>
          <w:tcPr>
            <w:tcW w:w="4660" w:type="dxa"/>
            <w:vAlign w:val="bottom"/>
          </w:tcPr>
          <w:p>
            <w:pPr>
              <w:spacing w:after="0"/>
              <w:rPr>
                <w:sz w:val="20"/>
                <w:szCs w:val="20"/>
                <w:color w:val="auto"/>
              </w:rPr>
            </w:pP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46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This statement is filed by (i) Amwal Investments L.L.C., (“Amwal”) and (ii) Abu Dhabi Investment Council Company PJSC</w:t>
            </w: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(“ADIC”). The foregoing are collectively referred to herein as the “Reporting Persons.”</w:t>
            </w:r>
          </w:p>
        </w:tc>
      </w:tr>
      <w:tr>
        <w:trPr>
          <w:trHeight w:val="432"/>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Amwal holds the securities of the Issuer.</w:t>
            </w:r>
          </w:p>
        </w:tc>
        <w:tc>
          <w:tcPr>
            <w:tcW w:w="466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Amwal is a wholly-owned subsidiary of ADIC.</w:t>
            </w:r>
          </w:p>
        </w:tc>
        <w:tc>
          <w:tcPr>
            <w:tcW w:w="466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5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tc>
        <w:tc>
          <w:tcPr>
            <w:tcW w:w="466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principal office of each of Amwal and ADIC is Al Bahar Towers, Sheikh Zayed Bin Sultan Street (Intersection with Shakhbout</w:t>
            </w: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Bin Sultan Street – 19th Street), PO BOX 61999, Abu Dhabi, United Arab Emirates.</w:t>
            </w:r>
          </w:p>
        </w:tc>
      </w:tr>
      <w:tr>
        <w:trPr>
          <w:trHeight w:val="414"/>
        </w:trPr>
        <w:tc>
          <w:tcPr>
            <w:tcW w:w="84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w:t>
            </w: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466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Please refer to Item 4 on each cover page for each Reporting Person.</w:t>
            </w:r>
          </w:p>
        </w:tc>
        <w:tc>
          <w:tcPr>
            <w:tcW w:w="466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5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tc>
        <w:tc>
          <w:tcPr>
            <w:tcW w:w="466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shares of beneficial interest, par value $0.001 per share.</w:t>
            </w:r>
          </w:p>
        </w:tc>
        <w:tc>
          <w:tcPr>
            <w:tcW w:w="466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w:t>
            </w: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466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4660" w:type="dxa"/>
            <w:vAlign w:val="bottom"/>
          </w:tcPr>
          <w:p>
            <w:pPr>
              <w:spacing w:after="0"/>
              <w:rPr>
                <w:sz w:val="20"/>
                <w:szCs w:val="20"/>
                <w:color w:val="auto"/>
              </w:rPr>
            </w:pP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4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tc>
      </w:tr>
      <w:tr>
        <w:trPr>
          <w:trHeight w:val="234"/>
        </w:trPr>
        <w:tc>
          <w:tcPr>
            <w:tcW w:w="840" w:type="dxa"/>
            <w:vAlign w:val="bottom"/>
          </w:tcPr>
          <w:p>
            <w:pPr>
              <w:spacing w:after="0"/>
              <w:rPr>
                <w:sz w:val="20"/>
                <w:szCs w:val="20"/>
                <w:color w:val="auto"/>
              </w:rPr>
            </w:pPr>
          </w:p>
        </w:tc>
        <w:tc>
          <w:tcPr>
            <w:tcW w:w="5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c>
          <w:tcPr>
            <w:tcW w:w="466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5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466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10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Beneficial ownership information is reported as of December 31, 2023 for the common shares of beneficial interest, par value $0.001 per</w:t>
            </w:r>
          </w:p>
        </w:tc>
      </w:tr>
      <w:tr>
        <w:trPr>
          <w:trHeight w:val="234"/>
        </w:trPr>
        <w:tc>
          <w:tcPr>
            <w:tcW w:w="84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w:t>
            </w: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Shares”) reported herein.</w:t>
            </w:r>
          </w:p>
        </w:tc>
        <w:tc>
          <w:tcPr>
            <w:tcW w:w="466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w:t>
            </w: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c>
          <w:tcPr>
            <w:tcW w:w="466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Amwal</w:t>
            </w:r>
          </w:p>
        </w:tc>
        <w:tc>
          <w:tcPr>
            <w:tcW w:w="466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w w:val="97"/>
              </w:rPr>
              <w:t>3,124,109</w:t>
            </w:r>
          </w:p>
        </w:tc>
      </w:tr>
      <w:tr>
        <w:trPr>
          <w:trHeight w:val="234"/>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ADIC</w:t>
            </w:r>
          </w:p>
        </w:tc>
        <w:tc>
          <w:tcPr>
            <w:tcW w:w="466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w w:val="97"/>
              </w:rPr>
              <w:t>3,124,109</w:t>
            </w:r>
          </w:p>
        </w:tc>
      </w:tr>
      <w:tr>
        <w:trPr>
          <w:trHeight w:val="398"/>
        </w:trPr>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both"/>
        <w:ind w:left="1620"/>
        <w:spacing w:after="0" w:line="266" w:lineRule="auto"/>
        <w:rPr>
          <w:sz w:val="20"/>
          <w:szCs w:val="20"/>
          <w:color w:val="auto"/>
        </w:rPr>
      </w:pPr>
      <w:r>
        <w:rPr>
          <w:rFonts w:ascii="Times New Roman" w:cs="Times New Roman" w:eastAsia="Times New Roman" w:hAnsi="Times New Roman"/>
          <w:sz w:val="18"/>
          <w:szCs w:val="18"/>
          <w:color w:val="auto"/>
        </w:rPr>
        <w:t>ADIC disclaims beneficial ownership of all securities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72" w:lineRule="exact"/>
        <w:rPr>
          <w:sz w:val="20"/>
          <w:szCs w:val="20"/>
          <w:color w:val="auto"/>
        </w:rPr>
      </w:pPr>
    </w:p>
    <w:p>
      <w:pPr>
        <w:ind w:left="1640" w:hanging="498"/>
        <w:spacing w:after="0"/>
        <w:tabs>
          <w:tab w:leader="none" w:pos="1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9" w:lineRule="exact"/>
        <w:rPr>
          <w:sz w:val="20"/>
          <w:szCs w:val="20"/>
          <w:color w:val="auto"/>
        </w:rPr>
      </w:pPr>
    </w:p>
    <w:tbl>
      <w:tblPr>
        <w:tblLayout w:type="fixed"/>
        <w:tblInd w:w="394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Amwal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ADIC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98" w:lineRule="exact"/>
        <w:rPr>
          <w:sz w:val="20"/>
          <w:szCs w:val="20"/>
          <w:color w:val="auto"/>
        </w:rPr>
      </w:pPr>
    </w:p>
    <w:p>
      <w:pPr>
        <w:ind w:left="1620" w:right="300"/>
        <w:spacing w:after="0" w:line="282" w:lineRule="auto"/>
        <w:rPr>
          <w:sz w:val="20"/>
          <w:szCs w:val="20"/>
          <w:color w:val="auto"/>
        </w:rPr>
      </w:pPr>
      <w:r>
        <w:rPr>
          <w:rFonts w:ascii="Times New Roman" w:cs="Times New Roman" w:eastAsia="Times New Roman" w:hAnsi="Times New Roman"/>
          <w:sz w:val="18"/>
          <w:szCs w:val="18"/>
          <w:color w:val="auto"/>
        </w:rPr>
        <w:t>The percentages are based on 65,478,775 Common Shares outstanding as of December 31, 2023, as disclosed by the Issuer to the Reporting Persons in connection with the issuance of Common Shares.</w:t>
      </w:r>
    </w:p>
    <w:p>
      <w:pPr>
        <w:spacing w:after="0" w:line="158" w:lineRule="exact"/>
        <w:rPr>
          <w:sz w:val="20"/>
          <w:szCs w:val="20"/>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29" w:lineRule="exact"/>
        <w:rPr>
          <w:sz w:val="20"/>
          <w:szCs w:val="20"/>
          <w:color w:val="auto"/>
        </w:rPr>
      </w:pPr>
    </w:p>
    <w:p>
      <w:pPr>
        <w:ind w:left="1620" w:hanging="478"/>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for all Reporting Persons</w:t>
      </w:r>
    </w:p>
    <w:p>
      <w:pPr>
        <w:spacing w:after="0" w:line="206"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tbl>
      <w:tblPr>
        <w:tblLayout w:type="fixed"/>
        <w:tblInd w:w="394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Amwal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3,124,109</w:t>
            </w: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ADIC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3,124,109</w:t>
            </w:r>
          </w:p>
        </w:tc>
      </w:tr>
    </w:tbl>
    <w:p>
      <w:pPr>
        <w:spacing w:after="0" w:line="198" w:lineRule="exact"/>
        <w:rPr>
          <w:sz w:val="20"/>
          <w:szCs w:val="20"/>
          <w:color w:val="auto"/>
        </w:rPr>
      </w:pPr>
    </w:p>
    <w:p>
      <w:pPr>
        <w:ind w:left="1680" w:hanging="538"/>
        <w:spacing w:after="0"/>
        <w:tabs>
          <w:tab w:leader="none" w:pos="1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7"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for all Reporting Persons</w:t>
      </w:r>
    </w:p>
    <w:p>
      <w:pPr>
        <w:spacing w:after="0" w:line="206" w:lineRule="exact"/>
        <w:rPr>
          <w:rFonts w:ascii="Times New Roman" w:cs="Times New Roman" w:eastAsia="Times New Roman" w:hAnsi="Times New Roman"/>
          <w:sz w:val="18"/>
          <w:szCs w:val="18"/>
          <w:color w:val="auto"/>
        </w:rPr>
      </w:pPr>
    </w:p>
    <w:p>
      <w:pPr>
        <w:ind w:left="1680" w:hanging="538"/>
        <w:spacing w:after="0"/>
        <w:tabs>
          <w:tab w:leader="none" w:pos="1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tbl>
      <w:tblPr>
        <w:tblLayout w:type="fixed"/>
        <w:tblInd w:w="394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Amwal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3,124,109</w:t>
            </w: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ADIC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3,124,109</w:t>
            </w:r>
          </w:p>
        </w:tc>
      </w:tr>
    </w:tbl>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1140"/>
        <w:spacing w:after="0" w:line="230"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w:t>
            </w: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held in connection with or as a participant in any transaction having that purpose or effect, other than activities solely in connection with a</w:t>
            </w:r>
          </w:p>
        </w:tc>
      </w:tr>
      <w:tr>
        <w:trPr>
          <w:trHeight w:val="234"/>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nomination under § 240.14a-11.</w:t>
            </w:r>
          </w:p>
        </w:tc>
      </w:tr>
      <w:tr>
        <w:trPr>
          <w:trHeight w:val="432"/>
        </w:trPr>
        <w:tc>
          <w:tcPr>
            <w:tcW w:w="880" w:type="dxa"/>
            <w:vAlign w:val="bottom"/>
          </w:tcPr>
          <w:p>
            <w:pPr>
              <w:spacing w:after="0"/>
              <w:rPr>
                <w:sz w:val="24"/>
                <w:szCs w:val="24"/>
                <w:color w:val="auto"/>
              </w:rPr>
            </w:pPr>
          </w:p>
        </w:tc>
        <w:tc>
          <w:tcPr>
            <w:tcW w:w="103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tc>
      </w:tr>
      <w:tr>
        <w:trPr>
          <w:trHeight w:val="183"/>
        </w:trPr>
        <w:tc>
          <w:tcPr>
            <w:tcW w:w="880" w:type="dxa"/>
            <w:vAlign w:val="bottom"/>
            <w:tcBorders>
              <w:bottom w:val="single" w:sz="8" w:color="auto"/>
            </w:tcBorders>
          </w:tcPr>
          <w:p>
            <w:pPr>
              <w:spacing w:after="0"/>
              <w:rPr>
                <w:sz w:val="15"/>
                <w:szCs w:val="15"/>
                <w:color w:val="auto"/>
              </w:rPr>
            </w:pPr>
          </w:p>
        </w:tc>
        <w:tc>
          <w:tcPr>
            <w:tcW w:w="103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2024</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AMWAL INVESTMENTS L.L.C.</w:t>
      </w:r>
    </w:p>
    <w:p>
      <w:pPr>
        <w:spacing w:after="0" w:line="31"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tab/>
        <w:t>/s/ Athra Al Zaabi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-19050</wp:posOffset>
            </wp:positionV>
            <wp:extent cx="1570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Name: Athra Al Zaabi</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tab/>
        <w:t>/s/ Saoud Al Almulla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1996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644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Saoud Al Almulla</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ABU DHABI INVESTMENT COUNCIL COMPANY PJSC</w:t>
      </w:r>
    </w:p>
    <w:p>
      <w:pPr>
        <w:spacing w:after="0" w:line="31"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tab/>
        <w:t>/s/ Athra Al Zaabi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-19050</wp:posOffset>
            </wp:positionV>
            <wp:extent cx="1570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Name: Athra Al Zaabi</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tab/>
        <w:t>/s/ Saoud Al Almulla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1996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9644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Saoud Al Almulla</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2024-02-13T17:55:52Z</dcterms:created>
  <dcterms:modified xsi:type="dcterms:W3CDTF">2024-02-13T17:55:52Z</dcterms:modified>
</cp:coreProperties>
</file>