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Arizona PSPRS Trust</w:t>
      </w:r>
    </w:p>
    <w:p>
      <w:pPr>
        <w:spacing w:after="0" w:line="36"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20" w:hanging="37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Arizona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Pr>
          <w:p>
            <w:pPr>
              <w:spacing w:after="0"/>
              <w:rPr>
                <w:sz w:val="24"/>
                <w:szCs w:val="24"/>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2,675,739</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60" w:type="dxa"/>
            <w:vAlign w:val="bottom"/>
            <w:vMerge w:val="continue"/>
          </w:tcPr>
          <w:p>
            <w:pPr>
              <w:spacing w:after="0"/>
              <w:rPr>
                <w:sz w:val="9"/>
                <w:szCs w:val="9"/>
                <w:color w:val="auto"/>
              </w:rPr>
            </w:pPr>
          </w:p>
        </w:tc>
        <w:tc>
          <w:tcPr>
            <w:tcW w:w="9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2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Borders>
              <w:bottom w:val="single" w:sz="8" w:color="auto"/>
            </w:tcBorders>
          </w:tcPr>
          <w:p>
            <w:pPr>
              <w:spacing w:after="0"/>
              <w:rPr>
                <w:sz w:val="10"/>
                <w:szCs w:val="10"/>
                <w:color w:val="auto"/>
              </w:rPr>
            </w:pPr>
          </w:p>
        </w:tc>
        <w:tc>
          <w:tcPr>
            <w:tcW w:w="9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80" w:type="dxa"/>
            <w:vAlign w:val="bottom"/>
            <w:vMerge w:val="continue"/>
          </w:tcPr>
          <w:p>
            <w:pPr>
              <w:spacing w:after="0"/>
              <w:rPr>
                <w:sz w:val="6"/>
                <w:szCs w:val="6"/>
                <w:color w:val="auto"/>
              </w:rPr>
            </w:pPr>
          </w:p>
        </w:tc>
        <w:tc>
          <w:tcPr>
            <w:tcW w:w="4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vMerge w:val="continue"/>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2,675,739</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15"/>
                <w:szCs w:val="15"/>
                <w:color w:val="auto"/>
              </w:rPr>
            </w:pPr>
          </w:p>
        </w:tc>
        <w:tc>
          <w:tcPr>
            <w:tcW w:w="9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2,675,739</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20" w:right="5140" w:hanging="467"/>
        <w:spacing w:after="0" w:line="395"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4.1%</w:t>
      </w:r>
    </w:p>
    <w:p>
      <w:pPr>
        <w:spacing w:after="0" w:line="1" w:lineRule="exact"/>
        <w:rPr>
          <w:rFonts w:ascii="Times New Roman" w:cs="Times New Roman" w:eastAsia="Times New Roman" w:hAnsi="Times New Roman"/>
          <w:sz w:val="18"/>
          <w:szCs w:val="18"/>
          <w:color w:val="auto"/>
        </w:rPr>
      </w:pPr>
    </w:p>
    <w:p>
      <w:pPr>
        <w:ind w:left="620" w:right="5960" w:hanging="467"/>
        <w:spacing w:after="0" w:line="493" w:lineRule="auto"/>
        <w:tabs>
          <w:tab w:leader="none" w:pos="6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EP</w:t>
      </w: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Sixth Street Lending Partners (the “Issuer”)</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1(b). Address of Issuer’s Principal Executive Office</w:t>
      </w:r>
    </w:p>
    <w:p>
      <w:pPr>
        <w:spacing w:after="0" w:line="12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2100 McKinney Avenue, Suite 1500, Dallas, Texas 75201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52" w:lineRule="exact"/>
        <w:rPr>
          <w:sz w:val="20"/>
          <w:szCs w:val="20"/>
          <w:color w:val="auto"/>
        </w:rPr>
      </w:pPr>
    </w:p>
    <w:p>
      <w:pPr>
        <w:ind w:left="684" w:hanging="684"/>
        <w:spacing w:after="0"/>
        <w:tabs>
          <w:tab w:leader="none" w:pos="68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Person Filing: </w:t>
      </w:r>
      <w:r>
        <w:rPr>
          <w:rFonts w:ascii="Times New Roman" w:cs="Times New Roman" w:eastAsia="Times New Roman" w:hAnsi="Times New Roman"/>
          <w:sz w:val="18"/>
          <w:szCs w:val="18"/>
          <w:color w:val="auto"/>
        </w:rPr>
        <w:t>Arizona PSPRS Trust (“Arizona PSPRS”)</w:t>
      </w:r>
    </w:p>
    <w:p>
      <w:pPr>
        <w:spacing w:after="0" w:line="117" w:lineRule="exact"/>
        <w:rPr>
          <w:rFonts w:ascii="Times New Roman" w:cs="Times New Roman" w:eastAsia="Times New Roman" w:hAnsi="Times New Roman"/>
          <w:sz w:val="18"/>
          <w:szCs w:val="18"/>
          <w:b w:val="1"/>
          <w:bCs w:val="1"/>
          <w:color w:val="auto"/>
        </w:rPr>
      </w:pPr>
    </w:p>
    <w:p>
      <w:pPr>
        <w:ind w:left="684" w:right="5700" w:hanging="684"/>
        <w:spacing w:after="0" w:line="263" w:lineRule="auto"/>
        <w:tabs>
          <w:tab w:leader="none" w:pos="68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Principal Business Office or, if None, Residence: </w:t>
      </w:r>
      <w:r>
        <w:rPr>
          <w:rFonts w:ascii="Times New Roman" w:cs="Times New Roman" w:eastAsia="Times New Roman" w:hAnsi="Times New Roman"/>
          <w:sz w:val="18"/>
          <w:szCs w:val="18"/>
          <w:color w:val="auto"/>
        </w:rPr>
        <w:t>3010 E. Camelback Road, Suite 200</w:t>
      </w:r>
    </w:p>
    <w:p>
      <w:pPr>
        <w:ind w:left="68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Phoenix, Arizona 85016</w:t>
      </w:r>
    </w:p>
    <w:p>
      <w:pPr>
        <w:spacing w:after="0" w:line="108" w:lineRule="exact"/>
        <w:rPr>
          <w:sz w:val="20"/>
          <w:szCs w:val="20"/>
          <w:color w:val="auto"/>
        </w:rPr>
      </w:pPr>
    </w:p>
    <w:p>
      <w:pPr>
        <w:ind w:left="4"/>
        <w:spacing w:after="0"/>
        <w:tabs>
          <w:tab w:leader="none" w:pos="664" w:val="left"/>
          <w:tab w:leader="none" w:pos="2204"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8"/>
          <w:szCs w:val="18"/>
          <w:b w:val="1"/>
          <w:bCs w:val="1"/>
          <w:color w:val="auto"/>
        </w:rPr>
        <w:t>Citizenship:</w:t>
      </w:r>
      <w:r>
        <w:rPr>
          <w:sz w:val="20"/>
          <w:szCs w:val="20"/>
          <w:color w:val="auto"/>
        </w:rPr>
        <w:tab/>
      </w:r>
      <w:r>
        <w:rPr>
          <w:rFonts w:ascii="Times New Roman" w:cs="Times New Roman" w:eastAsia="Times New Roman" w:hAnsi="Times New Roman"/>
          <w:sz w:val="17"/>
          <w:szCs w:val="17"/>
          <w:color w:val="auto"/>
        </w:rPr>
        <w:t>Arizona, USA</w:t>
      </w:r>
    </w:p>
    <w:p>
      <w:pPr>
        <w:spacing w:after="0" w:line="117" w:lineRule="exact"/>
        <w:rPr>
          <w:sz w:val="20"/>
          <w:szCs w:val="20"/>
          <w:color w:val="auto"/>
        </w:rPr>
      </w:pPr>
    </w:p>
    <w:p>
      <w:pPr>
        <w:ind w:left="684" w:hanging="684"/>
        <w:spacing w:after="0"/>
        <w:tabs>
          <w:tab w:leader="none" w:pos="684"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Title and Class of Securities: </w:t>
      </w:r>
      <w:r>
        <w:rPr>
          <w:rFonts w:ascii="Times New Roman" w:cs="Times New Roman" w:eastAsia="Times New Roman" w:hAnsi="Times New Roman"/>
          <w:sz w:val="17"/>
          <w:szCs w:val="17"/>
          <w:color w:val="auto"/>
        </w:rPr>
        <w:t>Common shares of beneficial interest, par value $0.001 per share (the “Common Shares”)</w:t>
      </w:r>
    </w:p>
    <w:p>
      <w:pPr>
        <w:spacing w:after="0" w:line="128" w:lineRule="exact"/>
        <w:rPr>
          <w:rFonts w:ascii="Times New Roman" w:cs="Times New Roman" w:eastAsia="Times New Roman" w:hAnsi="Times New Roman"/>
          <w:sz w:val="17"/>
          <w:szCs w:val="17"/>
          <w:b w:val="1"/>
          <w:bCs w:val="1"/>
          <w:color w:val="auto"/>
        </w:rPr>
      </w:pPr>
    </w:p>
    <w:p>
      <w:pPr>
        <w:ind w:left="684" w:hanging="684"/>
        <w:spacing w:after="0"/>
        <w:tabs>
          <w:tab w:leader="none" w:pos="68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N/A</w:t>
      </w:r>
    </w:p>
    <w:p>
      <w:pPr>
        <w:sectPr>
          <w:pgSz w:w="11900" w:h="16838" w:orient="portrait"/>
          <w:cols w:equalWidth="0" w:num="1">
            <w:col w:w="10924"/>
          </w:cols>
          <w:pgMar w:left="436" w:top="266" w:right="539" w:bottom="1440" w:gutter="0" w:footer="0" w:header="0"/>
        </w:sectPr>
      </w:pP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or (c), check whether the person filing is a:</w:t>
      </w:r>
    </w:p>
    <w:p>
      <w:pPr>
        <w:spacing w:after="0" w:line="121" w:lineRule="exact"/>
        <w:rPr>
          <w:sz w:val="20"/>
          <w:szCs w:val="20"/>
          <w:color w:val="auto"/>
        </w:rPr>
      </w:pPr>
    </w:p>
    <w:p>
      <w:pPr>
        <w:sectPr>
          <w:pgSz w:w="11900" w:h="16838" w:orient="portrait"/>
          <w:cols w:equalWidth="0" w:num="2">
            <w:col w:w="544" w:space="540"/>
            <w:col w:w="9840"/>
          </w:cols>
          <w:pgMar w:left="436" w:top="266" w:right="539" w:bottom="1440" w:gutter="0" w:footer="0" w:header="0"/>
          <w:type w:val="continuous"/>
        </w:sectPr>
      </w:pPr>
    </w:p>
    <w:p>
      <w:pPr>
        <w:ind w:left="1104"/>
        <w:spacing w:after="0"/>
        <w:rPr>
          <w:sz w:val="20"/>
          <w:szCs w:val="20"/>
          <w:color w:val="auto"/>
        </w:rPr>
      </w:pPr>
      <w:r>
        <w:rPr>
          <w:rFonts w:ascii="Times New Roman" w:cs="Times New Roman" w:eastAsia="Times New Roman" w:hAnsi="Times New Roman"/>
          <w:sz w:val="17"/>
          <w:szCs w:val="17"/>
          <w:color w:val="auto"/>
        </w:rPr>
        <w:t>Not applicable.</w:t>
      </w:r>
    </w:p>
    <w:p>
      <w:pPr>
        <w:spacing w:after="0" w:line="38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ectPr>
          <w:pgSz w:w="11900" w:h="16838" w:orient="portrait"/>
          <w:cols w:equalWidth="0" w:num="1">
            <w:col w:w="10924"/>
          </w:cols>
          <w:pgMar w:left="436" w:top="266" w:right="539" w:bottom="1440" w:gutter="0" w:footer="0" w:header="0"/>
          <w:type w:val="continuous"/>
        </w:sectPr>
      </w:pP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Calculation of the percentage of Common Shares beneficially owned is based on 65,478,775 Common Shares outstanding as of December 31, 2023, based on information provided by the Issuer.</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Sixth Street Palo Verde Feeder, L.P. (the “Feeder”) directly holds 2,675,739 Common Shares. Arizona PSPRS has the sole power to vote and dispose of the Common Shares held directly by the Feeder and as such may be deemed to be the beneficial owner of the Common Shares held directly by the Feeder. Arizona PSPRS is a public pension trust governed by a nine-member Board of Trustees.</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12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As of the date hereof, the Reporting Person may be deemed to be the beneficial owner of the percentage of Common Shares listed on such Reporting Person’s cover page.</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 Number of Shares as to which the Reporting Person has:</w:t>
      </w:r>
    </w:p>
    <w:p>
      <w:pPr>
        <w:spacing w:after="0" w:line="135" w:lineRule="exact"/>
        <w:rPr>
          <w:sz w:val="20"/>
          <w:szCs w:val="20"/>
          <w:color w:val="auto"/>
        </w:rPr>
      </w:pPr>
    </w:p>
    <w:p>
      <w:pPr>
        <w:jc w:val="right"/>
        <w:ind w:left="2344" w:right="6640" w:hanging="1359"/>
        <w:spacing w:after="0" w:line="282" w:lineRule="auto"/>
        <w:tabs>
          <w:tab w:leader="none" w:pos="14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the cover page hereof.</w:t>
      </w:r>
    </w:p>
    <w:p>
      <w:pPr>
        <w:spacing w:after="0" w:line="67" w:lineRule="exact"/>
        <w:rPr>
          <w:rFonts w:ascii="Times New Roman" w:cs="Times New Roman" w:eastAsia="Times New Roman" w:hAnsi="Times New Roman"/>
          <w:sz w:val="18"/>
          <w:szCs w:val="18"/>
          <w:color w:val="auto"/>
        </w:rPr>
      </w:pPr>
    </w:p>
    <w:p>
      <w:pPr>
        <w:ind w:left="2344" w:right="6460" w:hanging="1359"/>
        <w:spacing w:after="0" w:line="282" w:lineRule="auto"/>
        <w:tabs>
          <w:tab w:leader="none" w:pos="14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the cover page hereof.</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7" w:lineRule="exact"/>
        <w:rPr>
          <w:rFonts w:ascii="Times New Roman" w:cs="Times New Roman" w:eastAsia="Times New Roman" w:hAnsi="Times New Roman"/>
          <w:sz w:val="18"/>
          <w:szCs w:val="18"/>
          <w:color w:val="auto"/>
        </w:rPr>
      </w:pPr>
    </w:p>
    <w:p>
      <w:pPr>
        <w:ind w:left="23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cover page hereof.</w:t>
      </w:r>
    </w:p>
    <w:p>
      <w:pPr>
        <w:spacing w:after="0" w:line="112" w:lineRule="exact"/>
        <w:rPr>
          <w:rFonts w:ascii="Times New Roman" w:cs="Times New Roman" w:eastAsia="Times New Roman" w:hAnsi="Times New Roman"/>
          <w:sz w:val="18"/>
          <w:szCs w:val="18"/>
          <w:color w:val="auto"/>
        </w:rPr>
      </w:pPr>
    </w:p>
    <w:p>
      <w:pPr>
        <w:ind w:left="2344" w:right="5560" w:hanging="1359"/>
        <w:spacing w:after="0" w:line="282" w:lineRule="auto"/>
        <w:tabs>
          <w:tab w:leader="none" w:pos="14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the cover page hereof.</w:t>
      </w:r>
    </w:p>
    <w:p>
      <w:pPr>
        <w:spacing w:after="0" w:line="94"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4"/>
          </w:cols>
          <w:pgMar w:left="436" w:top="266" w:right="539" w:bottom="1440" w:gutter="0" w:footer="0" w:header="0"/>
          <w:type w:val="continuous"/>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1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0" w:right="40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 hereby makes the following certification:</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440" w:top="266" w:right="6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12,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ARIZONA PSPRS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Ko</w:t>
            </w:r>
          </w:p>
        </w:tc>
      </w:tr>
      <w:tr>
        <w:trPr>
          <w:trHeight w:val="2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James Ko, Deputy Chief Investment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4"/>
      <w:numFmt w:val="bullet"/>
      <w:start w:val="1"/>
    </w:lvl>
  </w:abstractNum>
  <w:abstractNum w:abstractNumId="8">
    <w:nsid w:val="1190CDE7"/>
    <w:multiLevelType w:val="hybridMultilevel"/>
    <w:lvl w:ilvl="0">
      <w:lvlJc w:val="left"/>
      <w:lvlText w:val="5"/>
      <w:numFmt w:val="bullet"/>
      <w:start w:val="1"/>
    </w:lvl>
  </w:abstractNum>
  <w:abstractNum w:abstractNumId="9">
    <w:nsid w:val="66EF438D"/>
    <w:multiLevelType w:val="hybridMultilevel"/>
    <w:lvl w:ilvl="0">
      <w:lvlJc w:val="left"/>
      <w:lvlText w:val="6"/>
      <w:numFmt w:val="bullet"/>
      <w:start w:val="1"/>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4"/>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2024-01-12T15:49:03Z</dcterms:created>
  <dcterms:modified xsi:type="dcterms:W3CDTF">2024-01-12T15:49:03Z</dcterms:modified>
</cp:coreProperties>
</file>