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SIXTH STREET LENDING PARTNERS</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313"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shares of beneficial interest, par value $0.001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304" w:lineRule="exact"/>
        <w:rPr>
          <w:sz w:val="24"/>
          <w:szCs w:val="24"/>
          <w:color w:val="auto"/>
        </w:rPr>
      </w:pPr>
    </w:p>
    <w:p>
      <w:pPr>
        <w:jc w:val="center"/>
        <w:ind w:right="-63"/>
        <w:spacing w:after="0"/>
        <w:rPr>
          <w:sz w:val="20"/>
          <w:szCs w:val="20"/>
          <w:color w:val="auto"/>
        </w:rPr>
      </w:pPr>
      <w:r>
        <w:rPr>
          <w:rFonts w:ascii="Arial" w:cs="Arial" w:eastAsia="Arial" w:hAnsi="Arial"/>
          <w:sz w:val="18"/>
          <w:szCs w:val="18"/>
          <w:color w:val="auto"/>
        </w:rPr>
        <w:t>N/A</w:t>
      </w:r>
    </w:p>
    <w:p>
      <w:pPr>
        <w:spacing w:after="0" w:line="17"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300"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Ricardo Davidovich, Esq.</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Haynes and Boone, LLP</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30 Rockefeller Plaza</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26th Floor</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New York, NY 10112</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(212) 835-4837</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300"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December 28, 2022</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304800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ind w:left="4"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3" w:lineRule="exact"/>
        <w:rPr>
          <w:sz w:val="24"/>
          <w:szCs w:val="24"/>
          <w:color w:val="auto"/>
        </w:rPr>
      </w:pPr>
    </w:p>
    <w:p>
      <w:pPr>
        <w:ind w:left="4" w:right="2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1" w:lineRule="exact"/>
        <w:rPr>
          <w:sz w:val="24"/>
          <w:szCs w:val="24"/>
          <w:color w:val="auto"/>
        </w:rPr>
      </w:pPr>
    </w:p>
    <w:p>
      <w:pPr>
        <w:ind w:left="424" w:hanging="424"/>
        <w:spacing w:after="0" w:line="216" w:lineRule="auto"/>
        <w:tabs>
          <w:tab w:leader="none" w:pos="424" w:val="left"/>
        </w:tabs>
        <w:numPr>
          <w:ilvl w:val="0"/>
          <w:numId w:val="1"/>
        </w:numPr>
        <w:rPr>
          <w:rFonts w:ascii="Arial" w:cs="Arial" w:eastAsia="Arial" w:hAnsi="Arial"/>
          <w:sz w:val="26"/>
          <w:szCs w:val="26"/>
          <w:color w:val="auto"/>
          <w:vertAlign w:val="superscript"/>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3"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as amended (“</w:t>
      </w:r>
      <w:r>
        <w:rPr>
          <w:rFonts w:ascii="Arial" w:cs="Arial" w:eastAsia="Arial" w:hAnsi="Arial"/>
          <w:sz w:val="18"/>
          <w:szCs w:val="18"/>
          <w:b w:val="1"/>
          <w:bCs w:val="1"/>
          <w:i w:val="1"/>
          <w:iCs w:val="1"/>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382" w:right="51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N/A</w:t>
      </w:r>
    </w:p>
    <w:p>
      <w:pPr>
        <w:spacing w:after="0" w:line="144" w:lineRule="exact"/>
        <w:rPr>
          <w:sz w:val="20"/>
          <w:szCs w:val="20"/>
          <w:color w:val="auto"/>
        </w:rPr>
      </w:pPr>
    </w:p>
    <w:p>
      <w:pPr>
        <w:ind w:left="664" w:hanging="417"/>
        <w:spacing w:after="0"/>
        <w:tabs>
          <w:tab w:leader="none" w:pos="664"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The Public Institution for Social Security</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right="7620" w:hanging="417"/>
        <w:spacing w:after="0" w:line="402" w:lineRule="auto"/>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Kuwait</w:t>
      </w:r>
    </w:p>
    <w:p>
      <w:pPr>
        <w:spacing w:after="0" w:line="1" w:lineRule="exact"/>
        <w:rPr>
          <w:rFonts w:ascii="Arial" w:cs="Arial" w:eastAsia="Arial" w:hAnsi="Arial"/>
          <w:sz w:val="18"/>
          <w:szCs w:val="18"/>
          <w:color w:val="auto"/>
        </w:rPr>
      </w:pPr>
    </w:p>
    <w:p>
      <w:pPr>
        <w:ind w:left="1744" w:hanging="426"/>
        <w:spacing w:after="0"/>
        <w:tabs>
          <w:tab w:leader="none" w:pos="1744"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204" w:type="dxa"/>
        <w:tblCellMar>
          <w:top w:w="0" w:type="dxa"/>
          <w:left w:w="0" w:type="dxa"/>
          <w:bottom w:w="0" w:type="dxa"/>
          <w:right w:w="0" w:type="dxa"/>
        </w:tblCellMar>
      </w:tblP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18"/>
                <w:szCs w:val="18"/>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4,324,662</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4,324,662</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right="7280" w:hanging="516"/>
        <w:spacing w:after="0" w:line="397" w:lineRule="auto"/>
        <w:tabs>
          <w:tab w:leader="none" w:pos="1744"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64" w:right="5460" w:hanging="507"/>
        <w:spacing w:after="0" w:line="406" w:lineRule="auto"/>
        <w:tabs>
          <w:tab w:leader="none" w:pos="65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4,324,662</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19.76% (1)</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EP</w:t>
      </w:r>
    </w:p>
    <w:p>
      <w:pPr>
        <w:spacing w:after="0" w:line="279" w:lineRule="exact"/>
        <w:rPr>
          <w:rFonts w:ascii="Arial" w:cs="Arial" w:eastAsia="Arial" w:hAnsi="Arial"/>
          <w:sz w:val="18"/>
          <w:szCs w:val="18"/>
          <w:color w:val="auto"/>
        </w:rPr>
      </w:pPr>
    </w:p>
    <w:p>
      <w:pPr>
        <w:ind w:left="424" w:right="200" w:hanging="424"/>
        <w:spacing w:after="0" w:line="277"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upon 21,882,028 Shares outstanding as of December 28, 2022, as disclosed by the Issuer to the Reporting Person in connection with the issuance of additional Shares.</w:t>
      </w:r>
    </w:p>
    <w:p>
      <w:pPr>
        <w:sectPr>
          <w:pgSz w:w="11900" w:h="16838" w:orient="portrait"/>
          <w:cols w:equalWidth="0" w:num="1">
            <w:col w:w="10904"/>
          </w:cols>
          <w:pgMar w:left="436" w:top="274" w:right="559" w:bottom="1440" w:gutter="0" w:footer="0" w:header="0"/>
        </w:sectPr>
      </w:pPr>
    </w:p>
    <w:bookmarkStart w:id="2" w:name="page3"/>
    <w:bookmarkEnd w:id="2"/>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Amendment to Schedule 13D (as amended, this “</w:t>
      </w:r>
      <w:r>
        <w:rPr>
          <w:rFonts w:ascii="Arial" w:cs="Arial" w:eastAsia="Arial" w:hAnsi="Arial"/>
          <w:sz w:val="16"/>
          <w:szCs w:val="16"/>
          <w:b w:val="1"/>
          <w:bCs w:val="1"/>
          <w:i w:val="1"/>
          <w:iCs w:val="1"/>
          <w:color w:val="auto"/>
        </w:rPr>
        <w:t>Schedule 13D</w:t>
      </w:r>
      <w:r>
        <w:rPr>
          <w:rFonts w:ascii="Arial" w:cs="Arial" w:eastAsia="Arial" w:hAnsi="Arial"/>
          <w:sz w:val="16"/>
          <w:szCs w:val="16"/>
          <w:color w:val="auto"/>
        </w:rPr>
        <w:t>”) is being filed by the Reporting Person to amend the Schedule 13D related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common shares of beneficial interest, par value $0.001 per share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of Sixth Street Lending Partners, a Delaware statutory trust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Issuer</w:t>
      </w:r>
      <w:r>
        <w:rPr>
          <w:rFonts w:ascii="Arial" w:cs="Arial" w:eastAsia="Arial" w:hAnsi="Arial"/>
          <w:sz w:val="16"/>
          <w:szCs w:val="16"/>
          <w:color w:val="auto"/>
        </w:rPr>
        <w:t>”), initially filed with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on December 22, 2022. Each capitalized term used and not defined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herein shall have the meaning assigned to such term in the Schedule 13D. Except as otherwise provided herein, each Item of the Schedule 13D remains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unchanged.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3 is hereby amended and supplemented as follows:</w:t>
      </w:r>
    </w:p>
    <w:p>
      <w:pPr>
        <w:spacing w:after="0" w:line="117"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“Pursuant to the Subscription Agreement and a capital contribution notice delivered by the Issuer with respect thereto, on December 28, 2022, the Reporting Person purchased 739,177 Shares from the Issuer for an aggregate purchase price of approximately $18,494,223. The source of the funds for the purchase of Shares was the available investment capital of the Reporting Person.”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5 is hereby amended and restated in its entirety as follows: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in Items 3 and 4 of this Schedule 13D is hereby incorporated herein by reference.</w:t>
      </w:r>
    </w:p>
    <w:p>
      <w:pPr>
        <w:spacing w:after="0" w:line="117" w:lineRule="exact"/>
        <w:rPr>
          <w:sz w:val="20"/>
          <w:szCs w:val="20"/>
          <w:color w:val="auto"/>
        </w:rPr>
      </w:pPr>
    </w:p>
    <w:p>
      <w:pPr>
        <w:ind w:right="300" w:firstLine="436"/>
        <w:spacing w:after="0" w:line="277" w:lineRule="auto"/>
        <w:tabs>
          <w:tab w:leader="none" w:pos="68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aggregate number and percentage of the class of securities identified pursuant to Item 1 beneficially owned by the Reporting Person is stated in Items 11 and 13 on the cover page(s) hereto.</w:t>
      </w:r>
    </w:p>
    <w:p>
      <w:pPr>
        <w:spacing w:after="0" w:line="170"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The Reporting Person declares that neither the filing of this Schedule 13D nor anything herein shall be construed as an admission that such person is, for the purposes of Section 13(d) or 13(g) of the Act or any other purpose, the beneficial owner of any securities covered by this Schedule 13D.</w:t>
      </w:r>
    </w:p>
    <w:p>
      <w:pPr>
        <w:spacing w:after="0" w:line="124"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The Reporting Person declares that neither the filing of this Schedule 13D nor anything herein shall be construed as an admission that the Reporting Person is, for the purposes of Section 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p>
      <w:pPr>
        <w:spacing w:after="0" w:line="80" w:lineRule="exact"/>
        <w:rPr>
          <w:sz w:val="20"/>
          <w:szCs w:val="20"/>
          <w:color w:val="auto"/>
        </w:rPr>
      </w:pPr>
    </w:p>
    <w:p>
      <w:pPr>
        <w:ind w:left="700" w:hanging="264"/>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Reporting Person has:</w:t>
      </w:r>
    </w:p>
    <w:p>
      <w:pPr>
        <w:spacing w:after="0" w:line="130" w:lineRule="exact"/>
        <w:rPr>
          <w:rFonts w:ascii="Arial" w:cs="Arial" w:eastAsia="Arial" w:hAnsi="Arial"/>
          <w:sz w:val="18"/>
          <w:szCs w:val="18"/>
          <w:color w:val="auto"/>
        </w:rPr>
      </w:pPr>
    </w:p>
    <w:p>
      <w:pPr>
        <w:jc w:val="both"/>
        <w:ind w:left="1420" w:right="6720" w:hanging="439"/>
        <w:spacing w:after="0" w:line="460" w:lineRule="auto"/>
        <w:tabs>
          <w:tab w:leader="none" w:pos="1405" w:val="left"/>
        </w:tabs>
        <w:numPr>
          <w:ilvl w:val="1"/>
          <w:numId w:val="8"/>
        </w:numPr>
        <w:rPr>
          <w:rFonts w:ascii="Arial" w:cs="Arial" w:eastAsia="Arial" w:hAnsi="Arial"/>
          <w:sz w:val="15"/>
          <w:szCs w:val="15"/>
          <w:color w:val="auto"/>
        </w:rPr>
      </w:pPr>
      <w:r>
        <w:rPr>
          <w:rFonts w:ascii="Arial" w:cs="Arial" w:eastAsia="Arial" w:hAnsi="Arial"/>
          <w:sz w:val="15"/>
          <w:szCs w:val="15"/>
          <w:color w:val="auto"/>
        </w:rPr>
        <w:t>sole power to vote or to direct the vote: See Item 7 on the cover page(s) hereto.</w:t>
      </w:r>
    </w:p>
    <w:p>
      <w:pPr>
        <w:ind w:left="1420" w:right="6540" w:hanging="439"/>
        <w:spacing w:after="0" w:line="431" w:lineRule="auto"/>
        <w:tabs>
          <w:tab w:leader="none" w:pos="1405" w:val="left"/>
        </w:tabs>
        <w:numPr>
          <w:ilvl w:val="1"/>
          <w:numId w:val="8"/>
        </w:numPr>
        <w:rPr>
          <w:rFonts w:ascii="Arial" w:cs="Arial" w:eastAsia="Arial" w:hAnsi="Arial"/>
          <w:sz w:val="16"/>
          <w:szCs w:val="16"/>
          <w:color w:val="auto"/>
        </w:rPr>
      </w:pPr>
      <w:r>
        <w:rPr>
          <w:rFonts w:ascii="Arial" w:cs="Arial" w:eastAsia="Arial" w:hAnsi="Arial"/>
          <w:sz w:val="16"/>
          <w:szCs w:val="16"/>
          <w:color w:val="auto"/>
        </w:rPr>
        <w:t>shared power to vote or to direct the vote: See Item 8 on the cover page(s) hereto.</w:t>
      </w:r>
    </w:p>
    <w:p>
      <w:pPr>
        <w:ind w:left="1420" w:right="5820" w:hanging="439"/>
        <w:spacing w:after="0" w:line="406" w:lineRule="auto"/>
        <w:tabs>
          <w:tab w:leader="none" w:pos="1405" w:val="left"/>
        </w:tabs>
        <w:numPr>
          <w:ilvl w:val="1"/>
          <w:numId w:val="8"/>
        </w:numPr>
        <w:rPr>
          <w:rFonts w:ascii="Arial" w:cs="Arial" w:eastAsia="Arial" w:hAnsi="Arial"/>
          <w:sz w:val="17"/>
          <w:szCs w:val="17"/>
          <w:color w:val="auto"/>
        </w:rPr>
      </w:pPr>
      <w:r>
        <w:rPr>
          <w:rFonts w:ascii="Arial" w:cs="Arial" w:eastAsia="Arial" w:hAnsi="Arial"/>
          <w:sz w:val="17"/>
          <w:szCs w:val="17"/>
          <w:color w:val="auto"/>
        </w:rPr>
        <w:t>sole power to dispose or to direct the disposition of: See Item 9 on the cover page(s) hereto.</w:t>
      </w:r>
    </w:p>
    <w:p>
      <w:pPr>
        <w:ind w:left="1420" w:right="5640" w:hanging="439"/>
        <w:spacing w:after="0" w:line="440" w:lineRule="auto"/>
        <w:tabs>
          <w:tab w:leader="none" w:pos="1405" w:val="left"/>
        </w:tabs>
        <w:numPr>
          <w:ilvl w:val="1"/>
          <w:numId w:val="8"/>
        </w:numPr>
        <w:rPr>
          <w:rFonts w:ascii="Arial" w:cs="Arial" w:eastAsia="Arial" w:hAnsi="Arial"/>
          <w:sz w:val="17"/>
          <w:szCs w:val="17"/>
          <w:color w:val="auto"/>
        </w:rPr>
      </w:pPr>
      <w:r>
        <w:rPr>
          <w:rFonts w:ascii="Arial" w:cs="Arial" w:eastAsia="Arial" w:hAnsi="Arial"/>
          <w:sz w:val="17"/>
          <w:szCs w:val="17"/>
          <w:color w:val="auto"/>
        </w:rPr>
        <w:t>shared power to dispose or to direct the disposition of: See Item 10 on the cover page(s) hereto.</w:t>
      </w:r>
    </w:p>
    <w:p>
      <w:pPr>
        <w:sectPr>
          <w:pgSz w:w="11900" w:h="16838" w:orient="portrait"/>
          <w:cols w:equalWidth="0" w:num="1">
            <w:col w:w="10960"/>
          </w:cols>
          <w:pgMar w:left="440" w:top="274" w:right="49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the date hereof, the Reporting Person owns only the Shares of the Issuer as set forth in this Item 5.</w:t>
      </w:r>
    </w:p>
    <w:p>
      <w:pPr>
        <w:spacing w:after="0" w:line="117" w:lineRule="exact"/>
        <w:rPr>
          <w:sz w:val="20"/>
          <w:szCs w:val="20"/>
          <w:color w:val="auto"/>
        </w:rPr>
      </w:pPr>
    </w:p>
    <w:p>
      <w:pPr>
        <w:ind w:left="-436" w:firstLine="436"/>
        <w:spacing w:after="0" w:line="277" w:lineRule="auto"/>
        <w:tabs>
          <w:tab w:leader="none" w:pos="249"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than as set forth in this Schedule 13D, there have been no transactions in the class of securities reported on that were effected by the Reporting Person during the past sixty days or since the most recent filing of Schedule 13D, whichever is less.</w:t>
      </w:r>
    </w:p>
    <w:p>
      <w:pPr>
        <w:spacing w:after="0" w:line="62" w:lineRule="exact"/>
        <w:rPr>
          <w:rFonts w:ascii="Arial" w:cs="Arial" w:eastAsia="Arial" w:hAnsi="Arial"/>
          <w:sz w:val="18"/>
          <w:szCs w:val="18"/>
          <w:color w:val="auto"/>
        </w:rPr>
      </w:pPr>
    </w:p>
    <w:p>
      <w:pPr>
        <w:ind w:left="264" w:hanging="264"/>
        <w:spacing w:after="0"/>
        <w:tabs>
          <w:tab w:leader="none" w:pos="264"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244" w:hanging="244"/>
        <w:spacing w:after="0"/>
        <w:tabs>
          <w:tab w:leader="none" w:pos="244"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ectPr>
          <w:pgSz w:w="11900" w:h="16838" w:orient="portrait"/>
          <w:cols w:equalWidth="0" w:num="1">
            <w:col w:w="10204"/>
          </w:cols>
          <w:pgMar w:left="876" w:top="274" w:right="81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3" w:lineRule="exact"/>
        <w:rPr>
          <w:sz w:val="20"/>
          <w:szCs w:val="20"/>
          <w:color w:val="auto"/>
        </w:rPr>
      </w:pPr>
    </w:p>
    <w:p>
      <w:pPr>
        <w:ind w:left="360"/>
        <w:spacing w:after="0"/>
        <w:tabs>
          <w:tab w:leader="none" w:pos="5600" w:val="left"/>
        </w:tabs>
        <w:rPr>
          <w:sz w:val="20"/>
          <w:szCs w:val="20"/>
          <w:color w:val="auto"/>
        </w:rPr>
      </w:pPr>
      <w:r>
        <w:rPr>
          <w:rFonts w:ascii="Arial" w:cs="Arial" w:eastAsia="Arial" w:hAnsi="Arial"/>
          <w:sz w:val="18"/>
          <w:szCs w:val="18"/>
          <w:color w:val="auto"/>
        </w:rPr>
        <w:t>Date: December 30, 2022</w:t>
      </w:r>
      <w:r>
        <w:rPr>
          <w:sz w:val="20"/>
          <w:szCs w:val="20"/>
          <w:color w:val="auto"/>
        </w:rPr>
        <w:tab/>
      </w:r>
      <w:r>
        <w:rPr>
          <w:rFonts w:ascii="Arial" w:cs="Arial" w:eastAsia="Arial" w:hAnsi="Arial"/>
          <w:sz w:val="18"/>
          <w:szCs w:val="18"/>
          <w:b w:val="1"/>
          <w:bCs w:val="1"/>
          <w:color w:val="auto"/>
        </w:rPr>
        <w:t>THE PUBLIC INSTITUTION FOR SOCIAL SECURITY</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Ricardo Davidovich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Ricardo Davidovich</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Authorized Signatory</w:t>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3"/>
    </w:lvl>
    <w:lvl w:ilvl="1">
      <w:lvlJc w:val="left"/>
      <w:lvlText w:val="%2."/>
      <w:numFmt w:val="decimal"/>
      <w:start w:val="7"/>
    </w:lvl>
  </w:abstractNum>
  <w:abstractNum w:abstractNumId="3">
    <w:nsid w:val="2EB141F2"/>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4">
    <w:nsid w:val="41B71EFB"/>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5">
    <w:nsid w:val="79E2A9E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2"/>
    </w:lvl>
    <w:lvl w:ilvl="1">
      <w:lvlJc w:val="left"/>
      <w:lvlText w:val="(%2)"/>
      <w:numFmt w:val="lowerRoman"/>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2022-12-30T15:48:30Z</dcterms:created>
  <dcterms:modified xsi:type="dcterms:W3CDTF">2022-12-30T15:48:30Z</dcterms:modified>
</cp:coreProperties>
</file>