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83"/>
        <w:spacing w:after="0"/>
        <w:tabs>
          <w:tab w:leader="none" w:pos="200" w:val="left"/>
        </w:tabs>
        <w:rPr>
          <w:sz w:val="20"/>
          <w:szCs w:val="20"/>
          <w:color w:val="auto"/>
        </w:rPr>
      </w:pPr>
      <w:r>
        <w:rPr>
          <w:rFonts w:ascii="Times New Roman" w:cs="Times New Roman" w:eastAsia="Times New Roman" w:hAnsi="Times New Roman"/>
          <w:sz w:val="22"/>
          <w:szCs w:val="22"/>
          <w:b w:val="1"/>
          <w:bCs w:val="1"/>
          <w:color w:val="auto"/>
        </w:rPr>
        <w:t>(Amendment No. 1</w:t>
      </w:r>
      <w:r>
        <w:rPr>
          <w:sz w:val="20"/>
          <w:szCs w:val="20"/>
          <w:color w:val="auto"/>
        </w:rPr>
        <w:tab/>
      </w:r>
      <w:r>
        <w:rPr>
          <w:rFonts w:ascii="Times New Roman" w:cs="Times New Roman" w:eastAsia="Times New Roman" w:hAnsi="Times New Roman"/>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SIXTH STREET LENDING PARTNERS</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Common shares of beneficial interest, par value $0.001 per share</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Joshua Peck</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2100 McKinney Avenue, Suite 1500</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Dallas, Texas 75201</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(469) 621-3001</w:t>
      </w:r>
    </w:p>
    <w:p>
      <w:pPr>
        <w:spacing w:after="0" w:line="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December 22, 2023</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12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41" w:lineRule="exact"/>
        <w:rPr>
          <w:sz w:val="24"/>
          <w:szCs w:val="24"/>
          <w:color w:val="auto"/>
        </w:rPr>
      </w:pPr>
    </w:p>
    <w:p>
      <w:pPr>
        <w:ind w:left="4" w:right="26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§240.13d-7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35560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14" w:lineRule="exact"/>
        <w:rPr>
          <w:sz w:val="24"/>
          <w:szCs w:val="24"/>
          <w:color w:val="auto"/>
        </w:rPr>
      </w:pPr>
    </w:p>
    <w:p>
      <w:pPr>
        <w:ind w:left="424" w:hanging="424"/>
        <w:spacing w:after="0" w:line="208" w:lineRule="auto"/>
        <w:tabs>
          <w:tab w:leader="none" w:pos="424" w:val="left"/>
        </w:tabs>
        <w:numPr>
          <w:ilvl w:val="0"/>
          <w:numId w:val="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0" w:lineRule="exact"/>
        <w:rPr>
          <w:sz w:val="24"/>
          <w:szCs w:val="24"/>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as amended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174625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4"/>
          </w:cols>
          <w:pgMar w:left="436" w:top="335" w:right="51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N/A</w:t>
      </w:r>
    </w:p>
    <w:p>
      <w:pPr>
        <w:spacing w:after="0" w:line="171" w:lineRule="exact"/>
        <w:rPr>
          <w:sz w:val="20"/>
          <w:szCs w:val="20"/>
          <w:color w:val="auto"/>
        </w:rPr>
      </w:pPr>
    </w:p>
    <w:p>
      <w:pPr>
        <w:ind w:left="664" w:hanging="417"/>
        <w:spacing w:after="0"/>
        <w:tabs>
          <w:tab w:leader="none" w:pos="6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Lending Partners Note Issuer, LLC</w:t>
      </w:r>
    </w:p>
    <w:p>
      <w:pPr>
        <w:spacing w:after="0" w:line="36"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-573405</wp:posOffset>
            </wp:positionV>
            <wp:extent cx="6926580" cy="6111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664"/>
        <w:spacing w:after="0" w:line="207" w:lineRule="exact"/>
        <w:tabs>
          <w:tab w:leader="none" w:pos="144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4" w:hanging="417"/>
        <w:spacing w:after="0"/>
        <w:tabs>
          <w:tab w:leader="none" w:pos="6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WC</w:t>
      </w:r>
    </w:p>
    <w:p>
      <w:pPr>
        <w:spacing w:after="0" w:line="36"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11"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33"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80" w:type="dxa"/>
            <w:vAlign w:val="bottom"/>
          </w:tcPr>
          <w:p>
            <w:pPr>
              <w:spacing w:after="0"/>
              <w:rPr>
                <w:sz w:val="24"/>
                <w:szCs w:val="24"/>
                <w:color w:val="auto"/>
              </w:rPr>
            </w:pP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920" w:type="dxa"/>
            <w:vAlign w:val="bottom"/>
            <w:vMerge w:val="continue"/>
          </w:tcPr>
          <w:p>
            <w:pPr>
              <w:spacing w:after="0"/>
              <w:rPr>
                <w:sz w:val="10"/>
                <w:szCs w:val="10"/>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80" w:type="dxa"/>
            <w:vAlign w:val="bottom"/>
            <w:vMerge w:val="continue"/>
          </w:tcPr>
          <w:p>
            <w:pPr>
              <w:spacing w:after="0"/>
              <w:rPr>
                <w:sz w:val="9"/>
                <w:szCs w:val="9"/>
                <w:color w:val="auto"/>
              </w:rPr>
            </w:pPr>
          </w:p>
        </w:tc>
        <w:tc>
          <w:tcPr>
            <w:tcW w:w="9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9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9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4,822,540</w:t>
            </w:r>
          </w:p>
        </w:tc>
        <w:tc>
          <w:tcPr>
            <w:tcW w:w="0" w:type="dxa"/>
            <w:vAlign w:val="bottom"/>
          </w:tcPr>
          <w:p>
            <w:pPr>
              <w:spacing w:after="0"/>
              <w:rPr>
                <w:sz w:val="1"/>
                <w:szCs w:val="1"/>
                <w:color w:val="auto"/>
              </w:rPr>
            </w:pPr>
          </w:p>
        </w:tc>
      </w:tr>
      <w:tr>
        <w:trPr>
          <w:trHeight w:val="120"/>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920" w:type="dxa"/>
            <w:vAlign w:val="bottom"/>
            <w:vMerge w:val="restart"/>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4" w:right="7380" w:hanging="516"/>
        <w:spacing w:after="0" w:line="395" w:lineRule="auto"/>
        <w:tabs>
          <w:tab w:leader="none" w:pos="174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4,822,540</w:t>
      </w:r>
    </w:p>
    <w:p>
      <w:pPr>
        <w:ind w:left="664" w:right="5560" w:hanging="507"/>
        <w:spacing w:after="0" w:line="406" w:lineRule="auto"/>
        <w:tabs>
          <w:tab w:leader="none" w:pos="65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4,822,540</w:t>
      </w:r>
    </w:p>
    <w:p>
      <w:pPr>
        <w:spacing w:after="0" w:line="1"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3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 (1)</w:t>
      </w:r>
    </w:p>
    <w:p>
      <w:pPr>
        <w:spacing w:after="0" w:line="36" w:lineRule="exact"/>
        <w:rPr>
          <w:rFonts w:ascii="Times New Roman" w:cs="Times New Roman" w:eastAsia="Times New Roman" w:hAnsi="Times New Roman"/>
          <w:sz w:val="18"/>
          <w:szCs w:val="18"/>
          <w:color w:val="auto"/>
        </w:rPr>
      </w:pPr>
    </w:p>
    <w:p>
      <w:pPr>
        <w:ind w:left="644" w:hanging="487"/>
        <w:spacing w:after="0"/>
        <w:tabs>
          <w:tab w:leader="none" w:pos="64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65,478,775 common shares of beneficial interest, par value $0.001 per share outstanding as of December 22, 2023, as disclosed by the Issuer to the Reporting Person.</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N/A</w:t>
      </w:r>
    </w:p>
    <w:p>
      <w:pPr>
        <w:spacing w:after="0" w:line="171" w:lineRule="exact"/>
        <w:rPr>
          <w:sz w:val="20"/>
          <w:szCs w:val="20"/>
          <w:color w:val="auto"/>
        </w:rPr>
      </w:pPr>
    </w:p>
    <w:p>
      <w:pPr>
        <w:jc w:val="both"/>
        <w:ind w:left="644" w:right="8340" w:hanging="397"/>
        <w:spacing w:after="0" w:line="430" w:lineRule="auto"/>
        <w:tabs>
          <w:tab w:leader="none" w:pos="647"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 TAO Sutton Holdings, LLC</w:t>
      </w:r>
    </w:p>
    <w:p>
      <w:pPr>
        <w:spacing w:after="0" w:line="1" w:lineRule="exact"/>
        <w:rPr>
          <w:rFonts w:ascii="Times New Roman" w:cs="Times New Roman" w:eastAsia="Times New Roman" w:hAnsi="Times New Roman"/>
          <w:sz w:val="17"/>
          <w:szCs w:val="17"/>
          <w:color w:val="auto"/>
        </w:rPr>
      </w:pPr>
    </w:p>
    <w:p>
      <w:pPr>
        <w:ind w:left="664" w:hanging="417"/>
        <w:spacing w:after="0"/>
        <w:tabs>
          <w:tab w:leader="none" w:pos="6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-573405</wp:posOffset>
            </wp:positionV>
            <wp:extent cx="6926580" cy="6111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664"/>
        <w:spacing w:after="0" w:line="207" w:lineRule="exact"/>
        <w:tabs>
          <w:tab w:leader="none" w:pos="144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4" w:hanging="417"/>
        <w:spacing w:after="0"/>
        <w:tabs>
          <w:tab w:leader="none" w:pos="6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6"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11"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33"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18"/>
          <w:szCs w:val="18"/>
          <w:color w:val="auto"/>
        </w:rPr>
        <w:t>Cayman Islands</w:t>
      </w:r>
    </w:p>
    <w:p>
      <w:pPr>
        <w:spacing w:after="0" w:line="36" w:lineRule="exact"/>
        <w:rPr>
          <w:sz w:val="20"/>
          <w:szCs w:val="20"/>
          <w:color w:val="auto"/>
        </w:rPr>
      </w:pPr>
    </w:p>
    <w:p>
      <w:pPr>
        <w:ind w:left="1744" w:hanging="426"/>
        <w:spacing w:after="0"/>
        <w:tabs>
          <w:tab w:leader="none" w:pos="17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12" w:lineRule="exact"/>
        <w:rPr>
          <w:sz w:val="20"/>
          <w:szCs w:val="20"/>
          <w:color w:val="auto"/>
        </w:rPr>
      </w:pPr>
    </w:p>
    <w:tbl>
      <w:tblPr>
        <w:tblLayout w:type="fixed"/>
        <w:tblInd w:w="204" w:type="dxa"/>
        <w:tblCellMar>
          <w:top w:w="0" w:type="dxa"/>
          <w:left w:w="0" w:type="dxa"/>
          <w:bottom w:w="0" w:type="dxa"/>
          <w:right w:w="0" w:type="dxa"/>
        </w:tblCellMar>
      </w:tblPr>
      <w:tr>
        <w:trPr>
          <w:trHeight w:val="22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80" w:type="dxa"/>
            <w:vAlign w:val="bottom"/>
          </w:tcPr>
          <w:p>
            <w:pPr>
              <w:spacing w:after="0"/>
              <w:rPr>
                <w:sz w:val="19"/>
                <w:szCs w:val="19"/>
                <w:color w:val="auto"/>
              </w:rPr>
            </w:pP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920" w:type="dxa"/>
            <w:vAlign w:val="bottom"/>
            <w:vMerge w:val="continue"/>
          </w:tcPr>
          <w:p>
            <w:pPr>
              <w:spacing w:after="0"/>
              <w:rPr>
                <w:sz w:val="10"/>
                <w:szCs w:val="10"/>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80" w:type="dxa"/>
            <w:vAlign w:val="bottom"/>
            <w:vMerge w:val="continue"/>
          </w:tcPr>
          <w:p>
            <w:pPr>
              <w:spacing w:after="0"/>
              <w:rPr>
                <w:sz w:val="9"/>
                <w:szCs w:val="9"/>
                <w:color w:val="auto"/>
              </w:rPr>
            </w:pPr>
          </w:p>
        </w:tc>
        <w:tc>
          <w:tcPr>
            <w:tcW w:w="9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9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9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4,822,540</w:t>
            </w:r>
          </w:p>
        </w:tc>
        <w:tc>
          <w:tcPr>
            <w:tcW w:w="0" w:type="dxa"/>
            <w:vAlign w:val="bottom"/>
          </w:tcPr>
          <w:p>
            <w:pPr>
              <w:spacing w:after="0"/>
              <w:rPr>
                <w:sz w:val="1"/>
                <w:szCs w:val="1"/>
                <w:color w:val="auto"/>
              </w:rPr>
            </w:pPr>
          </w:p>
        </w:tc>
      </w:tr>
      <w:tr>
        <w:trPr>
          <w:trHeight w:val="120"/>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920" w:type="dxa"/>
            <w:vAlign w:val="bottom"/>
            <w:vMerge w:val="restart"/>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4" w:right="7380" w:hanging="516"/>
        <w:spacing w:after="0" w:line="395" w:lineRule="auto"/>
        <w:tabs>
          <w:tab w:leader="none" w:pos="1744"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4,822,540</w:t>
      </w:r>
    </w:p>
    <w:p>
      <w:pPr>
        <w:ind w:left="664" w:right="5560" w:hanging="507"/>
        <w:spacing w:after="0" w:line="406" w:lineRule="auto"/>
        <w:tabs>
          <w:tab w:leader="none" w:pos="65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4,822,540</w:t>
      </w:r>
    </w:p>
    <w:p>
      <w:pPr>
        <w:spacing w:after="0" w:line="1"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3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 (1)</w:t>
      </w:r>
    </w:p>
    <w:p>
      <w:pPr>
        <w:spacing w:after="0" w:line="36" w:lineRule="exact"/>
        <w:rPr>
          <w:rFonts w:ascii="Times New Roman" w:cs="Times New Roman" w:eastAsia="Times New Roman" w:hAnsi="Times New Roman"/>
          <w:sz w:val="18"/>
          <w:szCs w:val="18"/>
          <w:color w:val="auto"/>
        </w:rPr>
      </w:pPr>
    </w:p>
    <w:p>
      <w:pPr>
        <w:ind w:left="644" w:hanging="487"/>
        <w:spacing w:after="0"/>
        <w:tabs>
          <w:tab w:leader="none" w:pos="64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65,478,775 common shares of beneficial interest, par value $0.001 per share outstanding as of December 22, 2023, as disclosed by the Issuer to the Reporting Person.</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N/A</w:t>
      </w:r>
    </w:p>
    <w:p>
      <w:pPr>
        <w:spacing w:after="0" w:line="171" w:lineRule="exact"/>
        <w:rPr>
          <w:sz w:val="20"/>
          <w:szCs w:val="20"/>
          <w:color w:val="auto"/>
        </w:rPr>
      </w:pPr>
    </w:p>
    <w:p>
      <w:pPr>
        <w:ind w:left="644" w:right="8120" w:hanging="397"/>
        <w:spacing w:after="0" w:line="430" w:lineRule="auto"/>
        <w:tabs>
          <w:tab w:leader="none" w:pos="647"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 TAO Insurance Holdings, LLC</w:t>
      </w:r>
    </w:p>
    <w:p>
      <w:pPr>
        <w:spacing w:after="0" w:line="1" w:lineRule="exact"/>
        <w:rPr>
          <w:rFonts w:ascii="Times New Roman" w:cs="Times New Roman" w:eastAsia="Times New Roman" w:hAnsi="Times New Roman"/>
          <w:sz w:val="17"/>
          <w:szCs w:val="17"/>
          <w:color w:val="auto"/>
        </w:rPr>
      </w:pPr>
    </w:p>
    <w:p>
      <w:pPr>
        <w:ind w:left="664" w:hanging="417"/>
        <w:spacing w:after="0"/>
        <w:tabs>
          <w:tab w:leader="none" w:pos="6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-573405</wp:posOffset>
            </wp:positionV>
            <wp:extent cx="6926580" cy="6111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664"/>
        <w:spacing w:after="0" w:line="207" w:lineRule="exact"/>
        <w:tabs>
          <w:tab w:leader="none" w:pos="144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4" w:hanging="417"/>
        <w:spacing w:after="0"/>
        <w:tabs>
          <w:tab w:leader="none" w:pos="6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6"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11"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33"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80" w:type="dxa"/>
            <w:vAlign w:val="bottom"/>
          </w:tcPr>
          <w:p>
            <w:pPr>
              <w:spacing w:after="0"/>
              <w:rPr>
                <w:sz w:val="24"/>
                <w:szCs w:val="24"/>
                <w:color w:val="auto"/>
              </w:rPr>
            </w:pP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920" w:type="dxa"/>
            <w:vAlign w:val="bottom"/>
            <w:vMerge w:val="continue"/>
          </w:tcPr>
          <w:p>
            <w:pPr>
              <w:spacing w:after="0"/>
              <w:rPr>
                <w:sz w:val="10"/>
                <w:szCs w:val="10"/>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80" w:type="dxa"/>
            <w:vAlign w:val="bottom"/>
            <w:vMerge w:val="continue"/>
          </w:tcPr>
          <w:p>
            <w:pPr>
              <w:spacing w:after="0"/>
              <w:rPr>
                <w:sz w:val="9"/>
                <w:szCs w:val="9"/>
                <w:color w:val="auto"/>
              </w:rPr>
            </w:pPr>
          </w:p>
        </w:tc>
        <w:tc>
          <w:tcPr>
            <w:tcW w:w="9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9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9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4,822,540</w:t>
            </w:r>
          </w:p>
        </w:tc>
        <w:tc>
          <w:tcPr>
            <w:tcW w:w="0" w:type="dxa"/>
            <w:vAlign w:val="bottom"/>
          </w:tcPr>
          <w:p>
            <w:pPr>
              <w:spacing w:after="0"/>
              <w:rPr>
                <w:sz w:val="1"/>
                <w:szCs w:val="1"/>
                <w:color w:val="auto"/>
              </w:rPr>
            </w:pPr>
          </w:p>
        </w:tc>
      </w:tr>
      <w:tr>
        <w:trPr>
          <w:trHeight w:val="120"/>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920" w:type="dxa"/>
            <w:vAlign w:val="bottom"/>
            <w:vMerge w:val="restart"/>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4" w:right="7380" w:hanging="516"/>
        <w:spacing w:after="0" w:line="395" w:lineRule="auto"/>
        <w:tabs>
          <w:tab w:leader="none" w:pos="1744"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4,822,540</w:t>
      </w:r>
    </w:p>
    <w:p>
      <w:pPr>
        <w:ind w:left="664" w:right="5560" w:hanging="507"/>
        <w:spacing w:after="0" w:line="406" w:lineRule="auto"/>
        <w:tabs>
          <w:tab w:leader="none" w:pos="65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4,822,540</w:t>
      </w:r>
    </w:p>
    <w:p>
      <w:pPr>
        <w:spacing w:after="0" w:line="1"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3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 (1)</w:t>
      </w:r>
    </w:p>
    <w:p>
      <w:pPr>
        <w:spacing w:after="0" w:line="36" w:lineRule="exact"/>
        <w:rPr>
          <w:rFonts w:ascii="Times New Roman" w:cs="Times New Roman" w:eastAsia="Times New Roman" w:hAnsi="Times New Roman"/>
          <w:sz w:val="18"/>
          <w:szCs w:val="18"/>
          <w:color w:val="auto"/>
        </w:rPr>
      </w:pPr>
    </w:p>
    <w:p>
      <w:pPr>
        <w:ind w:left="644" w:hanging="487"/>
        <w:spacing w:after="0"/>
        <w:tabs>
          <w:tab w:leader="none" w:pos="64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65,478,775 common shares of beneficial interest, par value $0.001 per share outstanding as of December 22, 2023, as disclosed by the Issuer to the Reporting Person.</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N/A</w:t>
      </w:r>
    </w:p>
    <w:p>
      <w:pPr>
        <w:spacing w:after="0" w:line="171" w:lineRule="exact"/>
        <w:rPr>
          <w:sz w:val="20"/>
          <w:szCs w:val="20"/>
          <w:color w:val="auto"/>
        </w:rPr>
      </w:pPr>
    </w:p>
    <w:p>
      <w:pPr>
        <w:ind w:left="644" w:right="8360" w:hanging="397"/>
        <w:spacing w:after="0" w:line="430" w:lineRule="auto"/>
        <w:tabs>
          <w:tab w:leader="none" w:pos="654"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 A. Michael Muscolino</w:t>
      </w:r>
    </w:p>
    <w:p>
      <w:pPr>
        <w:spacing w:after="0" w:line="1" w:lineRule="exact"/>
        <w:rPr>
          <w:rFonts w:ascii="Times New Roman" w:cs="Times New Roman" w:eastAsia="Times New Roman" w:hAnsi="Times New Roman"/>
          <w:sz w:val="17"/>
          <w:szCs w:val="17"/>
          <w:color w:val="auto"/>
        </w:rPr>
      </w:pPr>
    </w:p>
    <w:p>
      <w:pPr>
        <w:ind w:left="664" w:hanging="417"/>
        <w:spacing w:after="0"/>
        <w:tabs>
          <w:tab w:leader="none" w:pos="6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-573405</wp:posOffset>
            </wp:positionV>
            <wp:extent cx="6926580" cy="6111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664"/>
        <w:spacing w:after="0" w:line="207" w:lineRule="exact"/>
        <w:tabs>
          <w:tab w:leader="none" w:pos="144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4" w:hanging="417"/>
        <w:spacing w:after="0"/>
        <w:tabs>
          <w:tab w:leader="none" w:pos="6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6"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11"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33"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36" w:lineRule="exact"/>
        <w:rPr>
          <w:sz w:val="20"/>
          <w:szCs w:val="20"/>
          <w:color w:val="auto"/>
        </w:rPr>
      </w:pPr>
    </w:p>
    <w:p>
      <w:pPr>
        <w:ind w:left="1744" w:hanging="426"/>
        <w:spacing w:after="0"/>
        <w:tabs>
          <w:tab w:leader="none" w:pos="174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12" w:lineRule="exact"/>
        <w:rPr>
          <w:sz w:val="20"/>
          <w:szCs w:val="20"/>
          <w:color w:val="auto"/>
        </w:rPr>
      </w:pPr>
    </w:p>
    <w:tbl>
      <w:tblPr>
        <w:tblLayout w:type="fixed"/>
        <w:tblInd w:w="204" w:type="dxa"/>
        <w:tblCellMar>
          <w:top w:w="0" w:type="dxa"/>
          <w:left w:w="0" w:type="dxa"/>
          <w:bottom w:w="0" w:type="dxa"/>
          <w:right w:w="0" w:type="dxa"/>
        </w:tblCellMar>
      </w:tblPr>
      <w:tr>
        <w:trPr>
          <w:trHeight w:val="22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80" w:type="dxa"/>
            <w:vAlign w:val="bottom"/>
          </w:tcPr>
          <w:p>
            <w:pPr>
              <w:spacing w:after="0"/>
              <w:rPr>
                <w:sz w:val="19"/>
                <w:szCs w:val="19"/>
                <w:color w:val="auto"/>
              </w:rPr>
            </w:pP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920" w:type="dxa"/>
            <w:vAlign w:val="bottom"/>
            <w:vMerge w:val="continue"/>
          </w:tcPr>
          <w:p>
            <w:pPr>
              <w:spacing w:after="0"/>
              <w:rPr>
                <w:sz w:val="10"/>
                <w:szCs w:val="10"/>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80" w:type="dxa"/>
            <w:vAlign w:val="bottom"/>
            <w:vMerge w:val="continue"/>
          </w:tcPr>
          <w:p>
            <w:pPr>
              <w:spacing w:after="0"/>
              <w:rPr>
                <w:sz w:val="9"/>
                <w:szCs w:val="9"/>
                <w:color w:val="auto"/>
              </w:rPr>
            </w:pPr>
          </w:p>
        </w:tc>
        <w:tc>
          <w:tcPr>
            <w:tcW w:w="9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9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9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4,822,540</w:t>
            </w:r>
          </w:p>
        </w:tc>
        <w:tc>
          <w:tcPr>
            <w:tcW w:w="0" w:type="dxa"/>
            <w:vAlign w:val="bottom"/>
          </w:tcPr>
          <w:p>
            <w:pPr>
              <w:spacing w:after="0"/>
              <w:rPr>
                <w:sz w:val="1"/>
                <w:szCs w:val="1"/>
                <w:color w:val="auto"/>
              </w:rPr>
            </w:pPr>
          </w:p>
        </w:tc>
      </w:tr>
      <w:tr>
        <w:trPr>
          <w:trHeight w:val="120"/>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920" w:type="dxa"/>
            <w:vAlign w:val="bottom"/>
            <w:vMerge w:val="restart"/>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4" w:right="7380" w:hanging="516"/>
        <w:spacing w:after="0" w:line="395" w:lineRule="auto"/>
        <w:tabs>
          <w:tab w:leader="none" w:pos="1744"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4,822,540</w:t>
      </w:r>
    </w:p>
    <w:p>
      <w:pPr>
        <w:ind w:left="664" w:right="5560" w:hanging="507"/>
        <w:spacing w:after="0" w:line="406" w:lineRule="auto"/>
        <w:tabs>
          <w:tab w:leader="none" w:pos="65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4,822,540</w:t>
      </w:r>
    </w:p>
    <w:p>
      <w:pPr>
        <w:spacing w:after="0" w:line="1"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3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 (1)</w:t>
      </w:r>
    </w:p>
    <w:p>
      <w:pPr>
        <w:spacing w:after="0" w:line="36" w:lineRule="exact"/>
        <w:rPr>
          <w:rFonts w:ascii="Times New Roman" w:cs="Times New Roman" w:eastAsia="Times New Roman" w:hAnsi="Times New Roman"/>
          <w:sz w:val="18"/>
          <w:szCs w:val="18"/>
          <w:color w:val="auto"/>
        </w:rPr>
      </w:pPr>
    </w:p>
    <w:p>
      <w:pPr>
        <w:ind w:left="644" w:hanging="487"/>
        <w:spacing w:after="0"/>
        <w:tabs>
          <w:tab w:leader="none" w:pos="64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79"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65,478,775 common shares of beneficial interest, par value $0.001 per share outstanding as of December 22, 2023, as disclosed by the Issuer to the Reporting Person.</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N/A</w:t>
      </w:r>
    </w:p>
    <w:p>
      <w:pPr>
        <w:spacing w:after="0" w:line="171" w:lineRule="exact"/>
        <w:rPr>
          <w:sz w:val="20"/>
          <w:szCs w:val="20"/>
          <w:color w:val="auto"/>
        </w:rPr>
      </w:pPr>
    </w:p>
    <w:p>
      <w:pPr>
        <w:ind w:left="644" w:right="8360" w:hanging="397"/>
        <w:spacing w:after="0" w:line="406" w:lineRule="auto"/>
        <w:tabs>
          <w:tab w:leader="none" w:pos="65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 Alan Waxman</w:t>
      </w:r>
    </w:p>
    <w:p>
      <w:pPr>
        <w:spacing w:after="0" w:line="1"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-573405</wp:posOffset>
            </wp:positionV>
            <wp:extent cx="6926580" cy="6111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664"/>
        <w:spacing w:after="0" w:line="207" w:lineRule="exact"/>
        <w:tabs>
          <w:tab w:leader="none" w:pos="144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4" w:hanging="417"/>
        <w:spacing w:after="0"/>
        <w:tabs>
          <w:tab w:leader="none" w:pos="66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6"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11"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33"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36" w:lineRule="exact"/>
        <w:rPr>
          <w:sz w:val="20"/>
          <w:szCs w:val="20"/>
          <w:color w:val="auto"/>
        </w:rPr>
      </w:pPr>
    </w:p>
    <w:p>
      <w:pPr>
        <w:ind w:left="1744" w:hanging="426"/>
        <w:spacing w:after="0"/>
        <w:tabs>
          <w:tab w:leader="none" w:pos="174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12" w:lineRule="exact"/>
        <w:rPr>
          <w:sz w:val="20"/>
          <w:szCs w:val="20"/>
          <w:color w:val="auto"/>
        </w:rPr>
      </w:pPr>
    </w:p>
    <w:tbl>
      <w:tblPr>
        <w:tblLayout w:type="fixed"/>
        <w:tblInd w:w="204" w:type="dxa"/>
        <w:tblCellMar>
          <w:top w:w="0" w:type="dxa"/>
          <w:left w:w="0" w:type="dxa"/>
          <w:bottom w:w="0" w:type="dxa"/>
          <w:right w:w="0" w:type="dxa"/>
        </w:tblCellMar>
      </w:tblPr>
      <w:tr>
        <w:trPr>
          <w:trHeight w:val="22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80" w:type="dxa"/>
            <w:vAlign w:val="bottom"/>
          </w:tcPr>
          <w:p>
            <w:pPr>
              <w:spacing w:after="0"/>
              <w:rPr>
                <w:sz w:val="19"/>
                <w:szCs w:val="19"/>
                <w:color w:val="auto"/>
              </w:rPr>
            </w:pP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920" w:type="dxa"/>
            <w:vAlign w:val="bottom"/>
            <w:vMerge w:val="continue"/>
          </w:tcPr>
          <w:p>
            <w:pPr>
              <w:spacing w:after="0"/>
              <w:rPr>
                <w:sz w:val="10"/>
                <w:szCs w:val="10"/>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80" w:type="dxa"/>
            <w:vAlign w:val="bottom"/>
            <w:vMerge w:val="continue"/>
          </w:tcPr>
          <w:p>
            <w:pPr>
              <w:spacing w:after="0"/>
              <w:rPr>
                <w:sz w:val="9"/>
                <w:szCs w:val="9"/>
                <w:color w:val="auto"/>
              </w:rPr>
            </w:pPr>
          </w:p>
        </w:tc>
        <w:tc>
          <w:tcPr>
            <w:tcW w:w="9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9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9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4,822,540</w:t>
            </w:r>
          </w:p>
        </w:tc>
        <w:tc>
          <w:tcPr>
            <w:tcW w:w="0" w:type="dxa"/>
            <w:vAlign w:val="bottom"/>
          </w:tcPr>
          <w:p>
            <w:pPr>
              <w:spacing w:after="0"/>
              <w:rPr>
                <w:sz w:val="1"/>
                <w:szCs w:val="1"/>
                <w:color w:val="auto"/>
              </w:rPr>
            </w:pPr>
          </w:p>
        </w:tc>
      </w:tr>
      <w:tr>
        <w:trPr>
          <w:trHeight w:val="120"/>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920" w:type="dxa"/>
            <w:vAlign w:val="bottom"/>
            <w:vMerge w:val="restart"/>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4" w:right="7380" w:hanging="516"/>
        <w:spacing w:after="0" w:line="395" w:lineRule="auto"/>
        <w:tabs>
          <w:tab w:leader="none" w:pos="1744"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4,822,540</w:t>
      </w:r>
    </w:p>
    <w:p>
      <w:pPr>
        <w:ind w:left="664" w:right="5560" w:hanging="507"/>
        <w:spacing w:after="0" w:line="406" w:lineRule="auto"/>
        <w:tabs>
          <w:tab w:leader="none" w:pos="65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4,822,540</w:t>
      </w:r>
    </w:p>
    <w:p>
      <w:pPr>
        <w:spacing w:after="0" w:line="1"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3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 (1)</w:t>
      </w:r>
    </w:p>
    <w:p>
      <w:pPr>
        <w:spacing w:after="0" w:line="36" w:lineRule="exact"/>
        <w:rPr>
          <w:rFonts w:ascii="Times New Roman" w:cs="Times New Roman" w:eastAsia="Times New Roman" w:hAnsi="Times New Roman"/>
          <w:sz w:val="18"/>
          <w:szCs w:val="18"/>
          <w:color w:val="auto"/>
        </w:rPr>
      </w:pPr>
    </w:p>
    <w:p>
      <w:pPr>
        <w:ind w:left="644" w:hanging="487"/>
        <w:spacing w:after="0"/>
        <w:tabs>
          <w:tab w:leader="none" w:pos="64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79"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65,478,775 common shares of beneficial interest, par value $0.001 per share outstanding as of December 22, 2023, as disclosed by the Issuer to the Reporting Person.</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 Security and the Issuer</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This Amendment No. 1 (“Amendment No. 1”) amends the statement on Schedule 13D filed with the Securities Exchange Commission on December 1, 2023 (as amended, the “Schedule 13D”) related to common shares of beneficial interest, par value $0.001 per share (the “Shares”), of Sixth Street Lending Partners, a Delaware statutory trust (the “Issuer”). The address of the principal executive offices of the Issuer is located at 2100 McKinney Avenue, Suite 1500, Dallas, TX 75201.</w:t>
      </w:r>
    </w:p>
    <w:p>
      <w:pPr>
        <w:spacing w:after="0" w:line="180"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The Items below amend the information disclosed under the corresponding Items of the Schedule 13D as described below. Except as specifically provided herein, this Amendment No. 1 does not modify any of the information previously reported in the Schedule 13D. Capitalized terms used but not defined in this Amendment No. 1 shall have the same meanings ascribed to them in the Schedule 13D.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3 of the Schedule 13D is hereby amended and supplemented as follows:</w:t>
      </w:r>
    </w:p>
    <w:p>
      <w:pPr>
        <w:spacing w:after="0" w:line="117"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Pursuant to the Subscription Agreement and a capital contribution drawdown notice delivered by the Issuer with respect thereto, on December 22, 2023, Note Issuer purchased 1,136,308 Shares from the Issuer at $28.27 per Share for an aggregate purchase price of $32,123,442.</w:t>
      </w:r>
    </w:p>
    <w:p>
      <w:pPr>
        <w:spacing w:after="0" w:line="162"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The source of the funds for the purchase of Shares is the available investment capital of Note Issuer including capital contributions from one or more investors for investment purposes.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5 (a-c) of the Schedule 13D is hereby amended and restated as follows:</w:t>
      </w:r>
    </w:p>
    <w:p>
      <w:pPr>
        <w:spacing w:after="0" w:line="117" w:lineRule="exact"/>
        <w:rPr>
          <w:sz w:val="20"/>
          <w:szCs w:val="20"/>
          <w:color w:val="auto"/>
        </w:rPr>
      </w:pPr>
    </w:p>
    <w:p>
      <w:pPr>
        <w:ind w:right="40" w:firstLine="436"/>
        <w:spacing w:after="0" w:line="282" w:lineRule="auto"/>
        <w:tabs>
          <w:tab w:leader="none" w:pos="68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 Calculation of the percentage of the Shares beneficially owned is based on 65,478,775 Shares outstanding as of December 22, 2023, as disclosed by the Issuer to the Reporting Persons.</w:t>
      </w:r>
    </w:p>
    <w:p>
      <w:pPr>
        <w:spacing w:after="0" w:line="162"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Note Issuer directly holds 4,822,540 Shares. The aggregate number and percentage of the Shares beneficially owned by each Reporting Person and, for each Reporting Person, the number of shares as to which there is sole power to vote or to direct the vote, shared power to vote or to direct the vote, sole power to dispose or to direct the disposition, or shared power to dispose or to direct the disposition are set forth on rows 7 through 11 and row 13 of the cover pages of this Schedule 13D and are incorporated herein by reference.</w:t>
      </w:r>
    </w:p>
    <w:p>
      <w:pPr>
        <w:spacing w:after="0" w:line="180"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Note Issuer is the direct holder of the Shares. Note Issuer is controlled by its members, which are indirectly controlled by TAO Sutton Holdings. TAO Insurance Holdings is the managing member of TAO Sutton Holdings. Mr. Muscolino is the managing member of TAO Insurance Holdings. Pursuant to the limited liability company agreement of TAO Insurance Holdings, Mr. Waxman, as designated member of TAO Insurance Holdings, has the authority to appoint the managing member of TAO Insurance Holdings. Neither the filing of this Schedule 13D nor any of its contents shall be deemed to constitute an admission that any Reporting Person is the beneficial owner of the Shares referred to herein for purposes of Section 13(d) of the Securities Exchange Act of 1934, as amended, or for any other purpose.</w:t>
      </w:r>
    </w:p>
    <w:p>
      <w:pPr>
        <w:spacing w:after="0" w:line="79" w:lineRule="exact"/>
        <w:rPr>
          <w:sz w:val="20"/>
          <w:szCs w:val="20"/>
          <w:color w:val="auto"/>
        </w:rPr>
      </w:pPr>
    </w:p>
    <w:p>
      <w:pPr>
        <w:ind w:right="140" w:firstLine="436"/>
        <w:spacing w:after="0" w:line="266" w:lineRule="auto"/>
        <w:tabs>
          <w:tab w:leader="none" w:pos="68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set forth under Item 3 of this Schedule 13D is incorporated by reference herein. Except as set forth in this Schedule 13D, none of the Reporting Persons has effected any transaction in the Shares since the filing of the initial Schedule 13D with the Securities and Exchange Commission on December 1, 2023.</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66" w:right="459" w:bottom="1440" w:gutter="0" w:footer="0" w:header="0"/>
        </w:sectPr>
      </w:pPr>
    </w:p>
    <w:bookmarkStart w:id="7" w:name="page8"/>
    <w:bookmarkEnd w:id="7"/>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Date: December 22, 2023</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SIXTH STREET LENDING PARTNERS NOTE</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ISSUER, LLC</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TAO SUTTON HOLDINGS, LLC,</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TAO Insurance Holdings, LLC, its managing member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 Michael Muscolino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A. Michael Muscolino</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TAO INSURANCE HOLDINGS, LLC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 Michael Muscolino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A. Michael Muscolino</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A. Michael Muscolino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 Michael Muscolino</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Joshua Peck, on behalf of Alan Waxman</w:t>
      </w:r>
    </w:p>
    <w:sectPr>
      <w:pgSz w:w="11900" w:h="16838" w:orient="portrait"/>
      <w:cols w:equalWidth="0" w:num="1">
        <w:col w:w="10900"/>
      </w:cols>
      <w:pgMar w:left="440" w:top="266"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decimal"/>
      <w:start w:val="1"/>
    </w:lvl>
  </w:abstractNum>
  <w:abstractNum w:abstractNumId="2">
    <w:nsid w:val="25E45D32"/>
    <w:multiLevelType w:val="hybridMultilevel"/>
    <w:lvl w:ilvl="0">
      <w:lvlJc w:val="left"/>
      <w:lvlText w:val="%1."/>
      <w:numFmt w:val="decimal"/>
      <w:start w:val="3"/>
    </w:lvl>
  </w:abstractNum>
  <w:abstractNum w:abstractNumId="3">
    <w:nsid w:val="519B500D"/>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4">
    <w:nsid w:val="431BD7B7"/>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5">
    <w:nsid w:val="3F2DBA31"/>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3"/>
    </w:lvl>
  </w:abstractNum>
  <w:abstractNum w:abstractNumId="8">
    <w:nsid w:val="62BBD95A"/>
    <w:multiLevelType w:val="hybridMultilevel"/>
    <w:lvl w:ilvl="0">
      <w:lvlJc w:val="left"/>
      <w:lvlText w:val="%1."/>
      <w:numFmt w:val="decimal"/>
      <w:start w:val="7"/>
    </w:lvl>
  </w:abstractNum>
  <w:abstractNum w:abstractNumId="9">
    <w:nsid w:val="436C6125"/>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10">
    <w:nsid w:val="628C895D"/>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11">
    <w:nsid w:val="333AB105"/>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1."/>
      <w:numFmt w:val="decimal"/>
      <w:start w:val="3"/>
    </w:lvl>
  </w:abstractNum>
  <w:abstractNum w:abstractNumId="14">
    <w:nsid w:val="2D1D5AE9"/>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15">
    <w:nsid w:val="6763845E"/>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16">
    <w:nsid w:val="75A2A8D4"/>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7">
    <w:nsid w:val="8EDBDAB"/>
    <w:multiLevelType w:val="hybridMultilevel"/>
    <w:lvl w:ilvl="0">
      <w:lvlJc w:val="left"/>
      <w:lvlText w:val="%1."/>
      <w:numFmt w:val="decimal"/>
      <w:start w:val="1"/>
    </w:lvl>
    <w:lvl w:ilvl="1">
      <w:lvlJc w:val="left"/>
      <w:lvlText w:val="%2"/>
      <w:numFmt w:val="upperLetter"/>
      <w:start w:val="1"/>
    </w:lvl>
  </w:abstractNum>
  <w:abstractNum w:abstractNumId="18">
    <w:nsid w:val="79838CB2"/>
    <w:multiLevelType w:val="hybridMultilevel"/>
    <w:lvl w:ilvl="0">
      <w:lvlJc w:val="left"/>
      <w:lvlText w:val="%1."/>
      <w:numFmt w:val="decimal"/>
      <w:start w:val="3"/>
    </w:lvl>
  </w:abstractNum>
  <w:abstractNum w:abstractNumId="19">
    <w:nsid w:val="4353D0CD"/>
    <w:multiLevelType w:val="hybridMultilevel"/>
    <w:lvl w:ilvl="0">
      <w:lvlJc w:val="left"/>
      <w:lvlText w:val="%1."/>
      <w:numFmt w:val="decimal"/>
      <w:start w:val="7"/>
    </w:lvl>
  </w:abstractNum>
  <w:abstractNum w:abstractNumId="20">
    <w:nsid w:val="B03E0C6"/>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21">
    <w:nsid w:val="189A769B"/>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22">
    <w:nsid w:val="54E49EB4"/>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1."/>
      <w:numFmt w:val="decimal"/>
      <w:start w:val="3"/>
    </w:lvl>
  </w:abstractNum>
  <w:abstractNum w:abstractNumId="25">
    <w:nsid w:val="836C40E"/>
    <w:multiLevelType w:val="hybridMultilevel"/>
    <w:lvl w:ilvl="0">
      <w:lvlJc w:val="left"/>
      <w:lvlText w:val="%1."/>
      <w:numFmt w:val="decimal"/>
      <w:start w:val="7"/>
    </w:lvl>
  </w:abstractNum>
  <w:abstractNum w:abstractNumId="26">
    <w:nsid w:val="2901D82"/>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27">
    <w:nsid w:val="3A95F874"/>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28">
    <w:nsid w:val="8138641"/>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29">
    <w:nsid w:val="1E7FF521"/>
    <w:multiLevelType w:val="hybridMultilevel"/>
    <w:lvl w:ilvl="0">
      <w:lvlJc w:val="left"/>
      <w:lvlText w:val="(%1)"/>
      <w:numFmt w:val="lowerLetter"/>
      <w:start w:val="1"/>
    </w:lvl>
  </w:abstractNum>
  <w:abstractNum w:abstractNumId="30">
    <w:nsid w:val="7C3DBD3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2023-12-22T15:35:57Z</dcterms:created>
  <dcterms:modified xsi:type="dcterms:W3CDTF">2023-12-22T15:35:57Z</dcterms:modified>
</cp:coreProperties>
</file>