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58549dsc13da.htm"/>
      <w:bookmarkStart w:id="1" w:name="ksd858549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shares of beneficial interest,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Joshua Peck </w:t>
      </w:r>
    </w:p>
    <w:p>
      <w:pPr>
        <w:pStyle w:val="TextBody"/>
        <w:bidi w:val="0"/>
        <w:spacing w:before="0" w:after="0"/>
        <w:jc w:val="center"/>
        <w:rPr>
          <w:rFonts w:ascii="Times New Roman" w:hAnsi="Times New Roman"/>
          <w:b/>
          <w:sz w:val="20"/>
        </w:rPr>
      </w:pPr>
      <w:r>
        <w:rPr>
          <w:rFonts w:ascii="Times New Roman" w:hAnsi="Times New Roman"/>
          <w:b/>
          <w:sz w:val="20"/>
        </w:rPr>
        <w:t xml:space="preserve">2100 McKinney Avenue,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75201 </w:t>
      </w:r>
    </w:p>
    <w:p>
      <w:pPr>
        <w:pStyle w:val="TextBody"/>
        <w:bidi w:val="0"/>
        <w:spacing w:before="0" w:after="0"/>
        <w:jc w:val="center"/>
        <w:rPr>
          <w:rFonts w:ascii="Times New Roman" w:hAnsi="Times New Roman"/>
          <w:b/>
          <w:sz w:val="20"/>
        </w:rPr>
      </w:pPr>
      <w:r>
        <w:rPr>
          <w:rFonts w:ascii="Times New Roman" w:hAnsi="Times New Roman"/>
          <w:b/>
          <w:sz w:val="20"/>
        </w:rPr>
        <w:t xml:space="preserve">(469) 621-3001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480" w:after="0"/>
        <w:jc w:val="center"/>
        <w:rPr>
          <w:rFonts w:ascii="Times New Roman" w:hAnsi="Times New Roman"/>
          <w:b/>
          <w:sz w:val="20"/>
        </w:rPr>
      </w:pPr>
      <w:r>
        <w:rPr>
          <w:rFonts w:ascii="Times New Roman" w:hAnsi="Times New Roman"/>
          <w:b/>
          <w:sz w:val="20"/>
        </w:rPr>
        <w:t xml:space="preserve">June 25,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§240.13d-7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as amended (</w:t>
      </w:r>
      <w:r>
        <w:rPr>
          <w:rFonts w:ascii="Times New Roman" w:hAnsi="Times New Roman"/>
          <w:b/>
          <w:i/>
          <w:sz w:val="20"/>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7"/>
        <w:gridCol w:w="121"/>
        <w:gridCol w:w="756"/>
        <w:gridCol w:w="172"/>
        <w:gridCol w:w="169"/>
        <w:gridCol w:w="172"/>
        <w:gridCol w:w="8318"/>
      </w:tblGrid>
      <w:tr>
        <w:trPr/>
        <w:tc>
          <w:tcPr>
            <w:tcW w:w="4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318" w:type="dxa"/>
            <w:tcBorders/>
            <w:vAlign w:val="center"/>
          </w:tcPr>
          <w:p>
            <w:pPr>
              <w:pStyle w:val="TableContents"/>
              <w:bidi w:val="0"/>
              <w:spacing w:before="0" w:after="283"/>
              <w:jc w:val="left"/>
              <w:rPr>
                <w:sz w:val="4"/>
                <w:szCs w:val="4"/>
              </w:rPr>
            </w:pPr>
            <w:r>
              <w:rPr>
                <w:sz w:val="4"/>
                <w:szCs w:val="4"/>
              </w:rPr>
            </w:r>
          </w:p>
        </w:tc>
      </w:tr>
      <w:tr>
        <w:trPr/>
        <w:tc>
          <w:tcPr>
            <w:tcW w:w="49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Sixth Street Lending Partners Note Issuer, LLC</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5000" w:type="pct"/>
        <w:jc w:val="left"/>
        <w:tblInd w:w="0" w:type="dxa"/>
        <w:tblLayout w:type="fixed"/>
        <w:tblCellMar>
          <w:top w:w="0" w:type="dxa"/>
          <w:left w:w="0" w:type="dxa"/>
          <w:bottom w:w="0" w:type="dxa"/>
          <w:right w:w="0" w:type="dxa"/>
        </w:tblCellMar>
      </w:tblPr>
      <w:tblGrid>
        <w:gridCol w:w="448"/>
        <w:gridCol w:w="366"/>
        <w:gridCol w:w="780"/>
        <w:gridCol w:w="178"/>
        <w:gridCol w:w="454"/>
        <w:gridCol w:w="130"/>
        <w:gridCol w:w="7849"/>
      </w:tblGrid>
      <w:tr>
        <w:trPr/>
        <w:tc>
          <w:tcPr>
            <w:tcW w:w="44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159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7.  </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8.</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9.</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tcBorders>
            <w:tcMar>
              <w:left w:w="28" w:type="dxa"/>
            </w:tcMar>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10.</w:t>
            </w:r>
          </w:p>
        </w:tc>
        <w:tc>
          <w:tcPr>
            <w:tcW w:w="130" w:type="dxa"/>
            <w:tcBorders>
              <w:left w:val="single" w:sz="2" w:space="0" w:color="000000"/>
            </w:tcBorders>
            <w:tcMar>
              <w:left w:w="28" w:type="dxa"/>
            </w:tcMar>
            <w:vAlign w:val="bottom"/>
          </w:tcPr>
          <w:p>
            <w:pPr>
              <w:pStyle w:val="TableContents"/>
              <w:bidi w:val="0"/>
              <w:spacing w:before="0" w:after="283"/>
              <w:jc w:val="left"/>
              <w:rPr/>
            </w:pPr>
            <w:r>
              <w:rPr/>
              <w:t> </w:t>
            </w:r>
          </w:p>
        </w:tc>
        <w:tc>
          <w:tcPr>
            <w:tcW w:w="78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bl>
    <w:tbl>
      <w:tblPr>
        <w:tblW w:w="5000" w:type="pct"/>
        <w:jc w:val="left"/>
        <w:tblInd w:w="0" w:type="dxa"/>
        <w:tblLayout w:type="fixed"/>
        <w:tblCellMar>
          <w:top w:w="0" w:type="dxa"/>
          <w:left w:w="0" w:type="dxa"/>
          <w:bottom w:w="0" w:type="dxa"/>
          <w:right w:w="0" w:type="dxa"/>
        </w:tblCellMar>
      </w:tblPr>
      <w:tblGrid>
        <w:gridCol w:w="523"/>
        <w:gridCol w:w="128"/>
        <w:gridCol w:w="679"/>
        <w:gridCol w:w="212"/>
        <w:gridCol w:w="205"/>
        <w:gridCol w:w="212"/>
        <w:gridCol w:w="8246"/>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7.6% (1)</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94,644,720 common shares of beneficial interest, par value $0.001 per share outstanding as of June 25, 2024,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7"/>
        <w:gridCol w:w="121"/>
        <w:gridCol w:w="756"/>
        <w:gridCol w:w="172"/>
        <w:gridCol w:w="169"/>
        <w:gridCol w:w="172"/>
        <w:gridCol w:w="8318"/>
      </w:tblGrid>
      <w:tr>
        <w:trPr/>
        <w:tc>
          <w:tcPr>
            <w:tcW w:w="4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318" w:type="dxa"/>
            <w:tcBorders/>
            <w:vAlign w:val="center"/>
          </w:tcPr>
          <w:p>
            <w:pPr>
              <w:pStyle w:val="TableContents"/>
              <w:bidi w:val="0"/>
              <w:spacing w:before="0" w:after="283"/>
              <w:jc w:val="left"/>
              <w:rPr>
                <w:sz w:val="4"/>
                <w:szCs w:val="4"/>
              </w:rPr>
            </w:pPr>
            <w:r>
              <w:rPr>
                <w:sz w:val="4"/>
                <w:szCs w:val="4"/>
              </w:rPr>
            </w:r>
          </w:p>
        </w:tc>
      </w:tr>
      <w:tr>
        <w:trPr/>
        <w:tc>
          <w:tcPr>
            <w:tcW w:w="49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TAO Sutton Holdings, LLC</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5000" w:type="pct"/>
        <w:jc w:val="left"/>
        <w:tblInd w:w="0" w:type="dxa"/>
        <w:tblLayout w:type="fixed"/>
        <w:tblCellMar>
          <w:top w:w="0" w:type="dxa"/>
          <w:left w:w="0" w:type="dxa"/>
          <w:bottom w:w="0" w:type="dxa"/>
          <w:right w:w="0" w:type="dxa"/>
        </w:tblCellMar>
      </w:tblPr>
      <w:tblGrid>
        <w:gridCol w:w="448"/>
        <w:gridCol w:w="366"/>
        <w:gridCol w:w="780"/>
        <w:gridCol w:w="178"/>
        <w:gridCol w:w="454"/>
        <w:gridCol w:w="130"/>
        <w:gridCol w:w="7849"/>
      </w:tblGrid>
      <w:tr>
        <w:trPr/>
        <w:tc>
          <w:tcPr>
            <w:tcW w:w="44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159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7.  </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8.</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9.</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tcBorders>
            <w:tcMar>
              <w:left w:w="28" w:type="dxa"/>
            </w:tcMar>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10.</w:t>
            </w:r>
          </w:p>
        </w:tc>
        <w:tc>
          <w:tcPr>
            <w:tcW w:w="130" w:type="dxa"/>
            <w:tcBorders>
              <w:left w:val="single" w:sz="2" w:space="0" w:color="000000"/>
            </w:tcBorders>
            <w:tcMar>
              <w:left w:w="28" w:type="dxa"/>
            </w:tcMar>
            <w:vAlign w:val="bottom"/>
          </w:tcPr>
          <w:p>
            <w:pPr>
              <w:pStyle w:val="TableContents"/>
              <w:bidi w:val="0"/>
              <w:spacing w:before="0" w:after="283"/>
              <w:jc w:val="left"/>
              <w:rPr/>
            </w:pPr>
            <w:r>
              <w:rPr/>
              <w:t> </w:t>
            </w:r>
          </w:p>
        </w:tc>
        <w:tc>
          <w:tcPr>
            <w:tcW w:w="78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bl>
    <w:tbl>
      <w:tblPr>
        <w:tblW w:w="5000" w:type="pct"/>
        <w:jc w:val="left"/>
        <w:tblInd w:w="0" w:type="dxa"/>
        <w:tblLayout w:type="fixed"/>
        <w:tblCellMar>
          <w:top w:w="0" w:type="dxa"/>
          <w:left w:w="0" w:type="dxa"/>
          <w:bottom w:w="0" w:type="dxa"/>
          <w:right w:w="0" w:type="dxa"/>
        </w:tblCellMar>
      </w:tblPr>
      <w:tblGrid>
        <w:gridCol w:w="523"/>
        <w:gridCol w:w="128"/>
        <w:gridCol w:w="679"/>
        <w:gridCol w:w="212"/>
        <w:gridCol w:w="205"/>
        <w:gridCol w:w="212"/>
        <w:gridCol w:w="8246"/>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7.6% (1)</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94,644,720 common shares of beneficial interest, par value $0.001 per share outstanding as of June 25, 2024,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7"/>
        <w:gridCol w:w="121"/>
        <w:gridCol w:w="756"/>
        <w:gridCol w:w="172"/>
        <w:gridCol w:w="169"/>
        <w:gridCol w:w="172"/>
        <w:gridCol w:w="8318"/>
      </w:tblGrid>
      <w:tr>
        <w:trPr/>
        <w:tc>
          <w:tcPr>
            <w:tcW w:w="4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318" w:type="dxa"/>
            <w:tcBorders/>
            <w:vAlign w:val="center"/>
          </w:tcPr>
          <w:p>
            <w:pPr>
              <w:pStyle w:val="TableContents"/>
              <w:bidi w:val="0"/>
              <w:spacing w:before="0" w:after="283"/>
              <w:jc w:val="left"/>
              <w:rPr>
                <w:sz w:val="4"/>
                <w:szCs w:val="4"/>
              </w:rPr>
            </w:pPr>
            <w:r>
              <w:rPr>
                <w:sz w:val="4"/>
                <w:szCs w:val="4"/>
              </w:rPr>
            </w:r>
          </w:p>
        </w:tc>
      </w:tr>
      <w:tr>
        <w:trPr/>
        <w:tc>
          <w:tcPr>
            <w:tcW w:w="49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TAO Insurance Holdings, LLC</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5000" w:type="pct"/>
        <w:jc w:val="left"/>
        <w:tblInd w:w="0" w:type="dxa"/>
        <w:tblLayout w:type="fixed"/>
        <w:tblCellMar>
          <w:top w:w="0" w:type="dxa"/>
          <w:left w:w="0" w:type="dxa"/>
          <w:bottom w:w="0" w:type="dxa"/>
          <w:right w:w="0" w:type="dxa"/>
        </w:tblCellMar>
      </w:tblPr>
      <w:tblGrid>
        <w:gridCol w:w="448"/>
        <w:gridCol w:w="366"/>
        <w:gridCol w:w="780"/>
        <w:gridCol w:w="178"/>
        <w:gridCol w:w="454"/>
        <w:gridCol w:w="130"/>
        <w:gridCol w:w="7849"/>
      </w:tblGrid>
      <w:tr>
        <w:trPr/>
        <w:tc>
          <w:tcPr>
            <w:tcW w:w="44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159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7.  </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8.</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9.</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tcBorders>
            <w:tcMar>
              <w:left w:w="28" w:type="dxa"/>
            </w:tcMar>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10.</w:t>
            </w:r>
          </w:p>
        </w:tc>
        <w:tc>
          <w:tcPr>
            <w:tcW w:w="130" w:type="dxa"/>
            <w:tcBorders>
              <w:left w:val="single" w:sz="2" w:space="0" w:color="000000"/>
            </w:tcBorders>
            <w:tcMar>
              <w:left w:w="28" w:type="dxa"/>
            </w:tcMar>
            <w:vAlign w:val="bottom"/>
          </w:tcPr>
          <w:p>
            <w:pPr>
              <w:pStyle w:val="TableContents"/>
              <w:bidi w:val="0"/>
              <w:spacing w:before="0" w:after="283"/>
              <w:jc w:val="left"/>
              <w:rPr/>
            </w:pPr>
            <w:r>
              <w:rPr/>
              <w:t> </w:t>
            </w:r>
          </w:p>
        </w:tc>
        <w:tc>
          <w:tcPr>
            <w:tcW w:w="78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bl>
    <w:tbl>
      <w:tblPr>
        <w:tblW w:w="5000" w:type="pct"/>
        <w:jc w:val="left"/>
        <w:tblInd w:w="0" w:type="dxa"/>
        <w:tblLayout w:type="fixed"/>
        <w:tblCellMar>
          <w:top w:w="0" w:type="dxa"/>
          <w:left w:w="0" w:type="dxa"/>
          <w:bottom w:w="0" w:type="dxa"/>
          <w:right w:w="0" w:type="dxa"/>
        </w:tblCellMar>
      </w:tblPr>
      <w:tblGrid>
        <w:gridCol w:w="523"/>
        <w:gridCol w:w="128"/>
        <w:gridCol w:w="679"/>
        <w:gridCol w:w="212"/>
        <w:gridCol w:w="205"/>
        <w:gridCol w:w="212"/>
        <w:gridCol w:w="8246"/>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7.6% (1)</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94,644,720 common shares of beneficial interest, par value $0.001 per share outstanding as of June 25, 2024,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2"/>
        <w:gridCol w:w="125"/>
        <w:gridCol w:w="754"/>
        <w:gridCol w:w="189"/>
        <w:gridCol w:w="181"/>
        <w:gridCol w:w="189"/>
        <w:gridCol w:w="8255"/>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255"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6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Michael Muscolino</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6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bl>
    <w:tbl>
      <w:tblPr>
        <w:tblW w:w="5000" w:type="pct"/>
        <w:jc w:val="left"/>
        <w:tblInd w:w="0" w:type="dxa"/>
        <w:tblLayout w:type="fixed"/>
        <w:tblCellMar>
          <w:top w:w="0" w:type="dxa"/>
          <w:left w:w="0" w:type="dxa"/>
          <w:bottom w:w="0" w:type="dxa"/>
          <w:right w:w="0" w:type="dxa"/>
        </w:tblCellMar>
      </w:tblPr>
      <w:tblGrid>
        <w:gridCol w:w="448"/>
        <w:gridCol w:w="366"/>
        <w:gridCol w:w="780"/>
        <w:gridCol w:w="178"/>
        <w:gridCol w:w="454"/>
        <w:gridCol w:w="130"/>
        <w:gridCol w:w="7849"/>
      </w:tblGrid>
      <w:tr>
        <w:trPr/>
        <w:tc>
          <w:tcPr>
            <w:tcW w:w="44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159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7.  </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8.</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9.</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tcBorders>
            <w:tcMar>
              <w:left w:w="28" w:type="dxa"/>
            </w:tcMar>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10.</w:t>
            </w:r>
          </w:p>
        </w:tc>
        <w:tc>
          <w:tcPr>
            <w:tcW w:w="130" w:type="dxa"/>
            <w:tcBorders>
              <w:left w:val="single" w:sz="2" w:space="0" w:color="000000"/>
            </w:tcBorders>
            <w:tcMar>
              <w:left w:w="28" w:type="dxa"/>
            </w:tcMar>
            <w:vAlign w:val="bottom"/>
          </w:tcPr>
          <w:p>
            <w:pPr>
              <w:pStyle w:val="TableContents"/>
              <w:bidi w:val="0"/>
              <w:spacing w:before="0" w:after="283"/>
              <w:jc w:val="left"/>
              <w:rPr/>
            </w:pPr>
            <w:r>
              <w:rPr/>
              <w:t> </w:t>
            </w:r>
          </w:p>
        </w:tc>
        <w:tc>
          <w:tcPr>
            <w:tcW w:w="78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bl>
    <w:tbl>
      <w:tblPr>
        <w:tblW w:w="5000" w:type="pct"/>
        <w:jc w:val="left"/>
        <w:tblInd w:w="0" w:type="dxa"/>
        <w:tblLayout w:type="fixed"/>
        <w:tblCellMar>
          <w:top w:w="0" w:type="dxa"/>
          <w:left w:w="0" w:type="dxa"/>
          <w:bottom w:w="0" w:type="dxa"/>
          <w:right w:w="0" w:type="dxa"/>
        </w:tblCellMar>
      </w:tblPr>
      <w:tblGrid>
        <w:gridCol w:w="523"/>
        <w:gridCol w:w="128"/>
        <w:gridCol w:w="679"/>
        <w:gridCol w:w="212"/>
        <w:gridCol w:w="205"/>
        <w:gridCol w:w="212"/>
        <w:gridCol w:w="8246"/>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7,181,825</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7.6% (1)</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94,644,720 common shares of beneficial interest, par value $0.001 per share outstanding as of June 25, 2024, as disclosed by the Issuer to the Reporting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7"/>
        <w:gridCol w:w="121"/>
        <w:gridCol w:w="756"/>
        <w:gridCol w:w="172"/>
        <w:gridCol w:w="169"/>
        <w:gridCol w:w="172"/>
        <w:gridCol w:w="8318"/>
      </w:tblGrid>
      <w:tr>
        <w:trPr/>
        <w:tc>
          <w:tcPr>
            <w:tcW w:w="4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318" w:type="dxa"/>
            <w:tcBorders/>
            <w:vAlign w:val="center"/>
          </w:tcPr>
          <w:p>
            <w:pPr>
              <w:pStyle w:val="TableContents"/>
              <w:bidi w:val="0"/>
              <w:spacing w:before="0" w:after="283"/>
              <w:jc w:val="left"/>
              <w:rPr>
                <w:sz w:val="4"/>
                <w:szCs w:val="4"/>
              </w:rPr>
            </w:pPr>
            <w:r>
              <w:rPr>
                <w:sz w:val="4"/>
                <w:szCs w:val="4"/>
              </w:rPr>
            </w:r>
          </w:p>
        </w:tc>
      </w:tr>
      <w:tr>
        <w:trPr/>
        <w:tc>
          <w:tcPr>
            <w:tcW w:w="49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Alan Waxman</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9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bl>
    <w:tbl>
      <w:tblPr>
        <w:tblW w:w="5000" w:type="pct"/>
        <w:jc w:val="left"/>
        <w:tblInd w:w="0" w:type="dxa"/>
        <w:tblLayout w:type="fixed"/>
        <w:tblCellMar>
          <w:top w:w="0" w:type="dxa"/>
          <w:left w:w="0" w:type="dxa"/>
          <w:bottom w:w="0" w:type="dxa"/>
          <w:right w:w="0" w:type="dxa"/>
        </w:tblCellMar>
      </w:tblPr>
      <w:tblGrid>
        <w:gridCol w:w="448"/>
        <w:gridCol w:w="366"/>
        <w:gridCol w:w="780"/>
        <w:gridCol w:w="178"/>
        <w:gridCol w:w="454"/>
        <w:gridCol w:w="130"/>
        <w:gridCol w:w="7849"/>
      </w:tblGrid>
      <w:tr>
        <w:trPr/>
        <w:tc>
          <w:tcPr>
            <w:tcW w:w="448"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r>
      <w:tr>
        <w:trPr/>
        <w:tc>
          <w:tcPr>
            <w:tcW w:w="159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7.  </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297,918</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8.</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7,183,025</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4" w:type="dxa"/>
            <w:tcBorders>
              <w:bottom w:val="single" w:sz="2" w:space="0" w:color="000000"/>
            </w:tcBorders>
            <w:tcMar>
              <w:bottom w:w="28" w:type="dxa"/>
            </w:tcMar>
          </w:tcPr>
          <w:p>
            <w:pPr>
              <w:pStyle w:val="TableContents"/>
              <w:bidi w:val="0"/>
              <w:spacing w:before="0" w:after="283"/>
              <w:jc w:val="left"/>
              <w:rPr/>
            </w:pPr>
            <w:r>
              <w:rPr/>
              <w:t> </w:t>
            </w:r>
            <w:r>
              <w:rPr/>
              <w:t>9.</w:t>
            </w:r>
          </w:p>
        </w:tc>
        <w:tc>
          <w:tcPr>
            <w:tcW w:w="13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94" w:type="dxa"/>
            <w:gridSpan w:val="3"/>
            <w:vMerge w:val="continue"/>
            <w:tcBorders>
              <w:left w:val="single" w:sz="2" w:space="0" w:color="000000"/>
            </w:tcBorders>
            <w:tcMar>
              <w:left w:w="160" w:type="dxa"/>
            </w:tcMar>
            <w:vAlign w:val="center"/>
          </w:tcPr>
          <w:p>
            <w:pPr>
              <w:pStyle w:val="Normal"/>
              <w:bidi w:val="0"/>
              <w:jc w:val="left"/>
              <w:rPr/>
            </w:pPr>
            <w:r>
              <w:rPr/>
            </w:r>
          </w:p>
        </w:tc>
        <w:tc>
          <w:tcPr>
            <w:tcW w:w="178" w:type="dxa"/>
            <w:tcBorders>
              <w:left w:val="single" w:sz="2" w:space="0" w:color="000000"/>
            </w:tcBorders>
            <w:tcMar>
              <w:left w:w="28" w:type="dxa"/>
            </w:tcMar>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10.</w:t>
            </w:r>
          </w:p>
        </w:tc>
        <w:tc>
          <w:tcPr>
            <w:tcW w:w="130" w:type="dxa"/>
            <w:tcBorders>
              <w:left w:val="single" w:sz="2" w:space="0" w:color="000000"/>
            </w:tcBorders>
            <w:tcMar>
              <w:left w:w="28" w:type="dxa"/>
            </w:tcMar>
            <w:vAlign w:val="bottom"/>
          </w:tcPr>
          <w:p>
            <w:pPr>
              <w:pStyle w:val="TableContents"/>
              <w:bidi w:val="0"/>
              <w:spacing w:before="0" w:after="283"/>
              <w:jc w:val="left"/>
              <w:rPr/>
            </w:pPr>
            <w:r>
              <w:rPr/>
              <w:t> </w:t>
            </w:r>
          </w:p>
        </w:tc>
        <w:tc>
          <w:tcPr>
            <w:tcW w:w="78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8,458,043</w:t>
            </w:r>
          </w:p>
        </w:tc>
      </w:tr>
    </w:tbl>
    <w:tbl>
      <w:tblPr>
        <w:tblW w:w="5000" w:type="pct"/>
        <w:jc w:val="left"/>
        <w:tblInd w:w="0" w:type="dxa"/>
        <w:tblLayout w:type="fixed"/>
        <w:tblCellMar>
          <w:top w:w="0" w:type="dxa"/>
          <w:left w:w="0" w:type="dxa"/>
          <w:bottom w:w="0" w:type="dxa"/>
          <w:right w:w="0" w:type="dxa"/>
        </w:tblCellMar>
      </w:tblPr>
      <w:tblGrid>
        <w:gridCol w:w="523"/>
        <w:gridCol w:w="128"/>
        <w:gridCol w:w="679"/>
        <w:gridCol w:w="212"/>
        <w:gridCol w:w="205"/>
        <w:gridCol w:w="212"/>
        <w:gridCol w:w="8246"/>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6"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8,458,043</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8.9% (1)</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94,644,720 common shares of beneficial interest, par value $0.001 per share outstanding as of June 25, 2024, as disclosed by the Issuer to the Reporting Person.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Amendment No. 3 (Amendment No. 3) amends the statement on Schedule 13D filed with the Securities and Exchange Commission on December 1, 2023 (the Original Schedule 13D), as amended by Amendment No. 1 filed with the Securities and Exchange Commission on December 22, 2023, as amended by Amendment No. 2 filed with the Securities and Exchange Commission on March 8, 2024 (as amended, the Schedule 13D) related to the common shares of beneficial interest, par value $0.001 per share (the Shares), of Sixth Street Lending Partners, a Delaware statutory trust (the Issuer). The address of the principal executive offices of the Issuer is located at 2100 McKinney Avenue, Suite 1500, 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The Items below amend the information disclosed under the corresponding Items of the Schedule 13D as described below. Except as specifically provided herein, this Amendment No. 3 does not modify any of the information previously reported in the Schedule 13D. Capitalized terms used but not defined in this Amendment No. 2 shall have the same meanings ascribed to them in the Schedule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3 of the Schedule 13D is hereby amended and supplemented as follows: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previously disclosed Subscription Agreement and capital contribution drawdown notices delivered by the Issuer with respect thereto, on March 26, 2024 and June 25, 2024, Sixth Street Lending Partners Note Issuer, LLC (Note Issuer) purchased 572,449 and 921,526 Shares from the Issuer respectively at $28.99 and $29.55 per Share respectively, for an aggregate purchase price of $16,595,343 and $27,231,095 respectively. The source of the funds for the purchase of Shares by Note Issuer is the available investment capital of Note Issuer including capital contributions from one or more investors for investment purposes.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previously disclosed Adviser Subscription Agreement and capital contribution drawdown notices delivered by the Issuer with respect thereto, on March 26, 2024 and June 25, 2024, Sixth Street Lending Partners Advisers, LLC (Adviser) purchased 104,230 and 167,788 Shares from the Issuer respectively at $28.99 and $29.55 per Share respectively, for an aggregate purchase price of $3,021,633 and $4,958,161 respectively. The source of the funds for the purchase of Shares by Adviser is the available investment capital of Adviser including capital contributions from one or more investors for investment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13D is hereby amended and supplemented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Items 3, 5 and 6 of this Schedule 13D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Shares of the Issuer currently owned by Note Issuer and Adviser were acquired for investment purposes. Pursuant to the Subscription Agreement and Adviser Subscription Agreement, each of Note Issuer and Adviser is obligated to purchase additional Shares from the Issuer from time to time for an aggregate purchase price not to exceed its respective capital commitment.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review the investment in the Issuer on a continuing basis and depending on such review may consider from time to time various alternative courses of action. The Reporting Persons reserve the right, in light of their ongoing evaluation of the Issuers financial condition, business, operations and prospects, the market price and availability of the Shares or other securities of the Issuer, conditions in the securities markets generally, general economic and industry conditions, regulatory requirements, other investment opportunities available to them, their business and investment objectives and other relevant factors, to change their plans and intentions at any time or to take such actions with respect to Note Issuers and/or Advisers investment in the Issuer as they deem appropriate, in each case as may be permitted pursuant to applicable law and contractual agreements. The Reporting Persons intend to review their investment in the Issuer on an ongoing basis and, in the course of their review, reserve the right to take actions (including through their affiliates) with respect to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 or the Issuer, including communicating with the board of trustees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listing or de-listing or de-registration of the Issuers securities, or any action similar to those enumerated above. </w:t>
      </w:r>
    </w:p>
    <w:p>
      <w:pPr>
        <w:pStyle w:val="TextBody"/>
        <w:bidi w:val="0"/>
        <w:spacing w:before="240" w:after="0"/>
        <w:jc w:val="left"/>
        <w:rPr>
          <w:rFonts w:ascii="Times New Roman" w:hAnsi="Times New Roman"/>
          <w:sz w:val="20"/>
        </w:rPr>
      </w:pPr>
      <w:r>
        <w:rPr>
          <w:rFonts w:ascii="Times New Roman" w:hAnsi="Times New Roman"/>
          <w:sz w:val="20"/>
        </w:rPr>
        <w:t xml:space="preserve">Adviser is the Issuers investment adviser and administrator, and is a registered investment adviser with the U.S. Securities and Exchange Commission under the Investment Advisers Act of 1940, as amended. Mr. Waxman is a Vice President of the Issuer and Co-Chief Investment Officer of Adviser. Mr. Waxman is a Co-Founding Partner and Chief Executive Officer of Sixth Street. Adviser is responsible for, among other things, managing the Issuers day-to-day investment operations, all subject to oversight by the Issuers Board. All of the Issuers officers and directors, other than the Issuers independent trustees, are employees of affiliates of Sixth Street Partners, LLC. In such capacities, these individuals may have influence over the corporate activities of the Issuer, including activities which may relate to items described in subparagraphs (a) through (j) of Item 4 of Schedule 13D.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5 (a-c) of the Schedule 13D is hereby amended and restated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and (b) Calculation of the percentage of the Shares beneficially owned is based on 94,644,720 Shares outstanding as of June 25, 2024, as disclosed by the Issuer to the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Note Issuer directly holds 7,181,825 Shares and Adviser directly holds 1,276,218 Shares. Mr. Waxman may be deemed to have sole voting power with respect to 297,918 Shares held directly by Adviser, shared voting power with respect to 7,181,825 Shares held directly by Note Issuer and 1,200 Shares held directly by Adviser, and shared dispositive power over all of the Shares held by Note Issuer and Adviser. The aggregate number and percentage of the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Adviser is managed by TSSP Holdco Management, LLC (Holdco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Holdco Management is managed by a board of directors, which is currently comprised of Mr. Waxman. Mr. Waxman is the CEO and Managing Partner of Holdco Management. As such, Mr. Waxman may be deemed to have beneficial ownership over the Shares directly held by Note Issuer and Adviser.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(c) Information set forth under Item 3 of this Schedule 13D is incorporated by reference herein. Except as set forth in this Schedule 13D, none of the Reporting Persons has effected any transactions in the Shares in the last sixty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June 27,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8"/>
        <w:gridCol w:w="66"/>
        <w:gridCol w:w="3508"/>
      </w:tblGrid>
      <w:tr>
        <w:trPr/>
        <w:tc>
          <w:tcPr>
            <w:tcW w:w="5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SIXTH STREET LENDING PARTNERS NOTE ISSUER,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SUTTON HOLDINGS, LLC,</w:t>
            </w:r>
          </w:p>
        </w:tc>
      </w:tr>
      <w:tr>
        <w:trPr/>
        <w:tc>
          <w:tcPr>
            <w:tcW w:w="4082" w:type="dxa"/>
            <w:gridSpan w:val="3"/>
            <w:tcBorders/>
          </w:tcPr>
          <w:p>
            <w:pPr>
              <w:pStyle w:val="TableContents"/>
              <w:bidi w:val="0"/>
              <w:spacing w:before="0" w:after="283"/>
              <w:jc w:val="left"/>
              <w:rPr/>
            </w:pPr>
            <w:r>
              <w:rPr/>
              <w:t>By: TAO Insurance Holdings, LLC, its managing member</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TAO INSURANCE HOLDINGS, LLC</w:t>
            </w:r>
          </w:p>
        </w:tc>
      </w:tr>
      <w:tr>
        <w:trPr>
          <w:trHeight w:val="240" w:hRule="atLeast"/>
        </w:trPr>
        <w:tc>
          <w:tcPr>
            <w:tcW w:w="508" w:type="dxa"/>
            <w:tcBorders/>
            <w:vAlign w:val="center"/>
          </w:tcPr>
          <w:p>
            <w:pPr>
              <w:pStyle w:val="TableContents"/>
              <w:bidi w:val="0"/>
              <w:spacing w:before="0" w:after="283"/>
              <w:jc w:val="left"/>
              <w:rPr>
                <w:sz w:val="4"/>
                <w:szCs w:val="4"/>
              </w:rPr>
            </w:pPr>
            <w:r>
              <w:rPr>
                <w:sz w:val="4"/>
                <w:szCs w:val="4"/>
              </w:rPr>
            </w:r>
          </w:p>
        </w:tc>
        <w:tc>
          <w:tcPr>
            <w:tcW w:w="3574" w:type="dxa"/>
            <w:gridSpan w:val="2"/>
            <w:tcBorders/>
            <w:vAlign w:val="center"/>
          </w:tcPr>
          <w:p>
            <w:pPr>
              <w:pStyle w:val="TableContents"/>
              <w:bidi w:val="0"/>
              <w:spacing w:before="0" w:after="283"/>
              <w:jc w:val="left"/>
              <w:rPr>
                <w:sz w:val="4"/>
                <w:szCs w:val="4"/>
              </w:rPr>
            </w:pPr>
            <w:r>
              <w:rPr>
                <w:sz w:val="4"/>
                <w:szCs w:val="4"/>
              </w:rPr>
            </w:r>
          </w:p>
        </w:tc>
      </w:tr>
      <w:tr>
        <w:trPr/>
        <w:tc>
          <w:tcPr>
            <w:tcW w:w="5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Name: A. Michael Muscolino</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Michael Muscolino</w:t>
            </w:r>
          </w:p>
        </w:tc>
      </w:tr>
      <w:tr>
        <w:trPr/>
        <w:tc>
          <w:tcPr>
            <w:tcW w:w="4082" w:type="dxa"/>
            <w:gridSpan w:val="3"/>
            <w:tcBorders/>
          </w:tcPr>
          <w:p>
            <w:pPr>
              <w:pStyle w:val="TableContents"/>
              <w:bidi w:val="0"/>
              <w:spacing w:before="0" w:after="283"/>
              <w:jc w:val="left"/>
              <w:rPr/>
            </w:pPr>
            <w:r>
              <w:rPr/>
              <w:t>A. Michael Muscolino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Peck</w:t>
            </w:r>
          </w:p>
        </w:tc>
      </w:tr>
      <w:tr>
        <w:trPr/>
        <w:tc>
          <w:tcPr>
            <w:tcW w:w="4082" w:type="dxa"/>
            <w:gridSpan w:val="3"/>
            <w:tcBorders/>
          </w:tcPr>
          <w:p>
            <w:pPr>
              <w:pStyle w:val="TableContents"/>
              <w:bidi w:val="0"/>
              <w:spacing w:before="0" w:after="283"/>
              <w:jc w:val="left"/>
              <w:rPr/>
            </w:pPr>
            <w:r>
              <w:rPr/>
              <w:t>Name: Joshua Peck</w:t>
            </w:r>
          </w:p>
        </w:tc>
      </w:tr>
      <w:tr>
        <w:trPr/>
        <w:tc>
          <w:tcPr>
            <w:tcW w:w="4082" w:type="dxa"/>
            <w:gridSpan w:val="3"/>
            <w:tcBorders/>
          </w:tcPr>
          <w:p>
            <w:pPr>
              <w:pStyle w:val="TableContents"/>
              <w:bidi w:val="0"/>
              <w:spacing w:before="0" w:after="283"/>
              <w:jc w:val="left"/>
              <w:rPr/>
            </w:pPr>
            <w:r>
              <w:rPr/>
              <w:t>Title: Joshua Peck, on behalf of Alan Waxman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2874</Words>
  <Characters>14621</Characters>
  <CharactersWithSpaces>17620</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