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10,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184785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Sixth Street Lending Partners</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814-01543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88-1710161</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2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jc w:val="center"/>
        <w:ind w:right="1836"/>
        <w:spacing w:after="0"/>
        <w:rPr>
          <w:sz w:val="20"/>
          <w:szCs w:val="20"/>
          <w:color w:val="auto"/>
        </w:rPr>
      </w:pPr>
      <w:r>
        <w:rPr>
          <w:rFonts w:ascii="Times New Roman" w:cs="Times New Roman" w:eastAsia="Times New Roman" w:hAnsi="Times New Roman"/>
          <w:sz w:val="17"/>
          <w:szCs w:val="17"/>
          <w:b w:val="1"/>
          <w:bCs w:val="1"/>
          <w:color w:val="auto"/>
        </w:rPr>
        <w:t>2100 McKinney Avenue, Suite 1500</w:t>
      </w:r>
    </w:p>
    <w:p>
      <w:pPr>
        <w:spacing w:after="0" w:line="43"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8"/>
          <w:szCs w:val="18"/>
          <w:b w:val="1"/>
          <w:bCs w:val="1"/>
          <w:color w:val="auto"/>
        </w:rPr>
        <w:t>Dallas, TX</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75201</w:t>
      </w:r>
    </w:p>
    <w:p>
      <w:pPr>
        <w:spacing w:after="0" w:line="258"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4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27" w:lineRule="exact"/>
        <w:rPr>
          <w:sz w:val="24"/>
          <w:szCs w:val="24"/>
          <w:color w:val="auto"/>
        </w:rPr>
      </w:pPr>
    </w:p>
    <w:p>
      <w:pPr>
        <w:sectPr>
          <w:pgSz w:w="11900" w:h="16838" w:orient="portrait"/>
          <w:cols w:equalWidth="0" w:num="2">
            <w:col w:w="7324" w:space="720"/>
            <w:col w:w="298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(469) 621-3001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182880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54"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4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None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None</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None</w:t>
            </w:r>
          </w:p>
        </w:tc>
        <w:tc>
          <w:tcPr>
            <w:tcW w:w="0" w:type="dxa"/>
            <w:vAlign w:val="bottom"/>
          </w:tcPr>
          <w:p>
            <w:pPr>
              <w:spacing w:after="0"/>
              <w:rPr>
                <w:sz w:val="1"/>
                <w:szCs w:val="1"/>
                <w:color w:val="auto"/>
              </w:rPr>
            </w:pPr>
          </w:p>
        </w:tc>
      </w:tr>
    </w:tbl>
    <w:p>
      <w:pPr>
        <w:spacing w:after="0" w:line="98"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3"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98"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 – Entry into a Material Definitive Agreement.</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On June 10, 2024, Sixth Street Lending Partners (the “Company”) entered into a purchase agreement (the “Purchase Agreement”) by and among the Company, Sixth Street Lending Partners Advisers, LLC (the “Adviser”) and BofA Securities, Inc., as representative of the several initial purchasers named in Schedule 1 thereto (the “Initial Purchasers”), in connection with the issuance and sale of $150 million aggregate principal amount of the Company’s 6.500% Notes due 2029 (the “Notes”) in a private offering to qualified institutional buyers in accordance with Rule 144A under the Securities Act of 1933, as amended (the “Securities Act”), and to non-U.S. persons in transactions outside the United States in reliance on Regulation S under the Securities Act. The Notes represent a further issuance of the Company’s 6.500% Notes due 2029 issued in aggregate principal amount of $600,000,000 on March 11, 2024.</w:t>
      </w:r>
    </w:p>
    <w:p>
      <w:pPr>
        <w:spacing w:after="0" w:line="18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Notes will be issued at 99.842% of their par value with a coupon at 6.500%. Interest on the Notes will be payable semi-annually on March 11 and September 11 of each year commencing on September 11, 2024. The Notes will mature on March 11, 2029. The offering is expected to close, subject to customary closing conditions, on June 17, 2024. The Purchase Agreement contains customary representations, warranties, conditions to closing, indemnification rights and obligations of the parties and termination provisions. Pursuant to the Purchase Agreement, on or prior to the closing of the offering, the Company will enter into a registration rights agreement with BofA Securities, Inc., with respect to the Notes.</w:t>
      </w:r>
    </w:p>
    <w:p>
      <w:pPr>
        <w:spacing w:after="0" w:line="183"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Company intends to use the net proceeds of the offering of the Notes to pay down a portion of the outstanding indebtedness on its revolving credit facility and/or its subscription facility.</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Certain of the Initial Purchasers and their respective affiliates have engaged in, and may in the future engage in, investment banking, advisory roles and other commercial dealings in the ordinary course of business with the Company or its affiliates. They have received, or may in the future receive, customary fees and commissions for these transactions.</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included in Item 1.01 of this Current Report on Form 8-K is neither an offer to sell nor a solicitation of an offer to buy any securities of the Company or its subsidiaries.</w:t>
      </w:r>
    </w:p>
    <w:p>
      <w:pPr>
        <w:spacing w:after="0" w:line="16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Purchase Agreement does not purport to be complete and is qualified in its entirety by reference to the full text of the Purchase Agreement, filed as Exhibit 10.1 hereto and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4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540" w:type="dxa"/>
            <w:vAlign w:val="bottom"/>
            <w:gridSpan w:val="2"/>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4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45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540" w:type="dxa"/>
            <w:vAlign w:val="bottom"/>
          </w:tcPr>
          <w:p>
            <w:pPr>
              <w:spacing w:after="0"/>
              <w:rPr>
                <w:sz w:val="24"/>
                <w:szCs w:val="24"/>
                <w:color w:val="auto"/>
              </w:rPr>
            </w:pPr>
          </w:p>
        </w:tc>
        <w:tc>
          <w:tcPr>
            <w:tcW w:w="988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Purchase Agreement dated June 10, 2024, by and among Sixth Street Lending Partners, Sixth Street Lending Partners Advisers, LLC and</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2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BofA Securities, Inc., as representative of the several initial purchasers named therein.</w:t>
            </w:r>
          </w:p>
        </w:tc>
        <w:tc>
          <w:tcPr>
            <w:tcW w:w="3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40" w:type="dxa"/>
            <w:vAlign w:val="bottom"/>
          </w:tcPr>
          <w:p>
            <w:pPr>
              <w:spacing w:after="0"/>
              <w:rPr>
                <w:sz w:val="24"/>
                <w:szCs w:val="24"/>
                <w:color w:val="auto"/>
              </w:rPr>
            </w:pPr>
          </w:p>
        </w:tc>
        <w:tc>
          <w:tcPr>
            <w:tcW w:w="9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0940"/>
          </w:cols>
          <w:pgMar w:left="440" w:top="293" w:right="5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SIXTH STREET LENDING PARTNERS</w:t>
      </w:r>
    </w:p>
    <w:p>
      <w:pPr>
        <w:spacing w:after="0" w:line="27"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color w:val="auto"/>
        </w:rPr>
        <w:t>(Registrant)</w:t>
      </w:r>
    </w:p>
    <w:p>
      <w:pPr>
        <w:spacing w:after="0" w:line="220"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June 14,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Ian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Ian Simmonds</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8-K – Sixth Street Lending Partners</w:t>
      </w:r>
      <w:r>
        <w:rPr>
          <w:rFonts w:ascii="Times New Roman" w:cs="Times New Roman" w:eastAsia="Times New Roman" w:hAnsi="Times New Roman"/>
          <w:sz w:val="18"/>
          <w:szCs w:val="18"/>
          <w:color w:val="auto"/>
        </w:rPr>
        <w:t>]</w:t>
      </w:r>
    </w:p>
    <w:p>
      <w:pPr>
        <w:sectPr>
          <w:pgSz w:w="11900" w:h="16838" w:orient="portrait"/>
          <w:cols w:equalWidth="0" w:num="1">
            <w:col w:w="11000"/>
          </w:cols>
          <w:pgMar w:left="440" w:top="293" w:right="4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Exhibit 10.1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SIXTH STREET LENDING PARTNERS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$150,000,000</w:t>
      </w:r>
    </w:p>
    <w:p>
      <w:pPr>
        <w:spacing w:after="0" w:line="225"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6.500% Notes due 2029</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Purchase Agreement</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June 10,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Bryant Park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Representative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several Initial Purchasers listed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Schedule 1 hereto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Sixth Street Lending Partners, a Delaware statutory trust (the “Company”), proposes to issue and sell to the several Initial Purchasers listed in Schedule 1 hereto (the “Initial Purchasers”), for whom you are acting as representative (the “Representative”), $150,000,000 aggregate principal amount of 6.500% Notes due 2029 (the “Notes”).</w:t>
      </w:r>
    </w:p>
    <w:p>
      <w:pPr>
        <w:spacing w:after="0" w:line="176"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The Notes will be issued under an indenture dated as of March 11, 2024 (the “Base Indenture”), as supplemented by the First Supplemental Indenture, dated as of March 11, 2024 (the “First Supplemental Indenture”), as further supplemented by the Second Supplemental Indenture, to be dated as of June 17, 2024 (the “Second Supplemental Indenture”; the Base Indenture, as supplemented by the First Supplemental Indenture and the Second Supplemental Indenture, the “Indenture”) between the Company and U.S. Bank Trust Company, National Association, as trustee (the “Trustee”). The Notes will be issued in book-entry form to Cede &amp; Co. as nominee of the Depository Trust Company (“DTC”) pursuant to a blanket letter of representations, dated as of March 11, 2024, between the Company and DTC.</w:t>
      </w:r>
    </w:p>
    <w:p>
      <w:pPr>
        <w:spacing w:after="0" w:line="187" w:lineRule="exact"/>
        <w:rPr>
          <w:sz w:val="20"/>
          <w:szCs w:val="20"/>
          <w:color w:val="auto"/>
        </w:rPr>
      </w:pPr>
    </w:p>
    <w:p>
      <w:pPr>
        <w:ind w:right="240" w:firstLine="440"/>
        <w:spacing w:after="0" w:line="261" w:lineRule="auto"/>
        <w:rPr>
          <w:sz w:val="20"/>
          <w:szCs w:val="20"/>
          <w:color w:val="auto"/>
        </w:rPr>
      </w:pPr>
      <w:r>
        <w:rPr>
          <w:rFonts w:ascii="Times New Roman" w:cs="Times New Roman" w:eastAsia="Times New Roman" w:hAnsi="Times New Roman"/>
          <w:sz w:val="18"/>
          <w:szCs w:val="18"/>
          <w:color w:val="auto"/>
        </w:rPr>
        <w:t>The Company has previously issued $600,000,000 aggregate principal amount of its 6.500% Notes due 2029 under the Indenture (the “Existing Notes”). The Notes offered by the Company constitute an issuance of “Additional Notes” under the Indenture. Except as otherwise described in the Offering Memorandum (as defined below), the Notes offered by the Company will have identical terms to the Existing Notes and will be treated as a single class of notes for all purposes under the Indenture.</w:t>
      </w:r>
    </w:p>
    <w:p>
      <w:pPr>
        <w:spacing w:after="0" w:line="180"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The Company understands that the Initial Purchasers propose to make an offering of the Notes as soon as the Representative deems advisable after this Agreement has been executed and delivered.</w:t>
      </w:r>
    </w:p>
    <w:p>
      <w:pPr>
        <w:sectPr>
          <w:pgSz w:w="11900" w:h="16838" w:orient="portrait"/>
          <w:cols w:equalWidth="0" w:num="1">
            <w:col w:w="11020"/>
          </w:cols>
          <w:pgMar w:left="440" w:top="117" w:right="439" w:bottom="1440" w:gutter="0" w:footer="0" w:header="0"/>
        </w:sectPr>
      </w:pPr>
    </w:p>
    <w:bookmarkStart w:id="4" w:name="page5"/>
    <w:bookmarkEnd w:id="4"/>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hereby confirms its agreement with the several Initial Purchasers concerning the purchase and sale of the Notes, as follows:</w:t>
      </w:r>
    </w:p>
    <w:p>
      <w:pPr>
        <w:spacing w:after="0" w:line="117"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u w:val="single" w:color="auto"/>
          <w:color w:val="auto"/>
        </w:rPr>
        <w:t>Offering Memorandum</w:t>
      </w:r>
      <w:r>
        <w:rPr>
          <w:rFonts w:ascii="Times New Roman" w:cs="Times New Roman" w:eastAsia="Times New Roman" w:hAnsi="Times New Roman"/>
          <w:sz w:val="18"/>
          <w:szCs w:val="18"/>
          <w:color w:val="auto"/>
        </w:rPr>
        <w:t>. The Notes will be offered and sold to the Initial Purchasers without being registered under the Securities Act of 1933, as amended (the “Securities Act”), in reliance upon an exemption therefrom. The Company has prepared a preliminary offering memorandum, dated June 10, 2024 (the “Preliminary Offering Memorandum”) and will prepare an offering memorandum dated the date hereof (the “Offering Memorandum”) setting forth information concerning the Company and the Notes. Copies of the Preliminary Offering Memorandum have been, and copies of the Offering Memorandum will be, delivered by the Company to the Initial Purchasers pursuant to the terms of this Agreement. The Company hereby confirms that it has authorized the use of the Preliminary Offering Memorandum, the Pricing Disclosure Package (as defined below) and the Offering Memorandum in connection with the offering and resale of the Notes by the Initial Purchasers in the manner contemplated by this Agreement. Capitalized terms used but not defined herein shall have the meanings given to such terms in the Offering Memorandum.</w:t>
      </w:r>
    </w:p>
    <w:p>
      <w:pPr>
        <w:spacing w:after="0" w:line="192"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A Form N-54A Notification of Election to be Subject to Sections 55 through 65 of the Investment Company Act of 1940 (File No. 814-01543) (the “Notification of Election”) was filed, pursuant to Section 54(a) of the Investment Company Act of 1940, as amended, and the rules and regulations of the Securities and Exchange Commission (the “Commission”) thereunder (collectively, the “Investment Company Act”) with the Commission on June 28, 2022.</w:t>
      </w:r>
    </w:p>
    <w:p>
      <w:pPr>
        <w:spacing w:after="0" w:line="180" w:lineRule="exact"/>
        <w:rPr>
          <w:sz w:val="20"/>
          <w:szCs w:val="20"/>
          <w:color w:val="auto"/>
        </w:rPr>
      </w:pPr>
    </w:p>
    <w:p>
      <w:pPr>
        <w:ind w:right="300" w:firstLine="440"/>
        <w:spacing w:after="0" w:line="266" w:lineRule="auto"/>
        <w:rPr>
          <w:sz w:val="20"/>
          <w:szCs w:val="20"/>
          <w:color w:val="auto"/>
        </w:rPr>
      </w:pPr>
      <w:r>
        <w:rPr>
          <w:rFonts w:ascii="Times New Roman" w:cs="Times New Roman" w:eastAsia="Times New Roman" w:hAnsi="Times New Roman"/>
          <w:sz w:val="18"/>
          <w:szCs w:val="18"/>
          <w:color w:val="auto"/>
        </w:rPr>
        <w:t>The Company has entered into an Investment Advisory and Management Agreement, dated as of June 28, 2022 (the “Investment Management Agreement”), with Sixth Street Lending Partners Advisers, LLC, a Delaware limited liability company registered as an investment adviser (the “Adviser”) under the Investment Advisers Act of 1940, as amended, and the rules and regulations thereunder (the “Advisers Act”).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has also entered into an Administration Agreement, dated as of June 28, 2022 (the “Administration Agreement”) with the Adviser.</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At or prior to the Applicable Time (as defined below), the Company had prepared the Preliminary Offering Memorandum, which together with the information set forth on Schedule 2 hereto comprises the “Pricing Disclosure Package.”</w:t>
      </w:r>
    </w:p>
    <w:p>
      <w:pPr>
        <w:spacing w:after="0" w:line="162"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Any reference herein to the terms “Preliminary Offering Memorandum,” “Pricing Disclosure Package” and “Offering Memorandum” shall be deemed to refer to and include all documents incorporated by reference therein.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“Applicable Time” means 2:35 P.M., New York City time, on June 10, 2024.</w:t>
      </w:r>
    </w:p>
    <w:p>
      <w:pPr>
        <w:spacing w:after="0" w:line="33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2.   </w:t>
      </w:r>
      <w:r>
        <w:rPr>
          <w:rFonts w:ascii="Times New Roman" w:cs="Times New Roman" w:eastAsia="Times New Roman" w:hAnsi="Times New Roman"/>
          <w:sz w:val="18"/>
          <w:szCs w:val="18"/>
          <w:u w:val="single" w:color="auto"/>
          <w:color w:val="auto"/>
        </w:rPr>
        <w:t>Purchase of the Notes by the Initial Purchasers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(a)  The Company agrees to issue and sell the Notes to the several Initial Purchasers as provided in this Agreement, and each Initial Purchaser, on the basis of the representations, warranties and agreements set forth herein and subject to the conditions set forth herein, agrees,</w:t>
      </w:r>
    </w:p>
    <w:p>
      <w:pPr>
        <w:sectPr>
          <w:pgSz w:w="11900" w:h="16838" w:orient="portrait"/>
          <w:cols w:equalWidth="0" w:num="1">
            <w:col w:w="11000"/>
          </w:cols>
          <w:pgMar w:left="440" w:top="270" w:right="459" w:bottom="1440" w:gutter="0" w:footer="0" w:header="0"/>
        </w:sectPr>
      </w:pPr>
    </w:p>
    <w:bookmarkStart w:id="5" w:name="page6"/>
    <w:bookmarkEnd w:id="5"/>
    <w:p>
      <w:pPr>
        <w:ind w:right="1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severally and not jointly, to purchase from the Company the respective aggregate principal amount of Notes set forth opposite such Initial Purchaser’s name in Schedule 1 hereto at the price (the “Purchase Price”) set forth in Schedule 1 hereto.</w:t>
      </w:r>
    </w:p>
    <w:p>
      <w:pPr>
        <w:spacing w:after="0" w:line="162"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(b)  The Company understands that the Initial Purchasers intend to offer the Notes for resale on the terms set forth in the Pricing Disclosure Package and the Offering Memorandum, as in the judgment of the Representative is advisable. The Company acknowledges and agrees that the Initial Purchasers may offer and sell Notes to or through any affiliate of an Initial Purchaser.</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   Payment for the Notes shall be made by wire transfer in immediately available funds to the account specified by the Company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Representative, at the offices of Ropes &amp; Gray LLP, 1211 Avenue of the Americas, New York, NY 10036, at 10:00 A.M., New York City time,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June 17, 2024, or at such other time or place on the same or such other date, not later than the fifth business day thereafter, as the Representative and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may agree upon in writing. The time and date of such payment for the Notes is referred to herein as the “Closing Date.”</w:t>
      </w:r>
    </w:p>
    <w:p>
      <w:pPr>
        <w:spacing w:after="0" w:line="207"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Payment for the Notes shall be made against delivery to the Representative for the respective accounts of the several Initial Purchasers of the Notes to be purchased on such date with any transfer taxes payable in connection with the sale of such Notes duly paid by the Company. Delivery of the Notes shall be made through the facilities of DTC unless the Representative shall otherwise instruct.</w:t>
      </w:r>
    </w:p>
    <w:p>
      <w:pPr>
        <w:spacing w:after="0" w:line="176" w:lineRule="exact"/>
        <w:rPr>
          <w:sz w:val="20"/>
          <w:szCs w:val="20"/>
          <w:color w:val="auto"/>
        </w:rPr>
      </w:pPr>
    </w:p>
    <w:p>
      <w:pPr>
        <w:ind w:right="160" w:firstLine="440"/>
        <w:spacing w:after="0" w:line="254" w:lineRule="auto"/>
        <w:rPr>
          <w:sz w:val="20"/>
          <w:szCs w:val="20"/>
          <w:color w:val="auto"/>
        </w:rPr>
      </w:pPr>
      <w:r>
        <w:rPr>
          <w:rFonts w:ascii="Times New Roman" w:cs="Times New Roman" w:eastAsia="Times New Roman" w:hAnsi="Times New Roman"/>
          <w:sz w:val="18"/>
          <w:szCs w:val="18"/>
          <w:color w:val="auto"/>
        </w:rPr>
        <w:t>(d)  The Company acknowledges and agrees that the Initial Purchasers are acting solely in the capacity of an arm’s-length contractual counterparty to the Company with respect to the offering of Notes contemplated hereby (including in connection with determining the terms of the offering) and not as a financial advisor or a fiduciary to, or an agent of, the Company or any other person. Additionally, neither the Representative nor any other Initial Purchaser is advising the Company or any other person as to any legal, tax, investment, accounting or regulatory matters in any jurisdiction. The Company shall consult with its own advisors concerning such matters and shall be responsible for making its own independent investigation and appraisal of the transactions contemplated hereby, and the Initial Purchasers shall have no responsibility or liability to the Company with respect thereto. Any review by the Initial Purchasers of the Company, the transactions contemplated hereby or other matters relating to such transactions will be performed solely for the benefit of the Initial Purchasers and shall not be on behalf of the Company.</w:t>
      </w:r>
    </w:p>
    <w:p>
      <w:pPr>
        <w:spacing w:after="0" w:line="190"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i w:val="1"/>
          <w:iCs w:val="1"/>
          <w:color w:val="auto"/>
        </w:rPr>
        <w:t>Representations and Warranties by the Initial Purchasers</w:t>
      </w:r>
      <w:r>
        <w:rPr>
          <w:rFonts w:ascii="Times New Roman" w:cs="Times New Roman" w:eastAsia="Times New Roman" w:hAnsi="Times New Roman"/>
          <w:sz w:val="18"/>
          <w:szCs w:val="18"/>
          <w:color w:val="auto"/>
        </w:rPr>
        <w:t>. The Company understands that the Initial Purchasers intend to offer the Notes for resale on the terms set forth in the Pricing Disclosure Package and the Offering Memorandum. Each Initial Purchaser, severally and not jointly, represents and warrants with the Company as of the date hereof, as of the Applicable Time, as of the Closing Date referred to in Section 2(c) hereof, as follows that:</w:t>
      </w:r>
    </w:p>
    <w:p>
      <w:pPr>
        <w:spacing w:after="0" w:line="74" w:lineRule="exact"/>
        <w:rPr>
          <w:sz w:val="20"/>
          <w:szCs w:val="20"/>
          <w:color w:val="auto"/>
        </w:rPr>
      </w:pPr>
    </w:p>
    <w:p>
      <w:pPr>
        <w:jc w:val="both"/>
        <w:ind w:left="440" w:right="40" w:firstLine="419"/>
        <w:spacing w:after="0" w:line="266" w:lineRule="auto"/>
        <w:tabs>
          <w:tab w:leader="none" w:pos="107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 qualified institutional buyer (a “QIB”) within the meaning of Rule 144A under the Securities Act (“Rule 144A”) and an accredited investor within the meaning of Rule 501(a) under the Securities Act with such knowledge and experience in financial and business matters as are necessary to evaluate the merits and risks of an investment in the Notes;</w:t>
      </w:r>
    </w:p>
    <w:p>
      <w:pPr>
        <w:sectPr>
          <w:pgSz w:w="11900" w:h="16838" w:orient="portrait"/>
          <w:cols w:equalWidth="0" w:num="1">
            <w:col w:w="10960"/>
          </w:cols>
          <w:pgMar w:left="440" w:top="270" w:right="499" w:bottom="1440" w:gutter="0" w:footer="0" w:header="0"/>
        </w:sectPr>
      </w:pPr>
    </w:p>
    <w:bookmarkStart w:id="6" w:name="page7"/>
    <w:bookmarkEnd w:id="6"/>
    <w:p>
      <w:pPr>
        <w:ind w:left="440" w:right="100" w:firstLine="419"/>
        <w:spacing w:after="0" w:line="289" w:lineRule="auto"/>
        <w:tabs>
          <w:tab w:leader="none" w:pos="1128"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neither it, nor any person acting on its behalf, has solicited offers for, or offered or sold, and neither it, nor any person acting on its behalf, will not solicit offers for, or offer or sell, the Notes by means of any form of general solicitation or general advertising within the meaning of Rule 502(c) of Regulation D or in any manner involving a public offering within the meaning of Section 4(a)(2) of the Securities Act; and</w:t>
      </w:r>
    </w:p>
    <w:p>
      <w:pPr>
        <w:spacing w:after="0" w:line="49" w:lineRule="exact"/>
        <w:rPr>
          <w:rFonts w:ascii="Times New Roman" w:cs="Times New Roman" w:eastAsia="Times New Roman" w:hAnsi="Times New Roman"/>
          <w:sz w:val="17"/>
          <w:szCs w:val="17"/>
          <w:color w:val="auto"/>
        </w:rPr>
      </w:pPr>
    </w:p>
    <w:p>
      <w:pPr>
        <w:ind w:left="440" w:right="100" w:firstLine="419"/>
        <w:spacing w:after="0" w:line="261" w:lineRule="auto"/>
        <w:tabs>
          <w:tab w:leader="none" w:pos="117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not solicited offers for, or offered or sold, and will not solicit offers for, or offer or sell, the Notes as part of their distribution of securities in connection with the Offering except to persons whom it reasonably believes to be QIBs in transactions pursuant to Rule 144A and in connection with each such sale, it has taken or will take reasonable steps to ensure that the purchaser of the Notes is aware that such sale is being made in reliance on Rule 144A.</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3.   </w:t>
      </w: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The Company represents and warrants to, and agrees with, each Initial Purchaser that:</w:t>
      </w:r>
    </w:p>
    <w:p>
      <w:pPr>
        <w:spacing w:after="0" w:line="115" w:lineRule="exact"/>
        <w:rPr>
          <w:sz w:val="20"/>
          <w:szCs w:val="20"/>
          <w:color w:val="auto"/>
        </w:rPr>
      </w:pPr>
    </w:p>
    <w:p>
      <w:pPr>
        <w:ind w:right="80" w:firstLine="440"/>
        <w:spacing w:after="0" w:line="257"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i w:val="1"/>
          <w:iCs w:val="1"/>
          <w:color w:val="auto"/>
        </w:rPr>
        <w:t>Preliminary Offering Memorandum.</w:t>
      </w:r>
      <w:r>
        <w:rPr>
          <w:rFonts w:ascii="Times New Roman" w:cs="Times New Roman" w:eastAsia="Times New Roman" w:hAnsi="Times New Roman"/>
          <w:sz w:val="18"/>
          <w:szCs w:val="18"/>
          <w:color w:val="auto"/>
        </w:rPr>
        <w:t xml:space="preserve"> The Preliminary Offering Memorandum, as of its date, did not contain any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makes no representation and warranty with respect to any statements or omissions made in reliance upon and in conformity with information relating to any Initial Purchaser furnished to the Company in writing by such Initial Purchaser through the Representative expressly for use in any Preliminary Offering Memorandum, it being understood and agreed that the only such information furnished by any Initial Purchaser consists of the information described as such in Section 8(b) hereof.</w:t>
      </w:r>
    </w:p>
    <w:p>
      <w:pPr>
        <w:spacing w:after="0" w:line="182"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i w:val="1"/>
          <w:iCs w:val="1"/>
          <w:color w:val="auto"/>
        </w:rPr>
        <w:t>Pricing Disclosure Package and Marketing Materials</w:t>
      </w:r>
      <w:r>
        <w:rPr>
          <w:rFonts w:ascii="Times New Roman" w:cs="Times New Roman" w:eastAsia="Times New Roman" w:hAnsi="Times New Roman"/>
          <w:sz w:val="18"/>
          <w:szCs w:val="18"/>
          <w:color w:val="auto"/>
        </w:rPr>
        <w:t xml:space="preserve">. The Pricing Disclosure Package and any Marketing Materials (as defined below) as of the Applicable Time did not, and the Pricing Disclosure Package and any Marketing Materials (together with any amendment or supplement thereto) as of the Closing Date, will not contain any untrue statement of a material fact or omit to state a material fact necessary in order to make the statements therein, in the light of the circumstances under which they were made, not misleading, and as of the Applicable Time, the Marketing Materials do not conflict with the information contained in the Preliminary Offering Memorandum, the Pricing Disclosure Package or the Offering Memorandum;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makes no representation and warranty with respect to any statements or omissions made in reliance upon and in conformity with information relating to any Initial Purchaser furnished to the Company in writing by such Initial Purchaser through the Representative expressly for use in such Pricing Disclosure Package or such Marketing Materials, it being understood and agreed that the only such information furnished by any Initial Purchaser consists of the information described as such in Section 8(b) hereof. As used in this subsection and elsewhere in this Agreement, “Marketing Materials” means the materials, if any, made available by the Company or with the Company’s consent during certain meetings (including materials made available as part of any “road show”) in connection with the marketing of the offering of the Notes.</w:t>
      </w:r>
    </w:p>
    <w:p>
      <w:pPr>
        <w:sectPr>
          <w:pgSz w:w="11900" w:h="16838" w:orient="portrait"/>
          <w:cols w:equalWidth="0" w:num="1">
            <w:col w:w="11000"/>
          </w:cols>
          <w:pgMar w:left="440" w:top="270" w:right="459" w:bottom="1440" w:gutter="0" w:footer="0" w:header="0"/>
        </w:sectPr>
      </w:pPr>
    </w:p>
    <w:bookmarkStart w:id="7" w:name="page8"/>
    <w:bookmarkEnd w:id="7"/>
    <w:p>
      <w:pPr>
        <w:ind w:firstLine="440"/>
        <w:spacing w:after="0" w:line="275"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  </w:t>
      </w:r>
      <w:r>
        <w:rPr>
          <w:rFonts w:ascii="Times New Roman" w:cs="Times New Roman" w:eastAsia="Times New Roman" w:hAnsi="Times New Roman"/>
          <w:sz w:val="17"/>
          <w:szCs w:val="17"/>
          <w:i w:val="1"/>
          <w:iCs w:val="1"/>
          <w:color w:val="auto"/>
        </w:rPr>
        <w:t>Offering Memorandum.</w:t>
      </w:r>
      <w:r>
        <w:rPr>
          <w:rFonts w:ascii="Times New Roman" w:cs="Times New Roman" w:eastAsia="Times New Roman" w:hAnsi="Times New Roman"/>
          <w:sz w:val="17"/>
          <w:szCs w:val="17"/>
          <w:color w:val="auto"/>
        </w:rPr>
        <w:t xml:space="preserve"> The Offering Memorandum and any amendment or supplement thereto as of the Closing Date will not contain any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Company makes no representation and warranty with respect to any statements or omissions made in reliance upon and in conformity with information relating to any Initial Purchaser furnished to the Company in writing by such Initial Purchaser through the Representative expressly for use in the Offering Memorandum and any amendment or supplement thereto, it being understood and agreed that the only such information furnished by any Initial Purchaser consists of the information described as such in Section 8(b) hereof.</w:t>
      </w:r>
    </w:p>
    <w:p>
      <w:pPr>
        <w:spacing w:after="0" w:line="168" w:lineRule="exact"/>
        <w:rPr>
          <w:sz w:val="20"/>
          <w:szCs w:val="20"/>
          <w:color w:val="auto"/>
        </w:rPr>
      </w:pPr>
    </w:p>
    <w:p>
      <w:pPr>
        <w:ind w:right="780" w:firstLine="440"/>
        <w:spacing w:after="0" w:line="284"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i w:val="1"/>
          <w:iCs w:val="1"/>
          <w:color w:val="auto"/>
        </w:rPr>
        <w:t>Emerging Growth Company</w:t>
      </w:r>
      <w:r>
        <w:rPr>
          <w:rFonts w:ascii="Times New Roman" w:cs="Times New Roman" w:eastAsia="Times New Roman" w:hAnsi="Times New Roman"/>
          <w:sz w:val="18"/>
          <w:szCs w:val="18"/>
          <w:color w:val="auto"/>
        </w:rPr>
        <w:t>. As of the date hereof and the Closing Date, as the case may be, the Company is an “emerging growth company,” as defined in Section 2(a)(19) of the Securities Act (an “Emerging Growth Company”).</w:t>
      </w:r>
    </w:p>
    <w:p>
      <w:pPr>
        <w:spacing w:after="0" w:line="158"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xml:space="preserve"> The financial statements (including the related notes thereto) of the Company and its consolidated subsidiaries included or incorporated by reference in the Pricing Disclosure Package and the Offering Memorandum comply in all material respects with the applicable requirements of the Securities Act and present fairly in all material respects the financial position of the Company and its consolidated subsidiaries as of the dates indicated and the results of their operations and the changes in their cash flows for the periods specified; such financial statements have been prepared in conformity with generally accepted accounting principles in the United States applied on a consistent basis throughout the periods covered thereby, and any supporting schedules included or incorporated by reference in the Pricing Disclosure Package and the Offering Memorandum present fairly in all material respects the information required to be stated therein; and any other financial information included or incorporated by reference in the Pricing Disclosure Package and the Offering Memorandum has been derived from the accounting records and other books and records of the Company and its consolidated subsidiaries and presents fairly in all material respects the information shown thereby.</w:t>
      </w:r>
    </w:p>
    <w:p>
      <w:pPr>
        <w:spacing w:after="0" w:line="188"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i w:val="1"/>
          <w:iCs w:val="1"/>
          <w:color w:val="auto"/>
        </w:rPr>
        <w:t>No Material Adverse Change.</w:t>
      </w:r>
      <w:r>
        <w:rPr>
          <w:rFonts w:ascii="Times New Roman" w:cs="Times New Roman" w:eastAsia="Times New Roman" w:hAnsi="Times New Roman"/>
          <w:sz w:val="18"/>
          <w:szCs w:val="18"/>
          <w:color w:val="auto"/>
        </w:rPr>
        <w:t xml:space="preserve"> Except as disclosed in the Pricing Disclosure Package and the Offering Memorandum, since the date of the most recent financial statements of the Company included or incorporated by reference in the Pricing Disclosure Package and the Offering Memorandum, (i) there has not been any material change in the capital stock of the Company, short-term debt or long-term debt of the Company or any of its subsidiaries, or any dividend or distribution of any kind declared, set aside for payment, paid or made by the Company on any class of capital stock, or any material adverse change, or any development that would reasonably be expected to result in a material adverse change, in or affecting the business, properties, management, financial position, stockholders’ equity, results of operations or prospects of the Company and its subsidiaries taken as a whole; (ii) neither the Company nor any of its subsidiaries has entered into any transaction or agreement (whether or not in the ordinary course of business) that is material to the Company and its subsidiaries taken as a whole or incurred any liability or obligation, direct or contingent, that is material to the Company and its subsidiaries taken as a whole; and (iii) neither the Company nor any of its subsidiaries has sustained any loss or interference with its business that is material to the Company and its subsidiaries taken as a whole and that is either from fire, explosion, flood or other calamity, whether or not covered by insurance, or from any labor disturbance or dispute or any action, order or decree of any court or arbitrator or governmental or regulatory authority.</w:t>
      </w:r>
    </w:p>
    <w:p>
      <w:pPr>
        <w:sectPr>
          <w:pgSz w:w="11900" w:h="16838" w:orient="portrait"/>
          <w:cols w:equalWidth="0" w:num="1">
            <w:col w:w="11000"/>
          </w:cols>
          <w:pgMar w:left="440" w:top="268" w:right="459" w:bottom="1440" w:gutter="0" w:footer="0" w:header="0"/>
        </w:sectPr>
      </w:pPr>
    </w:p>
    <w:bookmarkStart w:id="8" w:name="page9"/>
    <w:bookmarkEnd w:id="8"/>
    <w:p>
      <w:pPr>
        <w:ind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(g)  </w:t>
      </w:r>
      <w:r>
        <w:rPr>
          <w:rFonts w:ascii="Times New Roman" w:cs="Times New Roman" w:eastAsia="Times New Roman" w:hAnsi="Times New Roman"/>
          <w:sz w:val="18"/>
          <w:szCs w:val="18"/>
          <w:i w:val="1"/>
          <w:iCs w:val="1"/>
          <w:color w:val="auto"/>
        </w:rPr>
        <w:t>Organization and Good Standing.</w:t>
      </w:r>
      <w:r>
        <w:rPr>
          <w:rFonts w:ascii="Times New Roman" w:cs="Times New Roman" w:eastAsia="Times New Roman" w:hAnsi="Times New Roman"/>
          <w:sz w:val="18"/>
          <w:szCs w:val="18"/>
          <w:color w:val="auto"/>
        </w:rPr>
        <w:t xml:space="preserve"> The Company and each of its subsidiaries have been duly organized and are validly existing and in good standing under the laws of their respective jurisdictions of organization, are duly qualified to do business and are in good standing in each jurisdiction in which their respective ownership or lease of property or the conduct of their respective businesses requires such qualification, and have all power and authority necessary to own or hold their respective properties and to conduct the businesses in which they are engaged, except where the failure to be so qualified or in good standing or have such power or authority would not reasonably be expected, individually or in the aggregate, to have a material adverse effect on the business, properties, management, financial position, stockholders’ equity, results of operations or prospects of the Company and its subsidiaries taken as a whole or on the performance by the Company of its obligations under this Agreement, the Indenture, the Notes, the Investment Management Agreement and the Administration Agreement (a “Material Adverse Effect”). The subsidiaries listed in Schedule 3 to this Agreement are the only subsidiaries of the Company.</w:t>
      </w:r>
    </w:p>
    <w:p>
      <w:pPr>
        <w:spacing w:after="0" w:line="188"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(h)  </w:t>
      </w:r>
      <w:r>
        <w:rPr>
          <w:rFonts w:ascii="Times New Roman" w:cs="Times New Roman" w:eastAsia="Times New Roman" w:hAnsi="Times New Roman"/>
          <w:sz w:val="18"/>
          <w:szCs w:val="18"/>
          <w:i w:val="1"/>
          <w:iCs w:val="1"/>
          <w:color w:val="auto"/>
        </w:rPr>
        <w:t>Capitalization.</w:t>
      </w:r>
      <w:r>
        <w:rPr>
          <w:rFonts w:ascii="Times New Roman" w:cs="Times New Roman" w:eastAsia="Times New Roman" w:hAnsi="Times New Roman"/>
          <w:sz w:val="18"/>
          <w:szCs w:val="18"/>
          <w:color w:val="auto"/>
        </w:rPr>
        <w:t xml:space="preserve"> As of March 31, 2024, the Company had the authorized and outstanding capital stock and material indebtedness as set forth in the Pricing Disclosure Package and the Offering Memorandum in “Capitalization” under the heading “Actual” and would have had the authorized and outstanding capital stock and material indebtedness as set forth in the Pricing Disclosure Package and the Offering Memorandum in “Capitalization” under the heading “As Adjusted” after giving effect to the offering pursuant to this Agreement and the use of proceeds thereof; all the outstanding shares of capital stock of the Company have been duly authorized and validly issued and are fully paid and non-assessable and are not subject to any pre-emptive or similar rights; except as described in or expressly contemplated by the Pricing Disclosure Package and the Offering Memorandum, there are no outstanding rights (including, without limitation, pre-emptive rights), warrants or options to acquire, or instruments convertible into or exchangeable for, any shares of capital stock or other equity interest in the Company or any of its subsidiaries, or any contract, commitment, agreement, understanding or arrangement of any kind relating to the issuance of any capital stock of the Company or any such subsidiary, any such convertible or exchangeable securities or any such rights, warrants or options; the capital stock of the Company conforms in all material respects to the description thereof contained in the Pricing Disclosure Package and the Offering Memorandum; and all the outstanding shares of capital stock or other equity interests of each subsidiary owned, directly or indirectly, by the Company have been duly authorized and validly issued, are fully paid and non-assessable (except as otherwise described in the Pricing Disclosure Package and the Offering Memorandum), and are owned directly or indirectly by the Company, free and clear of any lien, charge, encumbrance, security interest, restriction on voting or transfer or any other claim of any third party, except as described in the Pricing Disclosure Package and the Offering Memorandum.</w:t>
      </w:r>
    </w:p>
    <w:p>
      <w:pPr>
        <w:spacing w:after="0" w:line="19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i w:val="1"/>
          <w:iCs w:val="1"/>
          <w:color w:val="auto"/>
        </w:rPr>
        <w:t>Stock Options.</w:t>
      </w:r>
      <w:r>
        <w:rPr>
          <w:rFonts w:ascii="Times New Roman" w:cs="Times New Roman" w:eastAsia="Times New Roman" w:hAnsi="Times New Roman"/>
          <w:sz w:val="18"/>
          <w:szCs w:val="18"/>
          <w:color w:val="auto"/>
        </w:rPr>
        <w:t xml:space="preserve"> The Company has not granted, and has no policy or expectation of granting stock options.</w:t>
      </w:r>
    </w:p>
    <w:p>
      <w:pPr>
        <w:sectPr>
          <w:pgSz w:w="11900" w:h="16838" w:orient="portrait"/>
          <w:cols w:equalWidth="0" w:num="1">
            <w:col w:w="11000"/>
          </w:cols>
          <w:pgMar w:left="440" w:top="268" w:right="459" w:bottom="1440" w:gutter="0" w:footer="0" w:header="0"/>
        </w:sectPr>
      </w:pPr>
    </w:p>
    <w:bookmarkStart w:id="9" w:name="page10"/>
    <w:bookmarkEnd w:id="9"/>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(j)  </w:t>
      </w:r>
      <w:r>
        <w:rPr>
          <w:rFonts w:ascii="Times New Roman" w:cs="Times New Roman" w:eastAsia="Times New Roman" w:hAnsi="Times New Roman"/>
          <w:sz w:val="18"/>
          <w:szCs w:val="18"/>
          <w:i w:val="1"/>
          <w:iCs w:val="1"/>
          <w:color w:val="auto"/>
        </w:rPr>
        <w:t>Due Authorization.</w:t>
      </w:r>
      <w:r>
        <w:rPr>
          <w:rFonts w:ascii="Times New Roman" w:cs="Times New Roman" w:eastAsia="Times New Roman" w:hAnsi="Times New Roman"/>
          <w:sz w:val="18"/>
          <w:szCs w:val="18"/>
          <w:color w:val="auto"/>
        </w:rPr>
        <w:t xml:space="preserve"> The Company has corporate power and authority to execute and deliver this Agreement, the Indenture and the Notes, and at the applicable time had corporate power and authority to execute and deliver the Investment Management Agreement and the Administration Agreement and to perform its obligations hereunder and thereunder; and all action required to be taken for the due and proper authorization, execution and delivery by it of this Agreement, the Indenture, the Notes and each of the Investment Management Agreement and the Administration Agreement, and the consummation by it of the transactions contemplated hereby and thereby has been duly and validly taken.</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(k)   </w:t>
      </w:r>
      <w:r>
        <w:rPr>
          <w:rFonts w:ascii="Times New Roman" w:cs="Times New Roman" w:eastAsia="Times New Roman" w:hAnsi="Times New Roman"/>
          <w:sz w:val="18"/>
          <w:szCs w:val="18"/>
          <w:i w:val="1"/>
          <w:iCs w:val="1"/>
          <w:color w:val="auto"/>
        </w:rPr>
        <w:t>Purchase Agreement.</w:t>
      </w:r>
      <w:r>
        <w:rPr>
          <w:rFonts w:ascii="Times New Roman" w:cs="Times New Roman" w:eastAsia="Times New Roman" w:hAnsi="Times New Roman"/>
          <w:sz w:val="18"/>
          <w:szCs w:val="18"/>
          <w:color w:val="auto"/>
        </w:rPr>
        <w:t xml:space="preserve"> This Agreement has been duly authorized, executed and delivered by the Company.</w:t>
      </w:r>
    </w:p>
    <w:p>
      <w:pPr>
        <w:spacing w:after="0" w:line="225"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(l)  </w:t>
      </w:r>
      <w:r>
        <w:rPr>
          <w:rFonts w:ascii="Times New Roman" w:cs="Times New Roman" w:eastAsia="Times New Roman" w:hAnsi="Times New Roman"/>
          <w:sz w:val="18"/>
          <w:szCs w:val="18"/>
          <w:i w:val="1"/>
          <w:iCs w:val="1"/>
          <w:color w:val="auto"/>
        </w:rPr>
        <w:t>Investment Management Agreement and Administration Agreement.</w:t>
      </w:r>
      <w:r>
        <w:rPr>
          <w:rFonts w:ascii="Times New Roman" w:cs="Times New Roman" w:eastAsia="Times New Roman" w:hAnsi="Times New Roman"/>
          <w:sz w:val="18"/>
          <w:szCs w:val="18"/>
          <w:color w:val="auto"/>
        </w:rPr>
        <w:t xml:space="preserve"> The Investment Management Agreement and the Administration Agreement have each been duly authorized, executed and delivered by the Company and are valid and binding obligations of the Company, enforceable against the Company in accordance with their terms, except as enforceability may be limited by applicable bankruptcy, insolvency or similar laws affecting creditors’ rights generally or by equitable principles relating to enforceability.</w:t>
      </w:r>
    </w:p>
    <w:p>
      <w:pPr>
        <w:spacing w:after="0" w:line="180" w:lineRule="exact"/>
        <w:rPr>
          <w:sz w:val="20"/>
          <w:szCs w:val="20"/>
          <w:color w:val="auto"/>
        </w:rPr>
      </w:pPr>
    </w:p>
    <w:p>
      <w:pPr>
        <w:ind w:right="120" w:firstLine="440"/>
        <w:spacing w:after="0" w:line="267" w:lineRule="auto"/>
        <w:rPr>
          <w:sz w:val="20"/>
          <w:szCs w:val="20"/>
          <w:color w:val="auto"/>
        </w:rPr>
      </w:pPr>
      <w:r>
        <w:rPr>
          <w:rFonts w:ascii="Times New Roman" w:cs="Times New Roman" w:eastAsia="Times New Roman" w:hAnsi="Times New Roman"/>
          <w:sz w:val="18"/>
          <w:szCs w:val="18"/>
          <w:color w:val="auto"/>
        </w:rPr>
        <w:t xml:space="preserve">(m)  </w:t>
      </w:r>
      <w:r>
        <w:rPr>
          <w:rFonts w:ascii="Times New Roman" w:cs="Times New Roman" w:eastAsia="Times New Roman" w:hAnsi="Times New Roman"/>
          <w:sz w:val="18"/>
          <w:szCs w:val="18"/>
          <w:i w:val="1"/>
          <w:iCs w:val="1"/>
          <w:color w:val="auto"/>
        </w:rPr>
        <w:t>Base Indenture</w:t>
      </w:r>
      <w:r>
        <w:rPr>
          <w:rFonts w:ascii="Times New Roman" w:cs="Times New Roman" w:eastAsia="Times New Roman" w:hAnsi="Times New Roman"/>
          <w:sz w:val="18"/>
          <w:szCs w:val="18"/>
          <w:color w:val="auto"/>
        </w:rPr>
        <w:t>. The Base Indenture has been duly authorized, executed and delivered by the Company and constitutes a valid and binding obligation of the Company, enforceable against the Company in accordance with its terms, except as enforceability may be limited by applicable bankruptcy, insolvency or similar laws affecting creditors’ rights generally or by equitable principles relating to enforceability.</w:t>
      </w:r>
    </w:p>
    <w:p>
      <w:pPr>
        <w:spacing w:after="0" w:line="173" w:lineRule="exact"/>
        <w:rPr>
          <w:sz w:val="20"/>
          <w:szCs w:val="20"/>
          <w:color w:val="auto"/>
        </w:rPr>
      </w:pPr>
    </w:p>
    <w:p>
      <w:pPr>
        <w:ind w:right="80" w:firstLine="440"/>
        <w:spacing w:after="0" w:line="290" w:lineRule="auto"/>
        <w:rPr>
          <w:sz w:val="20"/>
          <w:szCs w:val="20"/>
          <w:color w:val="auto"/>
        </w:rPr>
      </w:pPr>
      <w:r>
        <w:rPr>
          <w:rFonts w:ascii="Times New Roman" w:cs="Times New Roman" w:eastAsia="Times New Roman" w:hAnsi="Times New Roman"/>
          <w:sz w:val="17"/>
          <w:szCs w:val="17"/>
          <w:color w:val="auto"/>
        </w:rPr>
        <w:t xml:space="preserve">(n)  </w:t>
      </w:r>
      <w:r>
        <w:rPr>
          <w:rFonts w:ascii="Times New Roman" w:cs="Times New Roman" w:eastAsia="Times New Roman" w:hAnsi="Times New Roman"/>
          <w:sz w:val="17"/>
          <w:szCs w:val="17"/>
          <w:i w:val="1"/>
          <w:iCs w:val="1"/>
          <w:color w:val="auto"/>
        </w:rPr>
        <w:t>First Supplemental Indenture</w:t>
      </w:r>
      <w:r>
        <w:rPr>
          <w:rFonts w:ascii="Times New Roman" w:cs="Times New Roman" w:eastAsia="Times New Roman" w:hAnsi="Times New Roman"/>
          <w:sz w:val="17"/>
          <w:szCs w:val="17"/>
          <w:color w:val="auto"/>
        </w:rPr>
        <w:t>. The First Supplemental Indenture has been duly authorized executed and delivered by the Company and constitutes a valid and binding obligation of the Company, enforceable against the Company in accordance with its terms, except as enforceability may be limited by applicable bankruptcy, insolvency or similar laws affecting creditors’ rights generally or by equitable principles relating to enforceability.</w:t>
      </w:r>
    </w:p>
    <w:p>
      <w:pPr>
        <w:spacing w:after="0" w:line="155"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8"/>
          <w:szCs w:val="18"/>
          <w:i w:val="1"/>
          <w:iCs w:val="1"/>
          <w:color w:val="auto"/>
        </w:rPr>
        <w:t>Second Supplemental Indenture</w:t>
      </w:r>
      <w:r>
        <w:rPr>
          <w:rFonts w:ascii="Times New Roman" w:cs="Times New Roman" w:eastAsia="Times New Roman" w:hAnsi="Times New Roman"/>
          <w:sz w:val="18"/>
          <w:szCs w:val="18"/>
          <w:color w:val="auto"/>
        </w:rPr>
        <w:t>. The Second Supplemental Indenture has been duly authorized, and, on the Closing Date, will be duly executed and delivered by the Company and when executed and delivered by the Trustee will constitute a valid and binding obligation of the Company, enforceable against the Company in accordance with its terms, except as enforceability may be limited by applicable bankruptcy, insolvency or similar laws affecting creditors’ rights generally or by equitable principles relating to enforceability.</w:t>
      </w:r>
    </w:p>
    <w:p>
      <w:pPr>
        <w:spacing w:after="0" w:line="180"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 xml:space="preserve">(p)  </w:t>
      </w:r>
      <w:r>
        <w:rPr>
          <w:rFonts w:ascii="Times New Roman" w:cs="Times New Roman" w:eastAsia="Times New Roman" w:hAnsi="Times New Roman"/>
          <w:sz w:val="18"/>
          <w:szCs w:val="18"/>
          <w:i w:val="1"/>
          <w:iCs w:val="1"/>
          <w:color w:val="auto"/>
        </w:rPr>
        <w:t>The Notes.</w:t>
      </w:r>
      <w:r>
        <w:rPr>
          <w:rFonts w:ascii="Times New Roman" w:cs="Times New Roman" w:eastAsia="Times New Roman" w:hAnsi="Times New Roman"/>
          <w:sz w:val="18"/>
          <w:szCs w:val="18"/>
          <w:color w:val="auto"/>
        </w:rPr>
        <w:t xml:space="preserve"> The Notes to be issued and sold by the Company hereunder have been duly authorized and, on the Closing Date, will be duly executed and delivered by the Company and when authenticated by the Trustee as provided herein and in the Indenture relating thereto, against payment of the consideration set forth herein, will be valid and binding obligations of the Company, enforceable against the Company in accordance with their terms, except as enforceability may be limited by applicable bankruptcy, insolvency or similar laws affecting creditors’ rights generally or by equitable principles relating to enforceability, and will be entitled to the benefits of the Indenture relating thereto; and the Notes and the Indenture conform in all material respects to the statements relating thereto contained in the Pricing Disclosure Package and the Offering Memorandum.</w:t>
      </w:r>
    </w:p>
    <w:p>
      <w:pPr>
        <w:sectPr>
          <w:pgSz w:w="11900" w:h="16838" w:orient="portrait"/>
          <w:cols w:equalWidth="0" w:num="1">
            <w:col w:w="10960"/>
          </w:cols>
          <w:pgMar w:left="440" w:top="268" w:right="499" w:bottom="1440" w:gutter="0" w:footer="0" w:header="0"/>
        </w:sectPr>
      </w:pPr>
    </w:p>
    <w:bookmarkStart w:id="10" w:name="page11"/>
    <w:bookmarkEnd w:id="10"/>
    <w:p>
      <w:pPr>
        <w:ind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(q)  </w:t>
      </w:r>
      <w:r>
        <w:rPr>
          <w:rFonts w:ascii="Times New Roman" w:cs="Times New Roman" w:eastAsia="Times New Roman" w:hAnsi="Times New Roman"/>
          <w:sz w:val="18"/>
          <w:szCs w:val="18"/>
          <w:i w:val="1"/>
          <w:iCs w:val="1"/>
          <w:color w:val="auto"/>
        </w:rPr>
        <w:t>Registration Rights Agreement.</w:t>
      </w:r>
      <w:r>
        <w:rPr>
          <w:rFonts w:ascii="Times New Roman" w:cs="Times New Roman" w:eastAsia="Times New Roman" w:hAnsi="Times New Roman"/>
          <w:sz w:val="18"/>
          <w:szCs w:val="18"/>
          <w:color w:val="auto"/>
        </w:rPr>
        <w:t xml:space="preserve"> The Registration Rights Agreement to be dated as of the Closing Date (the “Registration Rights Agreement”), which will be in the form attached hereto as Exhibit A, has been duly authorized, and as of the Closing Date, will have been duly executed and delivered by the Company, and, when duly executed and delivered in accordance with its terms by each of the other parties thereto, will constitute a valid and legally binding instrument, enforceable against the Company in accordance with its terms, subject, as to enforcement, to applicable bankruptcy, reorganization, insolvency, moratorium or other laws affecting creditors’ rights generally (including, without limitation, laws with respect to fraudulent conveyance) and to general principles of equity and public policy (regardless of whether enforcement is considered in a proceeding in equity or law) (collectively, the “Enforceability Exceptions”); and the Registration Rights Agreement will conform in all material respects to the descriptions thereof in the Pricing Disclosure Package and the Offering Memorandum.</w:t>
      </w:r>
    </w:p>
    <w:p>
      <w:pPr>
        <w:spacing w:after="0" w:line="185" w:lineRule="exact"/>
        <w:rPr>
          <w:sz w:val="20"/>
          <w:szCs w:val="20"/>
          <w:color w:val="auto"/>
        </w:rPr>
      </w:pPr>
    </w:p>
    <w:p>
      <w:pPr>
        <w:ind w:right="1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(r)  </w:t>
      </w:r>
      <w:r>
        <w:rPr>
          <w:rFonts w:ascii="Times New Roman" w:cs="Times New Roman" w:eastAsia="Times New Roman" w:hAnsi="Times New Roman"/>
          <w:sz w:val="18"/>
          <w:szCs w:val="18"/>
          <w:i w:val="1"/>
          <w:iCs w:val="1"/>
          <w:color w:val="auto"/>
        </w:rPr>
        <w:t>Exchange Offer.</w:t>
      </w:r>
      <w:r>
        <w:rPr>
          <w:rFonts w:ascii="Times New Roman" w:cs="Times New Roman" w:eastAsia="Times New Roman" w:hAnsi="Times New Roman"/>
          <w:sz w:val="18"/>
          <w:szCs w:val="18"/>
          <w:color w:val="auto"/>
        </w:rPr>
        <w:t xml:space="preserve"> The 6.500% Notes due 2029 to be offered in exchange for the Notes pursuant to the Registration Rights Agreement will be duly authorized by the Company and if and when issued and authenticated in accordance with the terms of the Indenture and delivered in accordance with the exchange offer provided for in the Registration Rights Agreement will be validly issued and delivered and will constitute valid and binding obligations of the Company entitled to the benefits of the Indenture, enforceable against the Company in accordance with their terms, subject, as to enforcement, to the Enforceability Exceptions, and will be entitled to the benefits provided by the Indenture.</w:t>
      </w:r>
    </w:p>
    <w:p>
      <w:pPr>
        <w:spacing w:after="0" w:line="183"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Rule 144A Eligibility</w:t>
      </w:r>
      <w:r>
        <w:rPr>
          <w:rFonts w:ascii="Times New Roman" w:cs="Times New Roman" w:eastAsia="Times New Roman" w:hAnsi="Times New Roman"/>
          <w:sz w:val="18"/>
          <w:szCs w:val="18"/>
          <w:color w:val="auto"/>
        </w:rPr>
        <w:t>. On the Closing Date, the Notes will not be of the same class as securities listed on a national exchange registered under Section 6 of the Securities Exchange Act of 1934, as amended (the “Exchange Act”), or quoted in an automated inter-dealer quotation system; and each of the Pricing Disclosure Package, as of the Applicable Time, and the Offering Memorandum, as of its date, contains or will contain all the information that, if requested by a prospective purchaser of the Notes, would be required to be provided to such prospective purchaser pursuant to Rule 144A(d)(4) under the Securities Act.</w:t>
      </w:r>
    </w:p>
    <w:p>
      <w:pPr>
        <w:spacing w:after="0" w:line="183"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(t)  </w:t>
      </w:r>
      <w:r>
        <w:rPr>
          <w:rFonts w:ascii="Times New Roman" w:cs="Times New Roman" w:eastAsia="Times New Roman" w:hAnsi="Times New Roman"/>
          <w:sz w:val="18"/>
          <w:szCs w:val="18"/>
          <w:i w:val="1"/>
          <w:iCs w:val="1"/>
          <w:color w:val="auto"/>
        </w:rPr>
        <w:t>No Integration</w:t>
      </w:r>
      <w:r>
        <w:rPr>
          <w:rFonts w:ascii="Times New Roman" w:cs="Times New Roman" w:eastAsia="Times New Roman" w:hAnsi="Times New Roman"/>
          <w:sz w:val="18"/>
          <w:szCs w:val="18"/>
          <w:color w:val="auto"/>
        </w:rPr>
        <w:t>. Neither the Company nor any of its affiliates (as defined in Rule 501(b) of Regulation D under the Securities Act (“Regulation D”)) has, directly or through any agent, sold, offered for sale, solicited offers to buy or otherwise negotiated in respect of, any security (as defined in the Securities Act), that is or will be integrated with the sale of the Notes in a manner that would require registration of the Notes under the Securities Act.</w:t>
      </w:r>
    </w:p>
    <w:p>
      <w:pPr>
        <w:spacing w:after="0" w:line="180" w:lineRule="exact"/>
        <w:rPr>
          <w:sz w:val="20"/>
          <w:szCs w:val="20"/>
          <w:color w:val="auto"/>
        </w:rPr>
      </w:pPr>
    </w:p>
    <w:p>
      <w:pPr>
        <w:ind w:right="1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(u)  </w:t>
      </w:r>
      <w:r>
        <w:rPr>
          <w:rFonts w:ascii="Times New Roman" w:cs="Times New Roman" w:eastAsia="Times New Roman" w:hAnsi="Times New Roman"/>
          <w:sz w:val="18"/>
          <w:szCs w:val="18"/>
          <w:i w:val="1"/>
          <w:iCs w:val="1"/>
          <w:color w:val="auto"/>
        </w:rPr>
        <w:t>No General Solicitation; Written Communications</w:t>
      </w:r>
      <w:r>
        <w:rPr>
          <w:rFonts w:ascii="Times New Roman" w:cs="Times New Roman" w:eastAsia="Times New Roman" w:hAnsi="Times New Roman"/>
          <w:sz w:val="18"/>
          <w:szCs w:val="18"/>
          <w:color w:val="auto"/>
        </w:rPr>
        <w:t>. None of the Company or any of its affiliates or any other person acting on its or their behalf (other than the Initial Purchasers, as to which no representation is made) has solicited offers for, or offered or sold, the Notes by means of any form of general solicitation or general advertising within the meaning of Rule 502(c) of Regulation D or in any manner involving a public offering within the meaning of Section 4(a)(2) of the Securities Act. The Company (including its agents and representatives, other than the Initial Purchasers in their capacity as such) has not made, used, prepared,</w:t>
      </w:r>
    </w:p>
    <w:p>
      <w:pPr>
        <w:sectPr>
          <w:pgSz w:w="11900" w:h="16838" w:orient="portrait"/>
          <w:cols w:equalWidth="0" w:num="1">
            <w:col w:w="11000"/>
          </w:cols>
          <w:pgMar w:left="440" w:top="268" w:right="459" w:bottom="1440" w:gutter="0" w:footer="0" w:header="0"/>
        </w:sectPr>
      </w:pPr>
    </w:p>
    <w:bookmarkStart w:id="11" w:name="page12"/>
    <w:bookmarkEnd w:id="11"/>
    <w:p>
      <w:pPr>
        <w:ind w:right="1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authorized, approved or referred to and will not prepare, make, use, authorize, approve or refer to any “written communication” (as defined in Rule 405 under the Securities Act) that constitutes an offer to sell or solicitation of an offer to buy the Notes other than the Pricing Disclosure Package, the Offering Memorandum and the Marketing Materials.</w:t>
      </w:r>
    </w:p>
    <w:p>
      <w:pPr>
        <w:spacing w:after="0" w:line="174" w:lineRule="exact"/>
        <w:rPr>
          <w:sz w:val="20"/>
          <w:szCs w:val="20"/>
          <w:color w:val="auto"/>
        </w:rPr>
      </w:pPr>
    </w:p>
    <w:p>
      <w:pPr>
        <w:ind w:firstLine="440"/>
        <w:spacing w:after="0" w:line="281" w:lineRule="auto"/>
        <w:rPr>
          <w:sz w:val="20"/>
          <w:szCs w:val="20"/>
          <w:color w:val="auto"/>
        </w:rPr>
      </w:pPr>
      <w:r>
        <w:rPr>
          <w:rFonts w:ascii="Times New Roman" w:cs="Times New Roman" w:eastAsia="Times New Roman" w:hAnsi="Times New Roman"/>
          <w:sz w:val="17"/>
          <w:szCs w:val="17"/>
          <w:color w:val="auto"/>
        </w:rPr>
        <w:t xml:space="preserve">(v)  </w:t>
      </w:r>
      <w:r>
        <w:rPr>
          <w:rFonts w:ascii="Times New Roman" w:cs="Times New Roman" w:eastAsia="Times New Roman" w:hAnsi="Times New Roman"/>
          <w:sz w:val="17"/>
          <w:szCs w:val="17"/>
          <w:i w:val="1"/>
          <w:iCs w:val="1"/>
          <w:color w:val="auto"/>
        </w:rPr>
        <w:t>Securities Law Exemptions</w:t>
      </w:r>
      <w:r>
        <w:rPr>
          <w:rFonts w:ascii="Times New Roman" w:cs="Times New Roman" w:eastAsia="Times New Roman" w:hAnsi="Times New Roman"/>
          <w:sz w:val="17"/>
          <w:szCs w:val="17"/>
          <w:color w:val="auto"/>
        </w:rPr>
        <w:t>. Assuming the accuracy of the representations and warranties of the Initial Purchasers contained in Section 2(e) and their compliance with their agreements set forth therein, it is not necessary, in connection with the issuance and sale of the Notes to the Initial Purchasers and the offer, resale and delivery of the Notes by the Initial Purchasers in the manner contemplated by this Agreement, the Pricing Disclosure Package and the Offering Memorandum, to register the Notes under the Securities Act or to qualify the Indenture under the Trust Indenture Act.</w:t>
      </w:r>
    </w:p>
    <w:p>
      <w:pPr>
        <w:spacing w:after="0" w:line="164" w:lineRule="exact"/>
        <w:rPr>
          <w:sz w:val="20"/>
          <w:szCs w:val="20"/>
          <w:color w:val="auto"/>
        </w:rPr>
      </w:pPr>
    </w:p>
    <w:p>
      <w:pPr>
        <w:ind w:right="160" w:firstLine="440"/>
        <w:spacing w:after="0" w:line="267" w:lineRule="auto"/>
        <w:rPr>
          <w:sz w:val="20"/>
          <w:szCs w:val="20"/>
          <w:color w:val="auto"/>
        </w:rPr>
      </w:pPr>
      <w:r>
        <w:rPr>
          <w:rFonts w:ascii="Times New Roman" w:cs="Times New Roman" w:eastAsia="Times New Roman" w:hAnsi="Times New Roman"/>
          <w:sz w:val="18"/>
          <w:szCs w:val="18"/>
          <w:color w:val="auto"/>
        </w:rPr>
        <w:t xml:space="preserve">(w)  </w:t>
      </w:r>
      <w:r>
        <w:rPr>
          <w:rFonts w:ascii="Times New Roman" w:cs="Times New Roman" w:eastAsia="Times New Roman" w:hAnsi="Times New Roman"/>
          <w:sz w:val="18"/>
          <w:szCs w:val="18"/>
          <w:i w:val="1"/>
          <w:iCs w:val="1"/>
          <w:color w:val="auto"/>
        </w:rPr>
        <w:t>Descriptions of Investment Management Agreement and Administration Agreement</w:t>
      </w:r>
      <w:r>
        <w:rPr>
          <w:rFonts w:ascii="Times New Roman" w:cs="Times New Roman" w:eastAsia="Times New Roman" w:hAnsi="Times New Roman"/>
          <w:sz w:val="18"/>
          <w:szCs w:val="18"/>
          <w:color w:val="auto"/>
        </w:rPr>
        <w:t>. Both the Investment Management Agreement and Administration Agreement conform in all material respects to the descriptions thereof contained or incorporated by reference in the Pricing Disclosure Package and the Offering Memorandum.</w:t>
      </w:r>
    </w:p>
    <w:p>
      <w:pPr>
        <w:spacing w:after="0" w:line="173"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(x)  </w:t>
      </w:r>
      <w:r>
        <w:rPr>
          <w:rFonts w:ascii="Times New Roman" w:cs="Times New Roman" w:eastAsia="Times New Roman" w:hAnsi="Times New Roman"/>
          <w:sz w:val="18"/>
          <w:szCs w:val="18"/>
          <w:i w:val="1"/>
          <w:iCs w:val="1"/>
          <w:color w:val="auto"/>
        </w:rPr>
        <w:t>No Violation or Default.</w:t>
      </w:r>
      <w:r>
        <w:rPr>
          <w:rFonts w:ascii="Times New Roman" w:cs="Times New Roman" w:eastAsia="Times New Roman" w:hAnsi="Times New Roman"/>
          <w:sz w:val="18"/>
          <w:szCs w:val="18"/>
          <w:color w:val="auto"/>
        </w:rPr>
        <w:t xml:space="preserve"> Neither the Company nor any of its subsidiaries is (i) in violation of its charter or by-laws or similar organizational 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or (iii) in violation of any law or statute applicable to the Company or any of its subsidiaries or any judgment, order, rule or regulation of any court or arbitrator or governmental or regulatory authority having jurisdiction over the Company or any of its subsidiaries, except, in the case of clauses (ii) and (iii) above, for any such default or violation that would not reasonably be expected, individually or in the aggregate, to have a Material Adverse Effect.</w:t>
      </w:r>
    </w:p>
    <w:p>
      <w:pPr>
        <w:spacing w:after="0" w:line="185"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(y)  </w:t>
      </w:r>
      <w:r>
        <w:rPr>
          <w:rFonts w:ascii="Times New Roman" w:cs="Times New Roman" w:eastAsia="Times New Roman" w:hAnsi="Times New Roman"/>
          <w:sz w:val="18"/>
          <w:szCs w:val="18"/>
          <w:i w:val="1"/>
          <w:iCs w:val="1"/>
          <w:color w:val="auto"/>
        </w:rPr>
        <w:t>No Conflicts.</w:t>
      </w:r>
      <w:r>
        <w:rPr>
          <w:rFonts w:ascii="Times New Roman" w:cs="Times New Roman" w:eastAsia="Times New Roman" w:hAnsi="Times New Roman"/>
          <w:sz w:val="18"/>
          <w:szCs w:val="18"/>
          <w:color w:val="auto"/>
        </w:rPr>
        <w:t xml:space="preserve"> The execution, delivery and performance by the Company of this Agreement and the Indenture, the issuance and sale of the Notes and the consummation of the transactions contemplated by this Agreement and the Indenture and the performance by the Company of the Investment Management Agreement and the Administration Agreement will not (i) conflict with or result in a breach or violation of any of the terms or provisions of, or constitute a default under, or result in the creation or imposition of any lien, charge or encumbrance upon any property or assets of the Company or any of its subsidiaries pursuant to,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(ii) result in any violation of the provisions of the charter or by-laws or similar organizational documents of the Company or any of its subsidiaries or (iii) result in the violation of any law or statute applicable to the Company or any of its subsidiaries or any judgment, order, rule or regulation of any court or arbitrator or governmental or regulatory authority having jurisdiction over the Company or any of its subsidiaries, except, in the case of clauses (i) and (iii) above, for any such conflict, breach, violation, default, lien, charge or encumbrance that would not reasonably be expected, individually or in the aggregate, to have a Material Adverse Effect.</w:t>
      </w:r>
    </w:p>
    <w:p>
      <w:pPr>
        <w:sectPr>
          <w:pgSz w:w="11900" w:h="16838" w:orient="portrait"/>
          <w:cols w:equalWidth="0" w:num="1">
            <w:col w:w="11000"/>
          </w:cols>
          <w:pgMar w:left="440" w:top="270" w:right="459" w:bottom="1440" w:gutter="0" w:footer="0" w:header="0"/>
        </w:sectPr>
      </w:pPr>
    </w:p>
    <w:bookmarkStart w:id="12" w:name="page13"/>
    <w:bookmarkEnd w:id="12"/>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(z)  </w:t>
      </w:r>
      <w:r>
        <w:rPr>
          <w:rFonts w:ascii="Times New Roman" w:cs="Times New Roman" w:eastAsia="Times New Roman" w:hAnsi="Times New Roman"/>
          <w:sz w:val="18"/>
          <w:szCs w:val="18"/>
          <w:i w:val="1"/>
          <w:iCs w:val="1"/>
          <w:color w:val="auto"/>
        </w:rPr>
        <w:t>No Consents Required.</w:t>
      </w:r>
      <w:r>
        <w:rPr>
          <w:rFonts w:ascii="Times New Roman" w:cs="Times New Roman" w:eastAsia="Times New Roman" w:hAnsi="Times New Roman"/>
          <w:sz w:val="18"/>
          <w:szCs w:val="18"/>
          <w:color w:val="auto"/>
        </w:rPr>
        <w:t xml:space="preserve"> No consent, approval, authorization, order, license, registration or qualification of or with any court or arbitrator or governmental or regulatory authority is required for the execution, delivery and performance by the Company of this Agreement and the Indenture, the issuance and sale of the Notes and the consummation of the transactions contemplated by this Agreement and the Indenture or the performance by the Company of the Investment Management Agreement and the Administration Agreement, except for (i) such consents, approvals, authorizations, orders, licenses, registrations or qualifications as have already been obtained or made, (ii) such consents, approvals, authorizations, orders and registrations or qualifications as may be required under applicable state securities laws in connection with the purchase and distribution of the Notes by the Initial Purchasers and (iii) where the failure to obtain any such consent, approval, authorization, order, license, registration or qualification would not reasonably be expected, individually or in the aggregate, to have a Material Adverse Effect.</w:t>
      </w:r>
    </w:p>
    <w:p>
      <w:pPr>
        <w:spacing w:after="0" w:line="185"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(aa)  </w:t>
      </w:r>
      <w:r>
        <w:rPr>
          <w:rFonts w:ascii="Times New Roman" w:cs="Times New Roman" w:eastAsia="Times New Roman" w:hAnsi="Times New Roman"/>
          <w:sz w:val="18"/>
          <w:szCs w:val="18"/>
          <w:i w:val="1"/>
          <w:iCs w:val="1"/>
          <w:color w:val="auto"/>
        </w:rPr>
        <w:t>Legal Proceedings.</w:t>
      </w:r>
      <w:r>
        <w:rPr>
          <w:rFonts w:ascii="Times New Roman" w:cs="Times New Roman" w:eastAsia="Times New Roman" w:hAnsi="Times New Roman"/>
          <w:sz w:val="18"/>
          <w:szCs w:val="18"/>
          <w:color w:val="auto"/>
        </w:rPr>
        <w:t xml:space="preserve"> Except as described in the Pricing Disclosure Package and the Offering Memorandum, there are no legal, governmental or regulatory investigations, actions, suits or proceedings pending to which the Company or any of its subsidiaries is or, to the knowledge of the Company, may be reasonably expected to become a party or to which any property of the Company or any of its subsidiaries is or, to the knowledge of the Company, may be reasonably expected to become the subject that, individually or in the aggregate, if determined adversely to the Company or any of its subsidiaries, would reasonably be expected to have a Material Adverse Effect; no such investigations, actions, suits or proceedings are threatened or, to the knowledge of the Company, contemplated by any governmental or regulatory authority or threatened by others, except as would not reasonably be expected, individually or in the aggregate, to have a Material Adverse Effect; and (i) there are no current or pending legal, governmental or regulatory actions, suits or proceedings that would be required to be described in the Pricing Disclosure Package or the Offering Memorandum if the offering of the Notes was pursuant to a registration under the Securities Act that are not so described in the Pricing Disclosure Package and the Offering Memorandum, and (ii) there are no contracts or other documents that would be required to be described in the Pricing Disclosure Package or the Offering Memorandum if the offering of the Notes was pursuant to a registration under the Securities Act that are not so described in the Pricing Disclosure Package and the Offering Memorandum.</w:t>
      </w:r>
    </w:p>
    <w:p>
      <w:pPr>
        <w:spacing w:after="0" w:line="190"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(bb)  </w:t>
      </w:r>
      <w:r>
        <w:rPr>
          <w:rFonts w:ascii="Times New Roman" w:cs="Times New Roman" w:eastAsia="Times New Roman" w:hAnsi="Times New Roman"/>
          <w:sz w:val="18"/>
          <w:szCs w:val="18"/>
          <w:i w:val="1"/>
          <w:iCs w:val="1"/>
          <w:color w:val="auto"/>
        </w:rPr>
        <w:t>Notification of Election</w:t>
      </w:r>
      <w:r>
        <w:rPr>
          <w:rFonts w:ascii="Times New Roman" w:cs="Times New Roman" w:eastAsia="Times New Roman" w:hAnsi="Times New Roman"/>
          <w:sz w:val="18"/>
          <w:szCs w:val="18"/>
          <w:color w:val="auto"/>
        </w:rPr>
        <w:t>. When the Notification of Election was filed with the Commission, it (i) contained all statements required to be stated therein in accordance with, and complied in all material respects with the requirements of, the Investment Company Act and (ii) did not include any untrue statement of a material fact or omit to state a material fact necessary to make the statements therein, in the light of the circumstances under which they were made, not misleading.</w:t>
      </w:r>
    </w:p>
    <w:p>
      <w:pPr>
        <w:spacing w:after="0" w:line="180" w:lineRule="exact"/>
        <w:rPr>
          <w:sz w:val="20"/>
          <w:szCs w:val="20"/>
          <w:color w:val="auto"/>
        </w:rPr>
      </w:pPr>
    </w:p>
    <w:p>
      <w:pPr>
        <w:ind w:right="60" w:firstLine="440"/>
        <w:spacing w:after="0" w:line="284" w:lineRule="auto"/>
        <w:rPr>
          <w:sz w:val="20"/>
          <w:szCs w:val="20"/>
          <w:color w:val="auto"/>
        </w:rPr>
      </w:pPr>
      <w:r>
        <w:rPr>
          <w:rFonts w:ascii="Times New Roman" w:cs="Times New Roman" w:eastAsia="Times New Roman" w:hAnsi="Times New Roman"/>
          <w:sz w:val="18"/>
          <w:szCs w:val="18"/>
          <w:color w:val="auto"/>
        </w:rPr>
        <w:t xml:space="preserve">(cc)  </w:t>
      </w:r>
      <w:r>
        <w:rPr>
          <w:rFonts w:ascii="Times New Roman" w:cs="Times New Roman" w:eastAsia="Times New Roman" w:hAnsi="Times New Roman"/>
          <w:sz w:val="18"/>
          <w:szCs w:val="18"/>
          <w:i w:val="1"/>
          <w:iCs w:val="1"/>
          <w:color w:val="auto"/>
        </w:rPr>
        <w:t>Election to be Treated as a Business Development Company</w:t>
      </w:r>
      <w:r>
        <w:rPr>
          <w:rFonts w:ascii="Times New Roman" w:cs="Times New Roman" w:eastAsia="Times New Roman" w:hAnsi="Times New Roman"/>
          <w:sz w:val="18"/>
          <w:szCs w:val="18"/>
          <w:color w:val="auto"/>
        </w:rPr>
        <w:t>. (A) The Company has duly elected to be treated by the Commission under the Investment Company Act as a business development company, such election is effective and the Company has not withdrawn</w:t>
      </w:r>
    </w:p>
    <w:p>
      <w:pPr>
        <w:sectPr>
          <w:pgSz w:w="11900" w:h="16838" w:orient="portrait"/>
          <w:cols w:equalWidth="0" w:num="1">
            <w:col w:w="11000"/>
          </w:cols>
          <w:pgMar w:left="440" w:top="268" w:right="459" w:bottom="1440" w:gutter="0" w:footer="0" w:header="0"/>
        </w:sectPr>
      </w:pPr>
    </w:p>
    <w:bookmarkStart w:id="13" w:name="page14"/>
    <w:bookmarkEnd w:id="13"/>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such election and, to the Company’s knowledge, the Commission has not ordered such election to be withdrawn nor, to our knowledge have proceedings to effectuate such withdrawal been initiated or threatened by the Commission; (B) the provisions of the certificate of incorporation and by-laws of the Company and the investment objectives, policies and restrictions of the Company described in the Offering Memorandum, assuming they are implemented as described, will comply in all material respects with the requirements of the Investment Company Act; and (C) as of the time of each sale of Notes and as of the Closing Date, the operations of the Company are in compliance in all material respects with the provisions of the Investment Company Act applicable to business development companies.</w:t>
      </w:r>
    </w:p>
    <w:p>
      <w:pPr>
        <w:spacing w:after="0" w:line="185" w:lineRule="exact"/>
        <w:rPr>
          <w:sz w:val="20"/>
          <w:szCs w:val="20"/>
          <w:color w:val="auto"/>
        </w:rPr>
      </w:pPr>
    </w:p>
    <w:p>
      <w:pPr>
        <w:ind w:right="220" w:firstLine="440"/>
        <w:spacing w:after="0" w:line="267" w:lineRule="auto"/>
        <w:rPr>
          <w:sz w:val="20"/>
          <w:szCs w:val="20"/>
          <w:color w:val="auto"/>
        </w:rPr>
      </w:pPr>
      <w:r>
        <w:rPr>
          <w:rFonts w:ascii="Times New Roman" w:cs="Times New Roman" w:eastAsia="Times New Roman" w:hAnsi="Times New Roman"/>
          <w:sz w:val="18"/>
          <w:szCs w:val="18"/>
          <w:color w:val="auto"/>
        </w:rPr>
        <w:t xml:space="preserve">(dd)  </w:t>
      </w:r>
      <w:r>
        <w:rPr>
          <w:rFonts w:ascii="Times New Roman" w:cs="Times New Roman" w:eastAsia="Times New Roman" w:hAnsi="Times New Roman"/>
          <w:sz w:val="18"/>
          <w:szCs w:val="18"/>
          <w:i w:val="1"/>
          <w:iCs w:val="1"/>
          <w:color w:val="auto"/>
        </w:rPr>
        <w:t>Independent Accountants</w:t>
      </w:r>
      <w:r>
        <w:rPr>
          <w:rFonts w:ascii="Times New Roman" w:cs="Times New Roman" w:eastAsia="Times New Roman" w:hAnsi="Times New Roman"/>
          <w:sz w:val="18"/>
          <w:szCs w:val="18"/>
          <w:color w:val="auto"/>
        </w:rPr>
        <w:t>. KPMG LLP, who have certified certain financial statements of the Company and its subsidiaries, is an independent registered public accounting firm with respect to the Company and its subsidiaries within the applicable rules and regulations adopted by the Commission and the Public Company Accounting Oversight Board (United States) and as required by the Securities Act.</w:t>
      </w:r>
    </w:p>
    <w:p>
      <w:pPr>
        <w:spacing w:after="0" w:line="173" w:lineRule="exact"/>
        <w:rPr>
          <w:sz w:val="20"/>
          <w:szCs w:val="20"/>
          <w:color w:val="auto"/>
        </w:rPr>
      </w:pPr>
    </w:p>
    <w:p>
      <w:pPr>
        <w:ind w:right="40" w:firstLine="440"/>
        <w:spacing w:after="0" w:line="257" w:lineRule="auto"/>
        <w:rPr>
          <w:sz w:val="20"/>
          <w:szCs w:val="20"/>
          <w:color w:val="auto"/>
        </w:rPr>
      </w:pPr>
      <w:r>
        <w:rPr>
          <w:rFonts w:ascii="Times New Roman" w:cs="Times New Roman" w:eastAsia="Times New Roman" w:hAnsi="Times New Roman"/>
          <w:sz w:val="18"/>
          <w:szCs w:val="18"/>
          <w:color w:val="auto"/>
        </w:rPr>
        <w:t xml:space="preserve">(ee)  </w:t>
      </w:r>
      <w:r>
        <w:rPr>
          <w:rFonts w:ascii="Times New Roman" w:cs="Times New Roman" w:eastAsia="Times New Roman" w:hAnsi="Times New Roman"/>
          <w:sz w:val="18"/>
          <w:szCs w:val="18"/>
          <w:i w:val="1"/>
          <w:iCs w:val="1"/>
          <w:color w:val="auto"/>
        </w:rPr>
        <w:t>Title to Real and Personal Property</w:t>
      </w:r>
      <w:r>
        <w:rPr>
          <w:rFonts w:ascii="Times New Roman" w:cs="Times New Roman" w:eastAsia="Times New Roman" w:hAnsi="Times New Roman"/>
          <w:sz w:val="18"/>
          <w:szCs w:val="18"/>
          <w:color w:val="auto"/>
        </w:rPr>
        <w:t>. Except as would not reasonably be expected, individually or in the aggregate, to have a Material Adverse Effect, the Company and its subsidiaries have good and marketable title in fee simple (in the case of real property) to, or have valid and marketable rights to lease or otherwise use, all items of real and personal property and assets (other than intellectual property, which is subject to Section 3(ee)) that are material to the business of the Company and its subsidiaries, in each case free and clear of all liens, encumbrances, claims and defects and imperfections of title except (i) as otherwise described in the Pricing Disclosure Package and the Offering Memorandum or (ii) those that do not materially interfere with the use made and proposed to be made of such property by the Company and its subsidiaries.</w:t>
      </w:r>
    </w:p>
    <w:p>
      <w:pPr>
        <w:spacing w:after="0" w:line="182"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t xml:space="preserve">(ff)  </w:t>
      </w:r>
      <w:r>
        <w:rPr>
          <w:rFonts w:ascii="Times New Roman" w:cs="Times New Roman" w:eastAsia="Times New Roman" w:hAnsi="Times New Roman"/>
          <w:sz w:val="18"/>
          <w:szCs w:val="18"/>
          <w:i w:val="1"/>
          <w:iCs w:val="1"/>
          <w:color w:val="auto"/>
        </w:rPr>
        <w:t>Title to Intellectual Property</w:t>
      </w:r>
      <w:r>
        <w:rPr>
          <w:rFonts w:ascii="Times New Roman" w:cs="Times New Roman" w:eastAsia="Times New Roman" w:hAnsi="Times New Roman"/>
          <w:sz w:val="18"/>
          <w:szCs w:val="18"/>
          <w:color w:val="auto"/>
        </w:rPr>
        <w:t>. Except as would not reasonably be expected, individually or in the aggregate, to have a Material Adverse Effect, (i) the Company and its subsidiaries, to the knowledge of the Company, own or possess, or can acquire on reasonable terms, adequate rights to use all patents, patent applications, trademarks, service marks, trade names, trademark registrations, service mark registrations, copyrights, licenses and know-how (including trade secrets) necessary for the conduct of their respective businesses as currently conducted, and (ii) to the knowledge of the Company, the conduct of their respective businesses as currently conducted does not conflict with any such rights of others. The Company and its subsidiaries have not received any written notice of any claim of infringement, misappropriation or conflict with any such rights of others in connection with its patents, patent rights, licenses, inventions, trademarks, service marks, trade names, copyrights and know-how, which would reasonably be expected to result in a Material Adverse Effect.</w:t>
      </w:r>
    </w:p>
    <w:p>
      <w:pPr>
        <w:spacing w:after="0" w:line="185"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(gg)  </w:t>
      </w:r>
      <w:r>
        <w:rPr>
          <w:rFonts w:ascii="Times New Roman" w:cs="Times New Roman" w:eastAsia="Times New Roman" w:hAnsi="Times New Roman"/>
          <w:sz w:val="18"/>
          <w:szCs w:val="18"/>
          <w:i w:val="1"/>
          <w:iCs w:val="1"/>
          <w:color w:val="auto"/>
        </w:rPr>
        <w:t>No Undisclosed Relationships</w:t>
      </w:r>
      <w:r>
        <w:rPr>
          <w:rFonts w:ascii="Times New Roman" w:cs="Times New Roman" w:eastAsia="Times New Roman" w:hAnsi="Times New Roman"/>
          <w:sz w:val="18"/>
          <w:szCs w:val="18"/>
          <w:color w:val="auto"/>
        </w:rPr>
        <w:t>. No relationship, direct or indirect, exists between or among the Company or any of its subsidiaries, on the one hand, and the directors, officers, stockholders, customers or suppliers of the Company or any of its subsidiaries, on the other, that would be required to be described in the Pricing Disclosure Package or the Offering Memorandum if the offering of the Notes was pursuant to a registration under the Securities Act that is not so described in the Pricing Disclosure Package and the Offering Memorandum.</w:t>
      </w:r>
    </w:p>
    <w:p>
      <w:pPr>
        <w:sectPr>
          <w:pgSz w:w="11900" w:h="16838" w:orient="portrait"/>
          <w:cols w:equalWidth="0" w:num="1">
            <w:col w:w="11000"/>
          </w:cols>
          <w:pgMar w:left="440" w:top="270" w:right="459" w:bottom="1440" w:gutter="0" w:footer="0" w:header="0"/>
        </w:sectPr>
      </w:pPr>
    </w:p>
    <w:bookmarkStart w:id="14" w:name="page15"/>
    <w:bookmarkEnd w:id="14"/>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(hh)  </w:t>
      </w:r>
      <w:r>
        <w:rPr>
          <w:rFonts w:ascii="Times New Roman" w:cs="Times New Roman" w:eastAsia="Times New Roman" w:hAnsi="Times New Roman"/>
          <w:sz w:val="18"/>
          <w:szCs w:val="18"/>
          <w:i w:val="1"/>
          <w:iCs w:val="1"/>
          <w:color w:val="auto"/>
        </w:rPr>
        <w:t>Investment Company Act</w:t>
      </w:r>
      <w:r>
        <w:rPr>
          <w:rFonts w:ascii="Times New Roman" w:cs="Times New Roman" w:eastAsia="Times New Roman" w:hAnsi="Times New Roman"/>
          <w:sz w:val="18"/>
          <w:szCs w:val="18"/>
          <w:color w:val="auto"/>
        </w:rPr>
        <w:t>. The Company is not and its subsidiaries are not, and, after giving effect to the offering and sale of the Notes and the application of the proceeds thereof as described in the Pricing Disclosure Package and the Offering Memorandum, neither the Company nor its subsidiaries will be required to register as an “investment company” or an entity “controlled” by an “investment company” within the meaning of the Investment Company Act. No person is serving or acting as an officer, director or investment adviser of the Company or any subsidiary of the Company except in accordance with the applicable provisions of the Investment Company Act and the Advisers Act.</w:t>
      </w:r>
    </w:p>
    <w:p>
      <w:pPr>
        <w:spacing w:after="0" w:line="183"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 xml:space="preserve">(ii)  </w:t>
      </w:r>
      <w:r>
        <w:rPr>
          <w:rFonts w:ascii="Times New Roman" w:cs="Times New Roman" w:eastAsia="Times New Roman" w:hAnsi="Times New Roman"/>
          <w:sz w:val="18"/>
          <w:szCs w:val="18"/>
          <w:i w:val="1"/>
          <w:iCs w:val="1"/>
          <w:color w:val="auto"/>
        </w:rPr>
        <w:t>Taxes.</w:t>
      </w:r>
      <w:r>
        <w:rPr>
          <w:rFonts w:ascii="Times New Roman" w:cs="Times New Roman" w:eastAsia="Times New Roman" w:hAnsi="Times New Roman"/>
          <w:sz w:val="18"/>
          <w:szCs w:val="18"/>
          <w:color w:val="auto"/>
        </w:rPr>
        <w:t xml:space="preserve"> The Company and its subsidiaries have paid (or caused to be paid) all federal, state, local and foreign taxes required by law to be paid, and have filed (or caused to be filed) all tax returns required by law to be filed, in each case, through the date hereof, except where the failure to pay such taxes or file such returns would not reasonably be expected, individually or in the aggregate, to have a Material Adverse Effect. Except as otherwise disclosed in the Pricing Disclosure Package and the Offering Memorandum, there is no tax deficiency that has been, or, to the knowledge of the Company, would reasonably be expected to be, asserted against the Company or any of its subsidiaries or any of their respective properties or assets that, in any case, would reasonably be expected, individually or in the aggregate, to have a Material Adverse Effect.</w:t>
      </w:r>
    </w:p>
    <w:p>
      <w:pPr>
        <w:spacing w:after="0" w:line="182"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(jj)  </w:t>
      </w:r>
      <w:r>
        <w:rPr>
          <w:rFonts w:ascii="Times New Roman" w:cs="Times New Roman" w:eastAsia="Times New Roman" w:hAnsi="Times New Roman"/>
          <w:sz w:val="18"/>
          <w:szCs w:val="18"/>
          <w:i w:val="1"/>
          <w:iCs w:val="1"/>
          <w:color w:val="auto"/>
        </w:rPr>
        <w:t>Licenses and Permits.</w:t>
      </w:r>
      <w:r>
        <w:rPr>
          <w:rFonts w:ascii="Times New Roman" w:cs="Times New Roman" w:eastAsia="Times New Roman" w:hAnsi="Times New Roman"/>
          <w:sz w:val="18"/>
          <w:szCs w:val="18"/>
          <w:color w:val="auto"/>
        </w:rPr>
        <w:t xml:space="preserve"> The Company and its subsidiaries possess all licenses, certificates, permits and other authorizations issued by, and have made all declarations and filings with, the appropriate federal, state, local or foreign governmental or regulatory authorities having jurisdiction over the Company and its subsidiaries that are necessary for the ownership or lease of their respective properties or the conduct of their respective businesses as described in the Pricing Disclosure Package and the Offering Memorandum, except where the failure to possess or make the same would not reasonably be expected, individually or in the aggregate, to have a Material Adverse Effect; and except as otherwise disclosed in the Pricing Disclosure Package and the Offering Memorandum, neither the Company nor any of its subsidiaries has received written notice of any revocation or modification of any such license, certificate, permit or authorization or has any reason to believe that any such license, certificate, permit or authorization will not be renewed in the ordinary course, except where such revocation, modification or non-renewal would not reasonably be expected, individually or in the aggregate, to have a Material Adverse Effect.</w:t>
      </w:r>
    </w:p>
    <w:p>
      <w:pPr>
        <w:spacing w:after="0" w:line="188" w:lineRule="exact"/>
        <w:rPr>
          <w:sz w:val="20"/>
          <w:szCs w:val="20"/>
          <w:color w:val="auto"/>
        </w:rPr>
      </w:pPr>
    </w:p>
    <w:p>
      <w:pPr>
        <w:ind w:right="120" w:firstLine="440"/>
        <w:spacing w:after="0" w:line="257" w:lineRule="auto"/>
        <w:rPr>
          <w:sz w:val="20"/>
          <w:szCs w:val="20"/>
          <w:color w:val="auto"/>
        </w:rPr>
      </w:pPr>
      <w:r>
        <w:rPr>
          <w:rFonts w:ascii="Times New Roman" w:cs="Times New Roman" w:eastAsia="Times New Roman" w:hAnsi="Times New Roman"/>
          <w:sz w:val="18"/>
          <w:szCs w:val="18"/>
          <w:color w:val="auto"/>
        </w:rPr>
        <w:t xml:space="preserve">(kk)  </w:t>
      </w:r>
      <w:r>
        <w:rPr>
          <w:rFonts w:ascii="Times New Roman" w:cs="Times New Roman" w:eastAsia="Times New Roman" w:hAnsi="Times New Roman"/>
          <w:sz w:val="18"/>
          <w:szCs w:val="18"/>
          <w:i w:val="1"/>
          <w:iCs w:val="1"/>
          <w:color w:val="auto"/>
        </w:rPr>
        <w:t>Disclosure Controls</w:t>
      </w:r>
      <w:r>
        <w:rPr>
          <w:rFonts w:ascii="Times New Roman" w:cs="Times New Roman" w:eastAsia="Times New Roman" w:hAnsi="Times New Roman"/>
          <w:sz w:val="18"/>
          <w:szCs w:val="18"/>
          <w:color w:val="auto"/>
        </w:rPr>
        <w:t>. The Company maintains an effective system of “disclosure controls and procedures” (as defined in Rule 13a-15(e) of the Exchange Act) that complies with the requirements of the Exchange Act and that has been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The Company has carried out an evaluation of the effectiveness of its disclosure controls and procedures as required by Rule 13a-15 of the Exchange Act.</w:t>
      </w:r>
    </w:p>
    <w:p>
      <w:pPr>
        <w:sectPr>
          <w:pgSz w:w="11900" w:h="16838" w:orient="portrait"/>
          <w:cols w:equalWidth="0" w:num="1">
            <w:col w:w="11000"/>
          </w:cols>
          <w:pgMar w:left="440" w:top="268" w:right="459" w:bottom="1440" w:gutter="0" w:footer="0" w:header="0"/>
        </w:sectPr>
      </w:pPr>
    </w:p>
    <w:bookmarkStart w:id="15" w:name="page16"/>
    <w:bookmarkEnd w:id="15"/>
    <w:p>
      <w:pPr>
        <w:ind w:left="4" w:right="60" w:firstLine="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(ll)  </w:t>
      </w:r>
      <w:r>
        <w:rPr>
          <w:rFonts w:ascii="Times New Roman" w:cs="Times New Roman" w:eastAsia="Times New Roman" w:hAnsi="Times New Roman"/>
          <w:sz w:val="18"/>
          <w:szCs w:val="18"/>
          <w:i w:val="1"/>
          <w:iCs w:val="1"/>
          <w:color w:val="auto"/>
        </w:rPr>
        <w:t>Accounting Controls.</w:t>
      </w:r>
      <w:r>
        <w:rPr>
          <w:rFonts w:ascii="Times New Roman" w:cs="Times New Roman" w:eastAsia="Times New Roman" w:hAnsi="Times New Roman"/>
          <w:sz w:val="18"/>
          <w:szCs w:val="18"/>
          <w:color w:val="auto"/>
        </w:rPr>
        <w:t xml:space="preserve"> The Company maintains a system of “internal control over financial reporting” (as defined in Rule 13a-15(f) of the Exchange Act) that complies with the requirements of the Exchange Act and that has been designed by, or under the supervision of, its principal executive and principal financial officers, or persons performing similar functions, to provide reasonable assurance regarding the reliability of financial reporting and the preparation of financial statements for external purposes in accordance with U.S. generally accepted accounting principles, including, but not limited to, internal accounting controls sufficient to provide reasonable assurance that (i) transactions are executed in accordance with management’s general or specific authorizations; (ii) transactions are executed in accordance with the investment objectives, policies and restrictions of the Company and the applicable requirements of the Investment Company Act and the Internal Revenue Code of 1986, as amended (the “Code”); (iii) transactions are recorded as necessary to permit preparation of financial statements in conformity with generally accepted accounting principles, to calculate net asset value, to maintain asset accountability, and to maintain material compliance with the books and records requirements under the Investment Company Act; (iv) access to assets is permitted only in accordance with management’s general or specific authorization; and (v) the recorded accountability for assets is compared with the existing assets at reasonable intervals and appropriate action is taken with respect to any differences. Except as otherwise disclosed in the Pricing Disclosure Package and the Offering Memorandum, there are no material weaknesses in the Company’s internal controls (it being understood that the Company is not required as of the date hereof to comply with the auditor attestation requirements under Section 404 of the Sarbanes-Oxley Act (as defined below)). The Company’s auditors and the Audit Committee of the Board of Directors of the Company have been advised of: (i) all significant deficiencies and material weaknesses in the design or operation of internal controls over financial reporting, which have adversely affected or are reasonably likely to adversely affect the Company’s ability to record, process, summarize and report financial information; and (ii) any fraud, whether or not material, that involves management or, other employees who have a significant role in the Company’s internal controls over financial reporting.</w:t>
      </w:r>
    </w:p>
    <w:p>
      <w:pPr>
        <w:spacing w:after="0" w:line="192" w:lineRule="exact"/>
        <w:rPr>
          <w:sz w:val="20"/>
          <w:szCs w:val="20"/>
          <w:color w:val="auto"/>
        </w:rPr>
      </w:pPr>
    </w:p>
    <w:p>
      <w:pPr>
        <w:jc w:val="both"/>
        <w:ind w:left="4" w:right="100" w:firstLine="440"/>
        <w:spacing w:after="0" w:line="267" w:lineRule="auto"/>
        <w:rPr>
          <w:sz w:val="20"/>
          <w:szCs w:val="20"/>
          <w:color w:val="auto"/>
        </w:rPr>
      </w:pPr>
      <w:r>
        <w:rPr>
          <w:rFonts w:ascii="Times New Roman" w:cs="Times New Roman" w:eastAsia="Times New Roman" w:hAnsi="Times New Roman"/>
          <w:sz w:val="18"/>
          <w:szCs w:val="18"/>
          <w:color w:val="auto"/>
        </w:rPr>
        <w:t xml:space="preserve">(mm)  </w:t>
      </w:r>
      <w:r>
        <w:rPr>
          <w:rFonts w:ascii="Times New Roman" w:cs="Times New Roman" w:eastAsia="Times New Roman" w:hAnsi="Times New Roman"/>
          <w:sz w:val="18"/>
          <w:szCs w:val="18"/>
          <w:i w:val="1"/>
          <w:iCs w:val="1"/>
          <w:color w:val="auto"/>
        </w:rPr>
        <w:t>eXtensible Business Reporting Language.</w:t>
      </w:r>
      <w:r>
        <w:rPr>
          <w:rFonts w:ascii="Times New Roman" w:cs="Times New Roman" w:eastAsia="Times New Roman" w:hAnsi="Times New Roman"/>
          <w:sz w:val="18"/>
          <w:szCs w:val="18"/>
          <w:color w:val="auto"/>
        </w:rPr>
        <w:t xml:space="preserve"> To the Company’s knowledge, the interactive data in eXtensible Business Reporting Language included or incorporated by reference in the Pricing Disclosure Package and the Offering Memorandum fairly presents the information called for in all material respects and has been prepared in accordance with the Commission’s rules and guidelines applicable thereto.</w:t>
      </w:r>
    </w:p>
    <w:p>
      <w:pPr>
        <w:spacing w:after="0" w:line="173" w:lineRule="exact"/>
        <w:rPr>
          <w:sz w:val="20"/>
          <w:szCs w:val="20"/>
          <w:color w:val="auto"/>
        </w:rPr>
      </w:pPr>
    </w:p>
    <w:p>
      <w:pPr>
        <w:ind w:left="4" w:right="140" w:firstLine="440"/>
        <w:spacing w:after="0" w:line="273" w:lineRule="auto"/>
        <w:rPr>
          <w:sz w:val="20"/>
          <w:szCs w:val="20"/>
          <w:color w:val="auto"/>
        </w:rPr>
      </w:pPr>
      <w:r>
        <w:rPr>
          <w:rFonts w:ascii="Times New Roman" w:cs="Times New Roman" w:eastAsia="Times New Roman" w:hAnsi="Times New Roman"/>
          <w:sz w:val="17"/>
          <w:szCs w:val="17"/>
          <w:color w:val="auto"/>
        </w:rPr>
        <w:t xml:space="preserve">(nn)  </w:t>
      </w:r>
      <w:r>
        <w:rPr>
          <w:rFonts w:ascii="Times New Roman" w:cs="Times New Roman" w:eastAsia="Times New Roman" w:hAnsi="Times New Roman"/>
          <w:sz w:val="17"/>
          <w:szCs w:val="17"/>
          <w:i w:val="1"/>
          <w:iCs w:val="1"/>
          <w:color w:val="auto"/>
        </w:rPr>
        <w:t>Insurance.</w:t>
      </w:r>
      <w:r>
        <w:rPr>
          <w:rFonts w:ascii="Times New Roman" w:cs="Times New Roman" w:eastAsia="Times New Roman" w:hAnsi="Times New Roman"/>
          <w:sz w:val="17"/>
          <w:szCs w:val="17"/>
          <w:color w:val="auto"/>
        </w:rPr>
        <w:t xml:space="preserve"> The Company and its subsidiaries have insurance covering their respective properties, operations, personnel and businesses, including business interruption insurance, which insurance is in amounts and insures against such losses and risks as the Company reasonably believes are adequate to protect the Company and its subsidiaries and their respective businesses; and neither the Company nor any of its subsidiaries has</w:t>
      </w:r>
    </w:p>
    <w:p>
      <w:pPr>
        <w:spacing w:after="0" w:line="1" w:lineRule="exact"/>
        <w:rPr>
          <w:sz w:val="20"/>
          <w:szCs w:val="20"/>
          <w:color w:val="auto"/>
        </w:rPr>
      </w:pPr>
    </w:p>
    <w:p>
      <w:pPr>
        <w:ind w:left="4" w:hanging="4"/>
        <w:spacing w:after="0" w:line="253" w:lineRule="auto"/>
        <w:tabs>
          <w:tab w:leader="none" w:pos="21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notice from any insurer or agent of such insurer that capital improvements or other expenditures are required or necessary to be made in order to continue such insurance or (ii) any reason to believe that it will not be able to renew its existing insurance coverage as and when such coverage expires or to obtain similar coverage at reasonable cost from similar insurers as may be necessary to continue its business, except, in each case, as would not, individually or in the aggregate, have a Material Adverse Effect.</w:t>
      </w:r>
    </w:p>
    <w:p>
      <w:pPr>
        <w:sectPr>
          <w:pgSz w:w="11900" w:h="16838" w:orient="portrait"/>
          <w:cols w:equalWidth="0" w:num="1">
            <w:col w:w="10984"/>
          </w:cols>
          <w:pgMar w:left="436" w:top="268" w:right="479" w:bottom="1440" w:gutter="0" w:footer="0" w:header="0"/>
        </w:sectPr>
      </w:pPr>
    </w:p>
    <w:bookmarkStart w:id="16" w:name="page17"/>
    <w:bookmarkEnd w:id="16"/>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(oo)   </w:t>
      </w:r>
      <w:r>
        <w:rPr>
          <w:rFonts w:ascii="Times New Roman" w:cs="Times New Roman" w:eastAsia="Times New Roman" w:hAnsi="Times New Roman"/>
          <w:sz w:val="18"/>
          <w:szCs w:val="18"/>
          <w:i w:val="1"/>
          <w:iCs w:val="1"/>
          <w:color w:val="auto"/>
        </w:rPr>
        <w:t>No Unlawful Payments.</w:t>
      </w:r>
      <w:r>
        <w:rPr>
          <w:rFonts w:ascii="Times New Roman" w:cs="Times New Roman" w:eastAsia="Times New Roman" w:hAnsi="Times New Roman"/>
          <w:sz w:val="18"/>
          <w:szCs w:val="18"/>
          <w:color w:val="auto"/>
        </w:rPr>
        <w:t xml:space="preserve"> Neither the Company nor any of its subsidiaries nor any director, officer, or employee of the Company or any of its subsidiaries nor, to the knowledge of the Company, any agent, affiliate or other person associated with or acting on behalf of the Company or any of its subsidiaries has (i) used any funds for any unlawful contribution, gift, entertainment or other unlawful expense relating to political activity; (ii) made or taken an act in furtherance of an offer, promise or authorization of any direct or indirect unlawful payment or benefit to any foreign or domestic government or regulatory official or employee, including of any government-owned or controlled entity or of a public international organization, or any person acting in an official capacity for or on behalf of any of the foregoing, or any political party or party official or candidate for political office;</w:t>
      </w:r>
    </w:p>
    <w:p>
      <w:pPr>
        <w:spacing w:after="0" w:line="2" w:lineRule="exact"/>
        <w:rPr>
          <w:sz w:val="20"/>
          <w:szCs w:val="20"/>
          <w:color w:val="auto"/>
        </w:rPr>
      </w:pPr>
    </w:p>
    <w:p>
      <w:pPr>
        <w:ind w:left="4" w:right="40" w:hanging="4"/>
        <w:spacing w:after="0" w:line="252" w:lineRule="auto"/>
        <w:tabs>
          <w:tab w:leader="none" w:pos="31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violated or is in violation of any provision of the Foreign Corrupt Practices Act of 1977, as amended,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laws (collectively, the “Anti-Corruption Laws”); or (iv) made, offered, agreed, requested or taken an act in furtherance of any unlawful bribe or other unlawful benefit, including, without limitation, any rebate, payoff, influence payment, kickback or other unlawful or improper payment or benefit. The Company and its subsidiaries have instituted, maintain and enforce, and will continue to maintain and enforce policies and procedures designed to promote and ensure compliance with the Anti-Corruption Laws.</w:t>
      </w:r>
    </w:p>
    <w:p>
      <w:pPr>
        <w:spacing w:after="0" w:line="186" w:lineRule="exact"/>
        <w:rPr>
          <w:sz w:val="20"/>
          <w:szCs w:val="20"/>
          <w:color w:val="auto"/>
        </w:rPr>
      </w:pPr>
    </w:p>
    <w:p>
      <w:pPr>
        <w:ind w:left="4" w:firstLine="440"/>
        <w:spacing w:after="0" w:line="256" w:lineRule="auto"/>
        <w:rPr>
          <w:sz w:val="20"/>
          <w:szCs w:val="20"/>
          <w:color w:val="auto"/>
        </w:rPr>
      </w:pPr>
      <w:r>
        <w:rPr>
          <w:rFonts w:ascii="Times New Roman" w:cs="Times New Roman" w:eastAsia="Times New Roman" w:hAnsi="Times New Roman"/>
          <w:sz w:val="18"/>
          <w:szCs w:val="18"/>
          <w:color w:val="auto"/>
        </w:rPr>
        <w:t xml:space="preserve">(pp)  </w:t>
      </w:r>
      <w:r>
        <w:rPr>
          <w:rFonts w:ascii="Times New Roman" w:cs="Times New Roman" w:eastAsia="Times New Roman" w:hAnsi="Times New Roman"/>
          <w:sz w:val="18"/>
          <w:szCs w:val="18"/>
          <w:i w:val="1"/>
          <w:iCs w:val="1"/>
          <w:color w:val="auto"/>
        </w:rPr>
        <w:t>Compliance with Money Laundering Laws</w:t>
      </w:r>
      <w:r>
        <w:rPr>
          <w:rFonts w:ascii="Times New Roman" w:cs="Times New Roman" w:eastAsia="Times New Roman" w:hAnsi="Times New Roman"/>
          <w:sz w:val="18"/>
          <w:szCs w:val="18"/>
          <w:color w:val="auto"/>
        </w:rPr>
        <w:t>. The operations of the Company and its subsidiaries are and have been conducted at all times in compliance with applicable financial recordkeeping and reporting requirements, including those of the Currency and Foreign Transactions Reporting Act of 1970, as amended, the applicable money laundering statutes, the rules and regulations thereunder and any related or similar rules, regulations or guidelines issued, administered or enforced by any governmental or regulatory agency (collectively, the “Anti-Money Laundering Laws”) of all jurisdictions having jurisdiction over the Company and its subsidiaries, and no action, suit or proceeding by or before any court or governmental or regulatory agency, authority or body or any arbitrator involving the Company or any of its subsidiaries with respect to the Anti-Money Laundering Laws of all jurisdictions having jurisdiction over the Company and its subsidiaries is pending or, to the knowledge of the Company, threatened.</w:t>
      </w:r>
    </w:p>
    <w:p>
      <w:pPr>
        <w:spacing w:after="0" w:line="183"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 xml:space="preserve">(qq)  </w:t>
      </w:r>
      <w:r>
        <w:rPr>
          <w:rFonts w:ascii="Times New Roman" w:cs="Times New Roman" w:eastAsia="Times New Roman" w:hAnsi="Times New Roman"/>
          <w:sz w:val="18"/>
          <w:szCs w:val="18"/>
          <w:i w:val="1"/>
          <w:iCs w:val="1"/>
          <w:color w:val="auto"/>
        </w:rPr>
        <w:t>No Conflicts with Sanctions Laws.</w:t>
      </w:r>
      <w:r>
        <w:rPr>
          <w:rFonts w:ascii="Times New Roman" w:cs="Times New Roman" w:eastAsia="Times New Roman" w:hAnsi="Times New Roman"/>
          <w:sz w:val="18"/>
          <w:szCs w:val="18"/>
          <w:color w:val="auto"/>
        </w:rPr>
        <w:t xml:space="preserve"> Neither the Company nor any of its subsidiaries, directors, officers or employees, nor, to the knowledge of the Company, any agent, affiliate, or other person acting on behalf of the Company or any of its subsidiaries is currently the subject or the target of any sanctions administered or enforced by the U.S. Government (including, without limitation, the Office of Foreign Assets Control of the U.S. Department of the Treasury or the U.S. Department of State and including, without limitation, the designation as a “specially designated national” or “blocked person”), the United Nations Security Council, the European Union, His Majesty’s Treasury, or other relevant sanctions authority (collectively, “Sanctions,” and each such subject or target, a “Sanctioned Person”), nor is the Company or any of its subsidiaries located, organized or resident in a country or territory that is the subject or the target of Sanctions, including, without limitation, Cuba, Iran, North Korea, Syria, and the occupied Donetsk, Luhansk, Crimea, Zaporizhzhia and Kerson regions of Ukraine, that broadly prohibit dealings with that country or territory (each, a “Sanctioned Territory”); and the</w:t>
      </w:r>
    </w:p>
    <w:p>
      <w:pPr>
        <w:sectPr>
          <w:pgSz w:w="11900" w:h="16838" w:orient="portrait"/>
          <w:cols w:equalWidth="0" w:num="1">
            <w:col w:w="11004"/>
          </w:cols>
          <w:pgMar w:left="436" w:top="268" w:right="459" w:bottom="1440" w:gutter="0" w:footer="0" w:header="0"/>
        </w:sectPr>
      </w:pPr>
    </w:p>
    <w:bookmarkStart w:id="17" w:name="page18"/>
    <w:bookmarkEnd w:id="17"/>
    <w:p>
      <w:pPr>
        <w:ind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Company will not directly or indirectly use the proceeds of the offering of the Securities hereunder, or lend, contribute or otherwise make available such proceeds to any subsidiary, joint venture partner or other person or entity to fund or facilitate any activities of or business with any person, or in any country or territory, that, at the time of such funding or facilitation, is a Sanctioned Person or Sanctioned Territory in each case, in any manner that will result in a violation by any person (including any person participating in the transaction, whether as underwriter, advisor, investor or otherwise) of Sanctions. Since the inception of the Company, the Company and its subsidiaries have not knowingly engaged in, and are not now knowingly engaged in, any dealings or transactions with any person that at the time of the dealing or transaction is or was a Sanctioned Person or with any Sanctioned Territory.</w:t>
      </w:r>
    </w:p>
    <w:p>
      <w:pPr>
        <w:spacing w:after="0" w:line="187"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(rr)  </w:t>
      </w:r>
      <w:r>
        <w:rPr>
          <w:rFonts w:ascii="Times New Roman" w:cs="Times New Roman" w:eastAsia="Times New Roman" w:hAnsi="Times New Roman"/>
          <w:sz w:val="18"/>
          <w:szCs w:val="18"/>
          <w:i w:val="1"/>
          <w:iCs w:val="1"/>
          <w:color w:val="auto"/>
        </w:rPr>
        <w:t>No Restrictions on Subsidiaries</w:t>
      </w:r>
      <w:r>
        <w:rPr>
          <w:rFonts w:ascii="Times New Roman" w:cs="Times New Roman" w:eastAsia="Times New Roman" w:hAnsi="Times New Roman"/>
          <w:sz w:val="18"/>
          <w:szCs w:val="18"/>
          <w:color w:val="auto"/>
        </w:rPr>
        <w:t>. No subsidiary of the Company is currently prohibited, directly or indirectly, under any agreement or other instrument to which it is a party or is subject, from paying any dividends to the Company, from making any other distribution on such subsidiary’s capital stock, from repaying to the Company any loans or advances to such subsidiary from the Company or from transferring any of such subsidiary’s properties or assets to the Company or any other subsidiary of the Company, except as disclosed in the Pricing Disclosure Package and the Offering Memorandum.</w:t>
      </w:r>
    </w:p>
    <w:p>
      <w:pPr>
        <w:spacing w:after="0" w:line="183" w:lineRule="exact"/>
        <w:rPr>
          <w:sz w:val="20"/>
          <w:szCs w:val="20"/>
          <w:color w:val="auto"/>
        </w:rPr>
      </w:pPr>
    </w:p>
    <w:p>
      <w:pPr>
        <w:jc w:val="both"/>
        <w:ind w:right="120" w:firstLine="440"/>
        <w:spacing w:after="0" w:line="267" w:lineRule="auto"/>
        <w:rPr>
          <w:sz w:val="20"/>
          <w:szCs w:val="20"/>
          <w:color w:val="auto"/>
        </w:rPr>
      </w:pPr>
      <w:r>
        <w:rPr>
          <w:rFonts w:ascii="Times New Roman" w:cs="Times New Roman" w:eastAsia="Times New Roman" w:hAnsi="Times New Roman"/>
          <w:sz w:val="18"/>
          <w:szCs w:val="18"/>
          <w:color w:val="auto"/>
        </w:rPr>
        <w:t xml:space="preserve">(ss)  </w:t>
      </w:r>
      <w:r>
        <w:rPr>
          <w:rFonts w:ascii="Times New Roman" w:cs="Times New Roman" w:eastAsia="Times New Roman" w:hAnsi="Times New Roman"/>
          <w:sz w:val="18"/>
          <w:szCs w:val="18"/>
          <w:i w:val="1"/>
          <w:iCs w:val="1"/>
          <w:color w:val="auto"/>
        </w:rPr>
        <w:t>No Broker’s Fees.</w:t>
      </w:r>
      <w:r>
        <w:rPr>
          <w:rFonts w:ascii="Times New Roman" w:cs="Times New Roman" w:eastAsia="Times New Roman" w:hAnsi="Times New Roman"/>
          <w:sz w:val="18"/>
          <w:szCs w:val="18"/>
          <w:color w:val="auto"/>
        </w:rPr>
        <w:t xml:space="preserve"> Neither the Company nor any of its subsidiaries is a party to any contract, agreement or understanding with any person (other than this Agreement) that would give rise to a valid claim against the Company or any of its subsidiaries or any Initial Purchaser for a brokerage commission, finder’s fee or like payment in connection with the offering and sale of the Notes.</w:t>
      </w:r>
    </w:p>
    <w:p>
      <w:pPr>
        <w:spacing w:after="0" w:line="173" w:lineRule="exact"/>
        <w:rPr>
          <w:sz w:val="20"/>
          <w:szCs w:val="20"/>
          <w:color w:val="auto"/>
        </w:rPr>
      </w:pPr>
    </w:p>
    <w:p>
      <w:pPr>
        <w:ind w:right="400" w:firstLine="440"/>
        <w:spacing w:after="0" w:line="284" w:lineRule="auto"/>
        <w:rPr>
          <w:sz w:val="20"/>
          <w:szCs w:val="20"/>
          <w:color w:val="auto"/>
        </w:rPr>
      </w:pPr>
      <w:r>
        <w:rPr>
          <w:rFonts w:ascii="Times New Roman" w:cs="Times New Roman" w:eastAsia="Times New Roman" w:hAnsi="Times New Roman"/>
          <w:sz w:val="18"/>
          <w:szCs w:val="18"/>
          <w:color w:val="auto"/>
        </w:rPr>
        <w:t xml:space="preserve">(tt)  </w:t>
      </w:r>
      <w:r>
        <w:rPr>
          <w:rFonts w:ascii="Times New Roman" w:cs="Times New Roman" w:eastAsia="Times New Roman" w:hAnsi="Times New Roman"/>
          <w:sz w:val="18"/>
          <w:szCs w:val="18"/>
          <w:i w:val="1"/>
          <w:iCs w:val="1"/>
          <w:color w:val="auto"/>
        </w:rPr>
        <w:t>No Stabilization.</w:t>
      </w:r>
      <w:r>
        <w:rPr>
          <w:rFonts w:ascii="Times New Roman" w:cs="Times New Roman" w:eastAsia="Times New Roman" w:hAnsi="Times New Roman"/>
          <w:sz w:val="18"/>
          <w:szCs w:val="18"/>
          <w:color w:val="auto"/>
        </w:rPr>
        <w:t xml:space="preserve"> The Company has not taken, directly or indirectly, without giving effect to any activities by the Initial Purchasers, any action designed to or that would reasonably be expected to cause or result in any stabilization or manipulation of the price of the Notes.</w:t>
      </w:r>
    </w:p>
    <w:p>
      <w:pPr>
        <w:spacing w:after="0" w:line="158" w:lineRule="exact"/>
        <w:rPr>
          <w:sz w:val="20"/>
          <w:szCs w:val="20"/>
          <w:color w:val="auto"/>
        </w:rPr>
      </w:pPr>
    </w:p>
    <w:p>
      <w:pPr>
        <w:ind w:firstLine="440"/>
        <w:spacing w:after="0" w:line="267" w:lineRule="auto"/>
        <w:rPr>
          <w:sz w:val="20"/>
          <w:szCs w:val="20"/>
          <w:color w:val="auto"/>
        </w:rPr>
      </w:pPr>
      <w:r>
        <w:rPr>
          <w:rFonts w:ascii="Times New Roman" w:cs="Times New Roman" w:eastAsia="Times New Roman" w:hAnsi="Times New Roman"/>
          <w:sz w:val="18"/>
          <w:szCs w:val="18"/>
          <w:color w:val="auto"/>
        </w:rPr>
        <w:t xml:space="preserve">(uu)  </w:t>
      </w:r>
      <w:r>
        <w:rPr>
          <w:rFonts w:ascii="Times New Roman" w:cs="Times New Roman" w:eastAsia="Times New Roman" w:hAnsi="Times New Roman"/>
          <w:sz w:val="18"/>
          <w:szCs w:val="18"/>
          <w:i w:val="1"/>
          <w:iCs w:val="1"/>
          <w:color w:val="auto"/>
        </w:rPr>
        <w:t>Forward-Looking Statements.</w:t>
      </w:r>
      <w:r>
        <w:rPr>
          <w:rFonts w:ascii="Times New Roman" w:cs="Times New Roman" w:eastAsia="Times New Roman" w:hAnsi="Times New Roman"/>
          <w:sz w:val="18"/>
          <w:szCs w:val="18"/>
          <w:color w:val="auto"/>
        </w:rPr>
        <w:t xml:space="preserve"> No forward-looking statement (within the meaning of Section 27A of the Securities Act and Section 21E of the Exchange Act) contained in the Pricing Disclosure Package or the Offering Memorandum has been made or reaffirmed without a reasonable basis or has been disclosed other than in good faith.</w:t>
      </w:r>
    </w:p>
    <w:p>
      <w:pPr>
        <w:spacing w:after="0" w:line="173" w:lineRule="exact"/>
        <w:rPr>
          <w:sz w:val="20"/>
          <w:szCs w:val="20"/>
          <w:color w:val="auto"/>
        </w:rPr>
      </w:pPr>
    </w:p>
    <w:p>
      <w:pPr>
        <w:ind w:right="140" w:firstLine="440"/>
        <w:spacing w:after="0" w:line="267" w:lineRule="auto"/>
        <w:rPr>
          <w:sz w:val="20"/>
          <w:szCs w:val="20"/>
          <w:color w:val="auto"/>
        </w:rPr>
      </w:pPr>
      <w:r>
        <w:rPr>
          <w:rFonts w:ascii="Times New Roman" w:cs="Times New Roman" w:eastAsia="Times New Roman" w:hAnsi="Times New Roman"/>
          <w:sz w:val="18"/>
          <w:szCs w:val="18"/>
          <w:color w:val="auto"/>
        </w:rPr>
        <w:t xml:space="preserve">(vv)  </w:t>
      </w:r>
      <w:r>
        <w:rPr>
          <w:rFonts w:ascii="Times New Roman" w:cs="Times New Roman" w:eastAsia="Times New Roman" w:hAnsi="Times New Roman"/>
          <w:sz w:val="18"/>
          <w:szCs w:val="18"/>
          <w:i w:val="1"/>
          <w:iCs w:val="1"/>
          <w:color w:val="auto"/>
        </w:rPr>
        <w:t>Statistical and Market Data.</w:t>
      </w:r>
      <w:r>
        <w:rPr>
          <w:rFonts w:ascii="Times New Roman" w:cs="Times New Roman" w:eastAsia="Times New Roman" w:hAnsi="Times New Roman"/>
          <w:sz w:val="18"/>
          <w:szCs w:val="18"/>
          <w:color w:val="auto"/>
        </w:rPr>
        <w:t xml:space="preserve"> Nothing has come to the attention of the Company that has caused the Company to believe that the statistical and market-related data included in the Pricing Disclosure Package and the Offering Memorandum is not based on or derived from sources that are reasonably reliable and accurate in all material respects.</w:t>
      </w:r>
    </w:p>
    <w:p>
      <w:pPr>
        <w:spacing w:after="0" w:line="173"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(ww)  </w:t>
      </w:r>
      <w:r>
        <w:rPr>
          <w:rFonts w:ascii="Times New Roman" w:cs="Times New Roman" w:eastAsia="Times New Roman" w:hAnsi="Times New Roman"/>
          <w:sz w:val="18"/>
          <w:szCs w:val="18"/>
          <w:i w:val="1"/>
          <w:iCs w:val="1"/>
          <w:color w:val="auto"/>
        </w:rPr>
        <w:t>Sarbanes-Oxley Act</w:t>
      </w:r>
      <w:r>
        <w:rPr>
          <w:rFonts w:ascii="Times New Roman" w:cs="Times New Roman" w:eastAsia="Times New Roman" w:hAnsi="Times New Roman"/>
          <w:sz w:val="18"/>
          <w:szCs w:val="18"/>
          <w:color w:val="auto"/>
        </w:rPr>
        <w:t>. There is and has been no failure on the part of the Company or, to the knowledge of the Company, any of the Company’s directors or officers, in their capacities as such, to comply in all material respects with any provision of the Sarbanes-Oxley Act of 2002 and the rules and regulations promulgated in connection therewith (the “Sarbanes-Oxley Act”), including Section 402 related to loans and Sections 302 and 906 related to certifications.</w:t>
      </w:r>
    </w:p>
    <w:p>
      <w:pPr>
        <w:sectPr>
          <w:pgSz w:w="11900" w:h="16838" w:orient="portrait"/>
          <w:cols w:equalWidth="0" w:num="1">
            <w:col w:w="10980"/>
          </w:cols>
          <w:pgMar w:left="440" w:top="270" w:right="479" w:bottom="1440" w:gutter="0" w:footer="0" w:header="0"/>
        </w:sectPr>
      </w:pPr>
    </w:p>
    <w:bookmarkStart w:id="18" w:name="page19"/>
    <w:bookmarkEnd w:id="18"/>
    <w:p>
      <w:pPr>
        <w:ind w:right="140" w:firstLine="440"/>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(xx)  </w:t>
      </w:r>
      <w:r>
        <w:rPr>
          <w:rFonts w:ascii="Times New Roman" w:cs="Times New Roman" w:eastAsia="Times New Roman" w:hAnsi="Times New Roman"/>
          <w:sz w:val="18"/>
          <w:szCs w:val="18"/>
          <w:i w:val="1"/>
          <w:iCs w:val="1"/>
          <w:color w:val="auto"/>
        </w:rPr>
        <w:t>Rule 38a-1 Compliance</w:t>
      </w:r>
      <w:r>
        <w:rPr>
          <w:rFonts w:ascii="Times New Roman" w:cs="Times New Roman" w:eastAsia="Times New Roman" w:hAnsi="Times New Roman"/>
          <w:sz w:val="18"/>
          <w:szCs w:val="18"/>
          <w:color w:val="auto"/>
        </w:rPr>
        <w:t>. The Company has adopted and implemented written policies and procedures reasonably designed to prevent violation of the Federal Securities Laws (as that term is defined in Rule 38a-1 under the Investment Company Act) by the Company, including policies and procedures that provide oversight of compliance by each investment adviser, administrator and transfer agent of the Company.</w:t>
      </w:r>
    </w:p>
    <w:p>
      <w:pPr>
        <w:spacing w:after="0" w:line="173"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(yy)  </w:t>
      </w:r>
      <w:r>
        <w:rPr>
          <w:rFonts w:ascii="Times New Roman" w:cs="Times New Roman" w:eastAsia="Times New Roman" w:hAnsi="Times New Roman"/>
          <w:sz w:val="18"/>
          <w:szCs w:val="18"/>
          <w:i w:val="1"/>
          <w:iCs w:val="1"/>
          <w:color w:val="auto"/>
        </w:rPr>
        <w:t>Regulated Investment Company</w:t>
      </w:r>
      <w:r>
        <w:rPr>
          <w:rFonts w:ascii="Times New Roman" w:cs="Times New Roman" w:eastAsia="Times New Roman" w:hAnsi="Times New Roman"/>
          <w:sz w:val="18"/>
          <w:szCs w:val="18"/>
          <w:color w:val="auto"/>
        </w:rPr>
        <w:t>. The Company has elected to be treated, and has operated, and intends to continue to operate, its business in such a manner so as to enable the Company to continue to qualify as a regulated investment company under Subchapter M of the Code. The Company intends to direct the investment of the proceeds of the offering of the Notes in such a manner as to comply with the requirements of Subchapter M of the Code.</w:t>
      </w:r>
    </w:p>
    <w:p>
      <w:pPr>
        <w:spacing w:after="0" w:line="180"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(zz)  </w:t>
      </w:r>
      <w:r>
        <w:rPr>
          <w:rFonts w:ascii="Times New Roman" w:cs="Times New Roman" w:eastAsia="Times New Roman" w:hAnsi="Times New Roman"/>
          <w:sz w:val="18"/>
          <w:szCs w:val="18"/>
          <w:i w:val="1"/>
          <w:iCs w:val="1"/>
          <w:color w:val="auto"/>
        </w:rPr>
        <w:t>Cybersecurity.</w:t>
      </w:r>
      <w:r>
        <w:rPr>
          <w:rFonts w:ascii="Times New Roman" w:cs="Times New Roman" w:eastAsia="Times New Roman" w:hAnsi="Times New Roman"/>
          <w:sz w:val="18"/>
          <w:szCs w:val="18"/>
          <w:color w:val="auto"/>
        </w:rPr>
        <w:t xml:space="preserve"> (A) To the Company’s knowledge, since the Company’s inception in 2022, there has been no material security breach or other material compromise of or relating to the Company’s or its subsidiaries’ information technology and computer systems, networks, hardware, software, data and databases (including the data and information of their respective customers, employees, suppliers, vendors and any third party data maintained, processed or stored by the Company and its subsidiaries, and any such data processed or stored by third parties on behalf of the Company and its subsidiaries) (collectively, “IT Systems and Data”); (B) in the last three years, neither the Company nor its subsidiaries have been notified of, and have no knowledge of any material event or condition that would reasonably be expected to result in, any such material security breach or other material compromise to their IT Systems and Data and (C) the Company and its subsidiaries have implemented controls, policies, procedures, and technological safeguards reasonably designed to maintain and protect the integrity, continuous operation, redundancy and security of their IT Systems and Data reasonably consistent with industry standards and practices, or as required by applicable regulatory standards. The Company and its subsidiaries are presently in material compliance with all applicable laws or statutes and all applicable judgments, orders, rules and regulations of any court or arbitrator or governmental or regulatory authority and internal policies relating to the privacy and security of IT Systems and Data.</w:t>
      </w:r>
    </w:p>
    <w:p>
      <w:pPr>
        <w:spacing w:after="0" w:line="30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4. </w:t>
      </w:r>
      <w:r>
        <w:rPr>
          <w:rFonts w:ascii="Times New Roman" w:cs="Times New Roman" w:eastAsia="Times New Roman" w:hAnsi="Times New Roman"/>
          <w:sz w:val="18"/>
          <w:szCs w:val="18"/>
          <w:u w:val="single" w:color="auto"/>
          <w:color w:val="auto"/>
        </w:rPr>
        <w:t>Representations and Warranties of the Adviser</w:t>
      </w:r>
      <w:r>
        <w:rPr>
          <w:rFonts w:ascii="Times New Roman" w:cs="Times New Roman" w:eastAsia="Times New Roman" w:hAnsi="Times New Roman"/>
          <w:sz w:val="18"/>
          <w:szCs w:val="18"/>
          <w:color w:val="auto"/>
        </w:rPr>
        <w:t>. The Adviser represents and warrants to, and agrees with, each Initial Purchaser that:</w:t>
      </w:r>
    </w:p>
    <w:p>
      <w:pPr>
        <w:spacing w:after="0" w:line="115"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i w:val="1"/>
          <w:iCs w:val="1"/>
          <w:color w:val="auto"/>
        </w:rPr>
        <w:t>No Material Adverse Change.</w:t>
      </w:r>
      <w:r>
        <w:rPr>
          <w:rFonts w:ascii="Times New Roman" w:cs="Times New Roman" w:eastAsia="Times New Roman" w:hAnsi="Times New Roman"/>
          <w:sz w:val="18"/>
          <w:szCs w:val="18"/>
          <w:color w:val="auto"/>
        </w:rPr>
        <w:t xml:space="preserve"> Except as disclosed in the Pricing Disclosure Package and the Offering Memorandum, since the date of the most recent financial statements of the Company included or incorporated by reference in the Pricing Disclosure Package and the Offering Memorandum, (i) there has not been any material adverse change, or any development that would reasonably be expected to result in a material adverse change, in or affecting the business, properties, management, financial position, stockholders’ equity, results of operations or prospects of the Adviser and its subsidiaries taken as a whole; and (ii) neither the Adviser nor any of its subsidiaries has sustained any loss or interference with its business that is material to the Adviser and its subsidiaries taken as a whole and that is either from fire, explosion, flood or other calamity, whether or not covered by insurance, or from any labor disturbance or dispute or any action, order or decree of any court or arbitrator or governmental or regulatory authority.</w:t>
      </w:r>
    </w:p>
    <w:p>
      <w:pPr>
        <w:sectPr>
          <w:pgSz w:w="11900" w:h="16838" w:orient="portrait"/>
          <w:cols w:equalWidth="0" w:num="1">
            <w:col w:w="11000"/>
          </w:cols>
          <w:pgMar w:left="440" w:top="268" w:right="459" w:bottom="1440" w:gutter="0" w:footer="0" w:header="0"/>
        </w:sectPr>
      </w:pPr>
    </w:p>
    <w:bookmarkStart w:id="19" w:name="page20"/>
    <w:bookmarkEnd w:id="19"/>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  </w:t>
      </w:r>
      <w:r>
        <w:rPr>
          <w:rFonts w:ascii="Times New Roman" w:cs="Times New Roman" w:eastAsia="Times New Roman" w:hAnsi="Times New Roman"/>
          <w:sz w:val="18"/>
          <w:szCs w:val="18"/>
          <w:i w:val="1"/>
          <w:iCs w:val="1"/>
          <w:color w:val="auto"/>
        </w:rPr>
        <w:t>Organization and Good Standing.</w:t>
      </w:r>
      <w:r>
        <w:rPr>
          <w:rFonts w:ascii="Times New Roman" w:cs="Times New Roman" w:eastAsia="Times New Roman" w:hAnsi="Times New Roman"/>
          <w:sz w:val="18"/>
          <w:szCs w:val="18"/>
          <w:color w:val="auto"/>
        </w:rPr>
        <w:t xml:space="preserve"> The Adviser and each of its subsidiaries have been duly organized and are validly existing and in good standing under the laws of their respective jurisdictions of organization, are duly qualified to do business and are in good standing in each jurisdiction in which their respective ownership or lease of property or the conduct of their respective businesses requires such qualification, and have all power and authority necessary to own or hold their respective properties and to conduct the businesses in which they are engaged, except where the failure to be so qualified or in good standing or have such power or authority would not reasonably be expected, individually or in the aggregate, to have a material adverse effect on the business, properties, management, financial position, stockholders’ equity, results of operations or prospects of the Adviser and its subsidiaries taken as a whole or on the performance by the Adviser of its obligations under this Agreement, the Investment Management Agreement and the Administration Agreement (an “Adviser Material Adverse Effect”).</w:t>
      </w:r>
    </w:p>
    <w:p>
      <w:pPr>
        <w:spacing w:after="0" w:line="185"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i w:val="1"/>
          <w:iCs w:val="1"/>
          <w:color w:val="auto"/>
        </w:rPr>
        <w:t>Registration as an Investment Adviser</w:t>
      </w:r>
      <w:r>
        <w:rPr>
          <w:rFonts w:ascii="Times New Roman" w:cs="Times New Roman" w:eastAsia="Times New Roman" w:hAnsi="Times New Roman"/>
          <w:sz w:val="18"/>
          <w:szCs w:val="18"/>
          <w:color w:val="auto"/>
        </w:rPr>
        <w:t>. The Adviser is duly registered with the Commission as an investment adviser under the Advisers Act and the Adviser is not prohibited by the Advisers Act or the Investment Company Act from acting under the Investment Management Agreement as an investment adviser to the Company, as contemplated by the Pricing Disclosure Package and the Offering Memorandum. There does not exist any proceeding or, to the Adviser’s knowledge, any facts or circumstances, the existence of which would lead to any proceeding which would reasonably be expected to adversely affect the registration of the Adviser with the Commission.</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i w:val="1"/>
          <w:iCs w:val="1"/>
          <w:color w:val="auto"/>
        </w:rPr>
        <w:t>Purchase Agreement.</w:t>
      </w:r>
      <w:r>
        <w:rPr>
          <w:rFonts w:ascii="Times New Roman" w:cs="Times New Roman" w:eastAsia="Times New Roman" w:hAnsi="Times New Roman"/>
          <w:sz w:val="18"/>
          <w:szCs w:val="18"/>
          <w:color w:val="auto"/>
        </w:rPr>
        <w:t xml:space="preserve"> This Agreement has been duly authorized, executed and delivered by the Adviser.</w:t>
      </w:r>
    </w:p>
    <w:p>
      <w:pPr>
        <w:spacing w:after="0" w:line="225" w:lineRule="exact"/>
        <w:rPr>
          <w:sz w:val="20"/>
          <w:szCs w:val="20"/>
          <w:color w:val="auto"/>
        </w:rPr>
      </w:pPr>
    </w:p>
    <w:p>
      <w:pPr>
        <w:ind w:right="3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i w:val="1"/>
          <w:iCs w:val="1"/>
          <w:color w:val="auto"/>
        </w:rPr>
        <w:t>Investment Management Agreement and the Administration Agreement.</w:t>
      </w:r>
      <w:r>
        <w:rPr>
          <w:rFonts w:ascii="Times New Roman" w:cs="Times New Roman" w:eastAsia="Times New Roman" w:hAnsi="Times New Roman"/>
          <w:sz w:val="18"/>
          <w:szCs w:val="18"/>
          <w:color w:val="auto"/>
        </w:rPr>
        <w:t xml:space="preserve"> The Investment Management Agreement and the Administration Agreement have each been duly authorized, executed and delivered by the Adviser and are valid and binding obligations of the Adviser, enforceable against the Adviser in accordance with their terms, except as enforceability may be limited by applicable bankruptcy, insolvency or similar laws affecting creditors’ rights generally or by equitable principles relating to enforceability.</w:t>
      </w:r>
    </w:p>
    <w:p>
      <w:pPr>
        <w:spacing w:after="0" w:line="180"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i w:val="1"/>
          <w:iCs w:val="1"/>
          <w:color w:val="auto"/>
        </w:rPr>
        <w:t>No Violation or Default.</w:t>
      </w:r>
      <w:r>
        <w:rPr>
          <w:rFonts w:ascii="Times New Roman" w:cs="Times New Roman" w:eastAsia="Times New Roman" w:hAnsi="Times New Roman"/>
          <w:sz w:val="18"/>
          <w:szCs w:val="18"/>
          <w:color w:val="auto"/>
        </w:rPr>
        <w:t xml:space="preserve"> Neither the Adviser nor any of its subsidiaries is (i) in violation of its charter or by-laws or similar organizational 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Adviser or any of its subsidiaries is a party or by which the Adviser or any of its subsidiaries is bound or to which any of the property or assets of the Adviser or any of its subsidiaries is subject; or (iii) in violation of any law or statute applicable to the Adviser or any of its subsidiaries or any judgment, order, rule or regulation of any court or arbitrator or governmental or regulatory authority having jurisdiction over the Adviser or any of its subsidiaries, except, in the case of clauses (ii) and (iii) above, for any such default or violation that would not reasonably be expected, individually or in the aggregate, to have an Adviser Material Adverse Effect.</w:t>
      </w:r>
    </w:p>
    <w:p>
      <w:pPr>
        <w:sectPr>
          <w:pgSz w:w="11900" w:h="16838" w:orient="portrait"/>
          <w:cols w:equalWidth="0" w:num="1">
            <w:col w:w="11000"/>
          </w:cols>
          <w:pgMar w:left="440" w:top="268" w:right="459" w:bottom="1440" w:gutter="0" w:footer="0" w:header="0"/>
        </w:sectPr>
      </w:pPr>
    </w:p>
    <w:bookmarkStart w:id="20" w:name="page21"/>
    <w:bookmarkEnd w:id="20"/>
    <w:p>
      <w:pPr>
        <w:ind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(g)  </w:t>
      </w:r>
      <w:r>
        <w:rPr>
          <w:rFonts w:ascii="Times New Roman" w:cs="Times New Roman" w:eastAsia="Times New Roman" w:hAnsi="Times New Roman"/>
          <w:sz w:val="18"/>
          <w:szCs w:val="18"/>
          <w:i w:val="1"/>
          <w:iCs w:val="1"/>
          <w:color w:val="auto"/>
        </w:rPr>
        <w:t>No Conflicts.</w:t>
      </w:r>
      <w:r>
        <w:rPr>
          <w:rFonts w:ascii="Times New Roman" w:cs="Times New Roman" w:eastAsia="Times New Roman" w:hAnsi="Times New Roman"/>
          <w:sz w:val="18"/>
          <w:szCs w:val="18"/>
          <w:color w:val="auto"/>
        </w:rPr>
        <w:t xml:space="preserve"> The execution, delivery and performance by the Adviser of this Agreement and the performance by the Adviser of the Investment Management Agreement and the Administration Agreement will not (i) conflict with or result in a breach or violation of any of the terms or provisions of, or constitute a default under, or result in the creation or imposition of any lien, charge or encumbrance upon any property or assets of the Adviser or any of its subsidiaries pursuant to, any indenture, mortgage, deed of trust, loan agreement or other agreement or instrument to which the Adviser or any of its subsidiaries is a party or by which the Company or any of its subsidiaries is bound or to which any of the property or assets of the Adviser or any of its subsidiaries is subject, (ii) result in any violation of the provisions of the charter or by-laws or similar organizational documents of the Adviser or any of its subsidiaries or (iii) result in the violation of any law or statute applicable to the Adviser or any of its subsidiaries or any judgment, order, rule or regulation of any court or arbitrator or governmental or regulatory authority having jurisdiction over the Adviser or any of its subsidiaries, except, in the case of clauses (i) and (iii) above, for any such conflict, breach, violation, default, lien, charge or encumbrance that would not reasonably be expected, individually or in the aggregate, to have an Adviser Material Adverse Effect.</w:t>
      </w:r>
    </w:p>
    <w:p>
      <w:pPr>
        <w:spacing w:after="0" w:line="185"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 xml:space="preserve">(h)  </w:t>
      </w:r>
      <w:r>
        <w:rPr>
          <w:rFonts w:ascii="Times New Roman" w:cs="Times New Roman" w:eastAsia="Times New Roman" w:hAnsi="Times New Roman"/>
          <w:sz w:val="18"/>
          <w:szCs w:val="18"/>
          <w:i w:val="1"/>
          <w:iCs w:val="1"/>
          <w:color w:val="auto"/>
        </w:rPr>
        <w:t>No Consents Required.</w:t>
      </w:r>
      <w:r>
        <w:rPr>
          <w:rFonts w:ascii="Times New Roman" w:cs="Times New Roman" w:eastAsia="Times New Roman" w:hAnsi="Times New Roman"/>
          <w:sz w:val="18"/>
          <w:szCs w:val="18"/>
          <w:color w:val="auto"/>
        </w:rPr>
        <w:t xml:space="preserve"> No consent, approval, authorization, order, license, registration or qualification of or with any court or arbitrator or governmental or regulatory authority is required for the execution, delivery and performance by the Adviser of this Agreement or the performance by the Adviser of the Investment Management Agreement and the Administration Agreement, except for (i) such consents, approvals, authorizations, orders, licenses and registrations or qualifications as have already been obtained or made and (ii) where the failure to obtain any such consent, approval, authorization, order, license, registration or qualification would not reasonably be expected, individually or in the aggregate, to have an Adviser Material Adverse Effect.</w:t>
      </w:r>
    </w:p>
    <w:p>
      <w:pPr>
        <w:spacing w:after="0" w:line="182"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i w:val="1"/>
          <w:iCs w:val="1"/>
          <w:color w:val="auto"/>
        </w:rPr>
        <w:t>Legal Proceedings.</w:t>
      </w:r>
      <w:r>
        <w:rPr>
          <w:rFonts w:ascii="Times New Roman" w:cs="Times New Roman" w:eastAsia="Times New Roman" w:hAnsi="Times New Roman"/>
          <w:sz w:val="18"/>
          <w:szCs w:val="18"/>
          <w:color w:val="auto"/>
        </w:rPr>
        <w:t xml:space="preserve"> Except as described in the Pricing Disclosure Package and the Offering Memorandum, there are no legal, governmental or regulatory investigations, actions, suits or proceedings pending to which the Adviser or any of its subsidiaries is or, to the knowledge of the Adviser, may be reasonably expected to become a party or to which any property of the Adviser or any of its subsidiaries is or, to the knowledge of the Adviser, may be reasonably expected to become the subject that, individually or in the aggregate, if determined adversely to the Adviser or any of its subsidiaries, would reasonably be expected to have an Adviser Material Adverse Effect; no such investigations, actions, suits or proceedings are threatened or, to the knowledge of the Adviser, contemplated by any governmental or regulatory authority or threatened by others, except as would not reasonably be expected, individually or in the aggregate, to have an Adviser Material Adverse Effect; and there are no current or pending legal, governmental or regulatory actions, suits or proceedings that would be required to be described in the Pricing Disclosure Package or the Offering Memorandum if the offering of the Notes was pursuant to a registration under the Securities Act that are not so described in the Pricing Disclosure Package and the Offering Memorandum.</w:t>
      </w:r>
    </w:p>
    <w:p>
      <w:pPr>
        <w:spacing w:after="0" w:line="185" w:lineRule="exact"/>
        <w:rPr>
          <w:sz w:val="20"/>
          <w:szCs w:val="20"/>
          <w:color w:val="auto"/>
        </w:rPr>
      </w:pPr>
    </w:p>
    <w:p>
      <w:pPr>
        <w:jc w:val="both"/>
        <w:ind w:right="120" w:firstLine="440"/>
        <w:spacing w:after="0" w:line="267" w:lineRule="auto"/>
        <w:rPr>
          <w:sz w:val="20"/>
          <w:szCs w:val="20"/>
          <w:color w:val="auto"/>
        </w:rPr>
      </w:pPr>
      <w:r>
        <w:rPr>
          <w:rFonts w:ascii="Times New Roman" w:cs="Times New Roman" w:eastAsia="Times New Roman" w:hAnsi="Times New Roman"/>
          <w:sz w:val="18"/>
          <w:szCs w:val="18"/>
          <w:color w:val="auto"/>
        </w:rPr>
        <w:t xml:space="preserve">(j)  </w:t>
      </w:r>
      <w:r>
        <w:rPr>
          <w:rFonts w:ascii="Times New Roman" w:cs="Times New Roman" w:eastAsia="Times New Roman" w:hAnsi="Times New Roman"/>
          <w:sz w:val="18"/>
          <w:szCs w:val="18"/>
          <w:i w:val="1"/>
          <w:iCs w:val="1"/>
          <w:color w:val="auto"/>
        </w:rPr>
        <w:t>Licenses and Permits.</w:t>
      </w:r>
      <w:r>
        <w:rPr>
          <w:rFonts w:ascii="Times New Roman" w:cs="Times New Roman" w:eastAsia="Times New Roman" w:hAnsi="Times New Roman"/>
          <w:sz w:val="18"/>
          <w:szCs w:val="18"/>
          <w:color w:val="auto"/>
        </w:rPr>
        <w:t xml:space="preserve"> The Adviser and its subsidiaries possess all licenses, certificates, permits and other authorizations issued by, and have made all declarations and filings with, the appropriate federal, state, local or foreign governmental or regulatory authorities having jurisdiction over the Adviser and its subsidiaries that are necessary for the ownership or</w:t>
      </w:r>
    </w:p>
    <w:p>
      <w:pPr>
        <w:sectPr>
          <w:pgSz w:w="11900" w:h="16838" w:orient="portrait"/>
          <w:cols w:equalWidth="0" w:num="1">
            <w:col w:w="11000"/>
          </w:cols>
          <w:pgMar w:left="440" w:top="268" w:right="459" w:bottom="1440" w:gutter="0" w:footer="0" w:header="0"/>
        </w:sectPr>
      </w:pPr>
    </w:p>
    <w:bookmarkStart w:id="21" w:name="page22"/>
    <w:bookmarkEnd w:id="21"/>
    <w:p>
      <w:pPr>
        <w:ind w:left="4"/>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lease of their respective properties or the conduct of their respective businesses as described in the Pricing Disclosure Package and the Offering Memorandum, except where the failure to possess or make the same would not reasonably be expected, individually or in the aggregate, to have an Adviser Material Adverse Effect; and except as described in the Pricing Disclosure Package and the Offering Memorandum, neither the Adviser nor any of its subsidiaries has received written notice of any revocation or modification of any such license, certificate, permit or authorization or has any reason to believe that any such license, certificate, permit or authorization will not be renewed in the ordinary course, except where such revocation, modification or non-renewal would not reasonably be expected, individually or in the aggregate, to have an Adviser Material Adverse Effect.</w:t>
      </w:r>
    </w:p>
    <w:p>
      <w:pPr>
        <w:spacing w:after="0" w:line="185" w:lineRule="exact"/>
        <w:rPr>
          <w:sz w:val="20"/>
          <w:szCs w:val="20"/>
          <w:color w:val="auto"/>
        </w:rPr>
      </w:pPr>
    </w:p>
    <w:p>
      <w:pPr>
        <w:ind w:left="4" w:right="180" w:firstLine="440"/>
        <w:spacing w:after="0" w:line="267" w:lineRule="auto"/>
        <w:rPr>
          <w:sz w:val="20"/>
          <w:szCs w:val="20"/>
          <w:color w:val="auto"/>
        </w:rPr>
      </w:pPr>
      <w:r>
        <w:rPr>
          <w:rFonts w:ascii="Times New Roman" w:cs="Times New Roman" w:eastAsia="Times New Roman" w:hAnsi="Times New Roman"/>
          <w:sz w:val="18"/>
          <w:szCs w:val="18"/>
          <w:color w:val="auto"/>
        </w:rPr>
        <w:t xml:space="preserve">(k)  </w:t>
      </w:r>
      <w:r>
        <w:rPr>
          <w:rFonts w:ascii="Times New Roman" w:cs="Times New Roman" w:eastAsia="Times New Roman" w:hAnsi="Times New Roman"/>
          <w:sz w:val="18"/>
          <w:szCs w:val="18"/>
          <w:i w:val="1"/>
          <w:iCs w:val="1"/>
          <w:color w:val="auto"/>
        </w:rPr>
        <w:t>Description of the Adviser</w:t>
      </w:r>
      <w:r>
        <w:rPr>
          <w:rFonts w:ascii="Times New Roman" w:cs="Times New Roman" w:eastAsia="Times New Roman" w:hAnsi="Times New Roman"/>
          <w:sz w:val="18"/>
          <w:szCs w:val="18"/>
          <w:color w:val="auto"/>
        </w:rPr>
        <w:t>. The description of the Adviser and its respective principals and business in the Pricing Disclosure Package and the Offering Memorandum does not and will not contain an untrue statement of a material fact or omit to state a material fact required to be stated therein or necessary to make the statements therein, in the light of the circumstances under which they were made, not misleading.</w:t>
      </w:r>
    </w:p>
    <w:p>
      <w:pPr>
        <w:spacing w:after="0" w:line="173" w:lineRule="exact"/>
        <w:rPr>
          <w:sz w:val="20"/>
          <w:szCs w:val="20"/>
          <w:color w:val="auto"/>
        </w:rPr>
      </w:pPr>
    </w:p>
    <w:p>
      <w:pPr>
        <w:ind w:left="4" w:firstLine="440"/>
        <w:spacing w:after="0" w:line="267" w:lineRule="auto"/>
        <w:rPr>
          <w:sz w:val="20"/>
          <w:szCs w:val="20"/>
          <w:color w:val="auto"/>
        </w:rPr>
      </w:pPr>
      <w:r>
        <w:rPr>
          <w:rFonts w:ascii="Times New Roman" w:cs="Times New Roman" w:eastAsia="Times New Roman" w:hAnsi="Times New Roman"/>
          <w:sz w:val="18"/>
          <w:szCs w:val="18"/>
          <w:color w:val="auto"/>
        </w:rPr>
        <w:t xml:space="preserve">(l)  </w:t>
      </w:r>
      <w:r>
        <w:rPr>
          <w:rFonts w:ascii="Times New Roman" w:cs="Times New Roman" w:eastAsia="Times New Roman" w:hAnsi="Times New Roman"/>
          <w:sz w:val="18"/>
          <w:szCs w:val="18"/>
          <w:i w:val="1"/>
          <w:iCs w:val="1"/>
          <w:color w:val="auto"/>
        </w:rPr>
        <w:t>Financial Resources</w:t>
      </w:r>
      <w:r>
        <w:rPr>
          <w:rFonts w:ascii="Times New Roman" w:cs="Times New Roman" w:eastAsia="Times New Roman" w:hAnsi="Times New Roman"/>
          <w:sz w:val="18"/>
          <w:szCs w:val="18"/>
          <w:color w:val="auto"/>
        </w:rPr>
        <w:t>. The Adviser has the financial resources available to it necessary for the performance of its services and obligations contemplated in the Pricing Disclosure Package, the Offering Memorandum, and under this Agreement, the Investment Management Agreement and the Administration Agreement.</w:t>
      </w:r>
    </w:p>
    <w:p>
      <w:pPr>
        <w:spacing w:after="0" w:line="17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(m)   </w:t>
      </w:r>
      <w:r>
        <w:rPr>
          <w:rFonts w:ascii="Times New Roman" w:cs="Times New Roman" w:eastAsia="Times New Roman" w:hAnsi="Times New Roman"/>
          <w:sz w:val="18"/>
          <w:szCs w:val="18"/>
          <w:i w:val="1"/>
          <w:iCs w:val="1"/>
          <w:color w:val="auto"/>
        </w:rPr>
        <w:t>Internal Controls</w:t>
      </w:r>
      <w:r>
        <w:rPr>
          <w:rFonts w:ascii="Times New Roman" w:cs="Times New Roman" w:eastAsia="Times New Roman" w:hAnsi="Times New Roman"/>
          <w:sz w:val="18"/>
          <w:szCs w:val="18"/>
          <w:color w:val="auto"/>
        </w:rPr>
        <w:t>. The Adviser maintains a system of internal accounting controls sufficient to provide reasonable assurance that</w:t>
      </w:r>
    </w:p>
    <w:p>
      <w:pPr>
        <w:spacing w:after="0" w:line="29" w:lineRule="exact"/>
        <w:rPr>
          <w:sz w:val="20"/>
          <w:szCs w:val="20"/>
          <w:color w:val="auto"/>
        </w:rPr>
      </w:pPr>
    </w:p>
    <w:p>
      <w:pPr>
        <w:ind w:left="4" w:right="20" w:hanging="4"/>
        <w:spacing w:after="0" w:line="250" w:lineRule="auto"/>
        <w:tabs>
          <w:tab w:leader="none" w:pos="21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are executed in accordance with its management’s general or specific authorization and with the investment objectives, policies and restrictions of the Company and the applicable requirements of the Investment Company Act and the Code; (ii) transactions are recorded as necessary to permit preparation of the Company’s financial statements in conformity with generally accepted accounting principles, to calculate net asset value, and to maintain asset accountability, and to maintain material compliance with the books and records requirements under the Investment Company Act;</w:t>
      </w:r>
    </w:p>
    <w:p>
      <w:pPr>
        <w:spacing w:after="0" w:line="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assets of the Company and its subsidiaries is permitted only in accordance with its management’s general or specific authorization; and</w:t>
      </w:r>
    </w:p>
    <w:p>
      <w:pPr>
        <w:spacing w:after="0" w:line="9" w:lineRule="exact"/>
        <w:rPr>
          <w:rFonts w:ascii="Times New Roman" w:cs="Times New Roman" w:eastAsia="Times New Roman" w:hAnsi="Times New Roman"/>
          <w:sz w:val="18"/>
          <w:szCs w:val="18"/>
          <w:color w:val="auto"/>
        </w:rPr>
      </w:pPr>
    </w:p>
    <w:p>
      <w:pPr>
        <w:ind w:left="4" w:right="320" w:hanging="4"/>
        <w:spacing w:after="0" w:line="260" w:lineRule="auto"/>
        <w:tabs>
          <w:tab w:leader="none" w:pos="30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recorded accountability for assets is compared with existing assets at reasonable intervals and appropriate action is taken with respect to any differences.</w:t>
      </w:r>
    </w:p>
    <w:p>
      <w:pPr>
        <w:spacing w:after="0" w:line="179" w:lineRule="exact"/>
        <w:rPr>
          <w:sz w:val="20"/>
          <w:szCs w:val="20"/>
          <w:color w:val="auto"/>
        </w:rPr>
      </w:pPr>
    </w:p>
    <w:p>
      <w:pPr>
        <w:ind w:left="4" w:right="60" w:firstLine="440"/>
        <w:spacing w:after="0" w:line="254" w:lineRule="auto"/>
        <w:rPr>
          <w:sz w:val="20"/>
          <w:szCs w:val="20"/>
          <w:color w:val="auto"/>
        </w:rPr>
      </w:pPr>
      <w:r>
        <w:rPr>
          <w:rFonts w:ascii="Times New Roman" w:cs="Times New Roman" w:eastAsia="Times New Roman" w:hAnsi="Times New Roman"/>
          <w:sz w:val="18"/>
          <w:szCs w:val="18"/>
          <w:color w:val="auto"/>
        </w:rPr>
        <w:t xml:space="preserve">(n)  </w:t>
      </w:r>
      <w:r>
        <w:rPr>
          <w:rFonts w:ascii="Times New Roman" w:cs="Times New Roman" w:eastAsia="Times New Roman" w:hAnsi="Times New Roman"/>
          <w:sz w:val="18"/>
          <w:szCs w:val="18"/>
          <w:i w:val="1"/>
          <w:iCs w:val="1"/>
          <w:color w:val="auto"/>
        </w:rPr>
        <w:t>No Unlawful Payments.</w:t>
      </w:r>
      <w:r>
        <w:rPr>
          <w:rFonts w:ascii="Times New Roman" w:cs="Times New Roman" w:eastAsia="Times New Roman" w:hAnsi="Times New Roman"/>
          <w:sz w:val="18"/>
          <w:szCs w:val="18"/>
          <w:color w:val="auto"/>
        </w:rPr>
        <w:t xml:space="preserve"> Neither the Adviser nor any of its subsidiaries nor any director, officer, or employee of the Adviser or any of its subsidiaries nor, to the knowledge of the Adviser, any agent, affiliate or other person associated with or acting on behalf of the Adviser or any of its subsidiaries has (i) used any funds for any unlawful contribution, gift, entertainment or other unlawful expense relating to political activity; (ii) made or taken an act in furtherance of an offer, promise or authorization of any direct or indirect unlawful payment or benefit to any foreign or domestic government or regulatory official or employee, including of any government-owned or controlled entity or of a public international organization, or any person acting in an official capacity for or on behalf of any of the foregoing, or any political party or party official or candidate for political office;</w:t>
      </w:r>
    </w:p>
    <w:p>
      <w:pPr>
        <w:spacing w:after="0" w:line="2" w:lineRule="exact"/>
        <w:rPr>
          <w:sz w:val="20"/>
          <w:szCs w:val="20"/>
          <w:color w:val="auto"/>
        </w:rPr>
      </w:pPr>
    </w:p>
    <w:p>
      <w:pPr>
        <w:ind w:left="4" w:right="240" w:hanging="4"/>
        <w:spacing w:after="0" w:line="255" w:lineRule="auto"/>
        <w:tabs>
          <w:tab w:leader="none" w:pos="31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violated or is in violation of any provision of the Anti-Corruption Laws; or (iv) made, offered, agreed, requested or taken an act in furtherance of any unlawful bribe or other unlawful benefit, including, without limitation, any rebate, payoff, influence payment, kickback or other unlawful or improper payment or benefit.</w:t>
      </w:r>
    </w:p>
    <w:p>
      <w:pPr>
        <w:sectPr>
          <w:pgSz w:w="11900" w:h="16838" w:orient="portrait"/>
          <w:cols w:equalWidth="0" w:num="1">
            <w:col w:w="10984"/>
          </w:cols>
          <w:pgMar w:left="436" w:top="270" w:right="479" w:bottom="1440" w:gutter="0" w:footer="0" w:header="0"/>
        </w:sectPr>
      </w:pPr>
    </w:p>
    <w:bookmarkStart w:id="22" w:name="page23"/>
    <w:bookmarkEnd w:id="22"/>
    <w:p>
      <w:pPr>
        <w:ind w:right="2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Adviser and its subsidiaries have instituted, maintain and enforce, and will continue to maintain and enforce, policies and procedures designed to promote and ensure compliance with all Anti-Corruption Laws.</w:t>
      </w:r>
    </w:p>
    <w:p>
      <w:pPr>
        <w:spacing w:after="0" w:line="160"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8"/>
          <w:szCs w:val="18"/>
          <w:i w:val="1"/>
          <w:iCs w:val="1"/>
          <w:color w:val="auto"/>
        </w:rPr>
        <w:t>Compliance with Money Laundering Laws</w:t>
      </w:r>
      <w:r>
        <w:rPr>
          <w:rFonts w:ascii="Times New Roman" w:cs="Times New Roman" w:eastAsia="Times New Roman" w:hAnsi="Times New Roman"/>
          <w:sz w:val="18"/>
          <w:szCs w:val="18"/>
          <w:color w:val="auto"/>
        </w:rPr>
        <w:t>. The operations of the Adviser and its subsidiaries are and have been conducted at all times in compliance with applicable financial recordkeeping and reporting requirements, including those of the Anti-Money Laundering Laws of all jurisdictions having jurisdiction over the Adviser and its subsidiaries, and no action, suit or proceeding by or before any court or governmental or regulatory agency, authority or body or any arbitrator involving the Adviser or any of its subsidiaries with respect to the Anti-Money Laundering Laws of all jurisdictions having jurisdiction over the Adviser and its subsidiaries is pending or, to the knowledge of the Adviser, threatened.</w:t>
      </w:r>
    </w:p>
    <w:p>
      <w:pPr>
        <w:spacing w:after="0" w:line="183" w:lineRule="exact"/>
        <w:rPr>
          <w:sz w:val="20"/>
          <w:szCs w:val="20"/>
          <w:color w:val="auto"/>
        </w:rPr>
      </w:pPr>
    </w:p>
    <w:p>
      <w:pPr>
        <w:jc w:val="both"/>
        <w:ind w:right="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(p)  </w:t>
      </w:r>
      <w:r>
        <w:rPr>
          <w:rFonts w:ascii="Times New Roman" w:cs="Times New Roman" w:eastAsia="Times New Roman" w:hAnsi="Times New Roman"/>
          <w:sz w:val="18"/>
          <w:szCs w:val="18"/>
          <w:i w:val="1"/>
          <w:iCs w:val="1"/>
          <w:color w:val="auto"/>
        </w:rPr>
        <w:t>No Conflicts with Sanctions Laws.</w:t>
      </w:r>
      <w:r>
        <w:rPr>
          <w:rFonts w:ascii="Times New Roman" w:cs="Times New Roman" w:eastAsia="Times New Roman" w:hAnsi="Times New Roman"/>
          <w:sz w:val="18"/>
          <w:szCs w:val="18"/>
          <w:color w:val="auto"/>
        </w:rPr>
        <w:t xml:space="preserve"> Neither the Adviser nor any of its subsidiaries, directors, officers or employees, nor, to the knowledge of the Adviser, any agent, or affiliate or other person associated with or acting on behalf of the Adviser or any of its subsidiaries is currently the subject or the target of any Sanctions, nor is the Adviser, any of its subsidiaries located, organized or resident in a Sanctioned Territory. Since the inception of the Adviser, the Adviser and its subsidiaries have not knowingly engaged in, and are not now knowingly engaged in, any dealings or transactions with any person that at the time of the dealing or transaction is or was a Sanctioned Person or with any Sanctioned Territory.</w:t>
      </w:r>
    </w:p>
    <w:p>
      <w:pPr>
        <w:spacing w:after="0" w:line="183" w:lineRule="exact"/>
        <w:rPr>
          <w:sz w:val="20"/>
          <w:szCs w:val="20"/>
          <w:color w:val="auto"/>
        </w:rPr>
      </w:pPr>
    </w:p>
    <w:p>
      <w:pPr>
        <w:ind w:right="40" w:firstLine="440"/>
        <w:spacing w:after="0" w:line="284" w:lineRule="auto"/>
        <w:rPr>
          <w:sz w:val="20"/>
          <w:szCs w:val="20"/>
          <w:color w:val="auto"/>
        </w:rPr>
      </w:pPr>
      <w:r>
        <w:rPr>
          <w:rFonts w:ascii="Times New Roman" w:cs="Times New Roman" w:eastAsia="Times New Roman" w:hAnsi="Times New Roman"/>
          <w:sz w:val="18"/>
          <w:szCs w:val="18"/>
          <w:color w:val="auto"/>
        </w:rPr>
        <w:t xml:space="preserve">(q)  </w:t>
      </w:r>
      <w:r>
        <w:rPr>
          <w:rFonts w:ascii="Times New Roman" w:cs="Times New Roman" w:eastAsia="Times New Roman" w:hAnsi="Times New Roman"/>
          <w:sz w:val="18"/>
          <w:szCs w:val="18"/>
          <w:i w:val="1"/>
          <w:iCs w:val="1"/>
          <w:color w:val="auto"/>
        </w:rPr>
        <w:t>No Stabilization.</w:t>
      </w:r>
      <w:r>
        <w:rPr>
          <w:rFonts w:ascii="Times New Roman" w:cs="Times New Roman" w:eastAsia="Times New Roman" w:hAnsi="Times New Roman"/>
          <w:sz w:val="18"/>
          <w:szCs w:val="18"/>
          <w:color w:val="auto"/>
        </w:rPr>
        <w:t xml:space="preserve"> The Adviser has not taken, directly or indirectly, without giving effect to any activities by the Initial Purchasers, any action designed to or that would reasonably be expected to cause or result in any stabilization or manipulation of the price of the Notes.</w:t>
      </w:r>
    </w:p>
    <w:p>
      <w:pPr>
        <w:spacing w:after="0" w:line="158" w:lineRule="exact"/>
        <w:rPr>
          <w:sz w:val="20"/>
          <w:szCs w:val="20"/>
          <w:color w:val="auto"/>
        </w:rPr>
      </w:pPr>
    </w:p>
    <w:p>
      <w:pPr>
        <w:ind w:right="220" w:firstLine="440"/>
        <w:spacing w:after="0" w:line="267" w:lineRule="auto"/>
        <w:rPr>
          <w:sz w:val="20"/>
          <w:szCs w:val="20"/>
          <w:color w:val="auto"/>
        </w:rPr>
      </w:pPr>
      <w:r>
        <w:rPr>
          <w:rFonts w:ascii="Times New Roman" w:cs="Times New Roman" w:eastAsia="Times New Roman" w:hAnsi="Times New Roman"/>
          <w:sz w:val="18"/>
          <w:szCs w:val="18"/>
          <w:color w:val="auto"/>
        </w:rPr>
        <w:t xml:space="preserve">(r)  </w:t>
      </w:r>
      <w:r>
        <w:rPr>
          <w:rFonts w:ascii="Times New Roman" w:cs="Times New Roman" w:eastAsia="Times New Roman" w:hAnsi="Times New Roman"/>
          <w:sz w:val="18"/>
          <w:szCs w:val="18"/>
          <w:i w:val="1"/>
          <w:iCs w:val="1"/>
          <w:color w:val="auto"/>
        </w:rPr>
        <w:t>No Integration</w:t>
      </w:r>
      <w:r>
        <w:rPr>
          <w:rFonts w:ascii="Times New Roman" w:cs="Times New Roman" w:eastAsia="Times New Roman" w:hAnsi="Times New Roman"/>
          <w:sz w:val="18"/>
          <w:szCs w:val="18"/>
          <w:color w:val="auto"/>
        </w:rPr>
        <w:t>. Neither the Adviser nor any of its affiliates (as defined in Rule 501(b) of Regulation D) has, directly or through any agent, sold, offered for sale, solicited offers to buy or otherwise negotiated in respect of, any security (as defined in the Securities Act), that is or will be integrated with the sale of the Notes in a manner that would require registration of the Notes under the Securities Act.</w:t>
      </w:r>
    </w:p>
    <w:p>
      <w:pPr>
        <w:spacing w:after="0" w:line="173" w:lineRule="exact"/>
        <w:rPr>
          <w:sz w:val="20"/>
          <w:szCs w:val="20"/>
          <w:color w:val="auto"/>
        </w:rPr>
      </w:pPr>
    </w:p>
    <w:p>
      <w:pPr>
        <w:ind w:right="60" w:firstLine="440"/>
        <w:spacing w:after="0" w:line="273" w:lineRule="auto"/>
        <w:rPr>
          <w:sz w:val="20"/>
          <w:szCs w:val="20"/>
          <w:color w:val="auto"/>
        </w:rPr>
      </w:pPr>
      <w:r>
        <w:rPr>
          <w:rFonts w:ascii="Times New Roman" w:cs="Times New Roman" w:eastAsia="Times New Roman" w:hAnsi="Times New Roman"/>
          <w:sz w:val="17"/>
          <w:szCs w:val="17"/>
          <w:color w:val="auto"/>
        </w:rPr>
        <w:t xml:space="preserve">(s)  </w:t>
      </w:r>
      <w:r>
        <w:rPr>
          <w:rFonts w:ascii="Times New Roman" w:cs="Times New Roman" w:eastAsia="Times New Roman" w:hAnsi="Times New Roman"/>
          <w:sz w:val="17"/>
          <w:szCs w:val="17"/>
          <w:i w:val="1"/>
          <w:iCs w:val="1"/>
          <w:color w:val="auto"/>
        </w:rPr>
        <w:t>No General Solicitation</w:t>
      </w:r>
      <w:r>
        <w:rPr>
          <w:rFonts w:ascii="Times New Roman" w:cs="Times New Roman" w:eastAsia="Times New Roman" w:hAnsi="Times New Roman"/>
          <w:sz w:val="17"/>
          <w:szCs w:val="17"/>
          <w:color w:val="auto"/>
        </w:rPr>
        <w:t>. Neither the Adviser nor any of its affiliates or any other person acting on their behalf (other than the Initial Purchasers, as to which no representation is made) has solicited offers for, or offered or sold, the Notes by means of any form of general solicitation or general advertising within the meaning of Rule 502(c) of Regulation D or in any manner involving a public offering within the meaning of Section 4(a)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of the Securities Act.</w:t>
      </w:r>
    </w:p>
    <w:p>
      <w:pPr>
        <w:spacing w:after="0" w:line="205"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(t)  </w:t>
      </w:r>
      <w:r>
        <w:rPr>
          <w:rFonts w:ascii="Times New Roman" w:cs="Times New Roman" w:eastAsia="Times New Roman" w:hAnsi="Times New Roman"/>
          <w:sz w:val="18"/>
          <w:szCs w:val="18"/>
          <w:i w:val="1"/>
          <w:iCs w:val="1"/>
          <w:color w:val="auto"/>
        </w:rPr>
        <w:t>Key Employees.</w:t>
      </w:r>
      <w:r>
        <w:rPr>
          <w:rFonts w:ascii="Times New Roman" w:cs="Times New Roman" w:eastAsia="Times New Roman" w:hAnsi="Times New Roman"/>
          <w:sz w:val="18"/>
          <w:szCs w:val="18"/>
          <w:color w:val="auto"/>
        </w:rPr>
        <w:t xml:space="preserve"> The Adviser is not aware that (i) any of its executives, key employees or significant group of employees plans to terminate employment with the Adviser or (ii) any such executive or key employee is subject to any noncompete, nondisclosure, confidentiality, employment, consulting or similar agreement that would be violated by either the Adviser’s present or proposed business activities, except, in each case, as would not reasonably be expected, individually or in the aggregate, to have an Adviser Material Adverse Effect.</w:t>
      </w:r>
    </w:p>
    <w:p>
      <w:pPr>
        <w:sectPr>
          <w:pgSz w:w="11900" w:h="16838" w:orient="portrait"/>
          <w:cols w:equalWidth="0" w:num="1">
            <w:col w:w="10960"/>
          </w:cols>
          <w:pgMar w:left="440" w:top="270" w:right="499" w:bottom="1440" w:gutter="0" w:footer="0" w:header="0"/>
        </w:sectPr>
      </w:pPr>
    </w:p>
    <w:bookmarkStart w:id="23" w:name="page24"/>
    <w:bookmarkEnd w:id="23"/>
    <w:p>
      <w:pPr>
        <w:ind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(u)  </w:t>
      </w:r>
      <w:r>
        <w:rPr>
          <w:rFonts w:ascii="Times New Roman" w:cs="Times New Roman" w:eastAsia="Times New Roman" w:hAnsi="Times New Roman"/>
          <w:sz w:val="18"/>
          <w:szCs w:val="18"/>
          <w:i w:val="1"/>
          <w:iCs w:val="1"/>
          <w:color w:val="auto"/>
        </w:rPr>
        <w:t>No Labor Disputes.</w:t>
      </w:r>
      <w:r>
        <w:rPr>
          <w:rFonts w:ascii="Times New Roman" w:cs="Times New Roman" w:eastAsia="Times New Roman" w:hAnsi="Times New Roman"/>
          <w:sz w:val="18"/>
          <w:szCs w:val="18"/>
          <w:color w:val="auto"/>
        </w:rPr>
        <w:t xml:space="preserve"> No labor disturbance by or dispute with employees of the Adviser or any of its subsidiaries exists or, to the knowledge of the Adviser, is contemplated or threatened, and the Adviser is not aware of any existing or imminent labor disturbance by, or dispute with, the employees or any of its or its subsidiaries’ principal suppliers, contractors or customers, except in each case as would not reasonably be expected to have an Adviser Material Adverse Effect.</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5.   </w:t>
      </w:r>
      <w:r>
        <w:rPr>
          <w:rFonts w:ascii="Times New Roman" w:cs="Times New Roman" w:eastAsia="Times New Roman" w:hAnsi="Times New Roman"/>
          <w:sz w:val="18"/>
          <w:szCs w:val="18"/>
          <w:u w:val="single" w:color="auto"/>
          <w:color w:val="auto"/>
        </w:rPr>
        <w:t>Further Agreements of the Company</w:t>
      </w:r>
      <w:r>
        <w:rPr>
          <w:rFonts w:ascii="Times New Roman" w:cs="Times New Roman" w:eastAsia="Times New Roman" w:hAnsi="Times New Roman"/>
          <w:sz w:val="18"/>
          <w:szCs w:val="18"/>
          <w:color w:val="auto"/>
        </w:rPr>
        <w:t>. The Company covenants and agrees with each Initial Purchaser that:</w:t>
      </w:r>
    </w:p>
    <w:p>
      <w:pPr>
        <w:spacing w:after="0" w:line="223" w:lineRule="exact"/>
        <w:rPr>
          <w:sz w:val="20"/>
          <w:szCs w:val="20"/>
          <w:color w:val="auto"/>
        </w:rPr>
      </w:pPr>
    </w:p>
    <w:p>
      <w:pPr>
        <w:jc w:val="both"/>
        <w:ind w:right="480" w:firstLine="440"/>
        <w:spacing w:after="0" w:line="267"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i w:val="1"/>
          <w:iCs w:val="1"/>
          <w:color w:val="auto"/>
        </w:rPr>
        <w:t>Delivery of Copies.</w:t>
      </w:r>
      <w:r>
        <w:rPr>
          <w:rFonts w:ascii="Times New Roman" w:cs="Times New Roman" w:eastAsia="Times New Roman" w:hAnsi="Times New Roman"/>
          <w:sz w:val="18"/>
          <w:szCs w:val="18"/>
          <w:color w:val="auto"/>
        </w:rPr>
        <w:t xml:space="preserve"> The Company has delivered to each Initial Purchaser, without charge, as many copies of the Preliminary Offering Memorandum as such Initial Purchaser reasonably requested. The Company will furnish to each Initial Purchaser, without charge, such number of copies of the Offering Memorandum (as amended or supplemented) as such Initial Purchaser may reasonably request.</w:t>
      </w:r>
    </w:p>
    <w:p>
      <w:pPr>
        <w:spacing w:after="0" w:line="173"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i w:val="1"/>
          <w:iCs w:val="1"/>
          <w:color w:val="auto"/>
        </w:rPr>
        <w:t>Amendments or Supplements.</w:t>
      </w:r>
      <w:r>
        <w:rPr>
          <w:rFonts w:ascii="Times New Roman" w:cs="Times New Roman" w:eastAsia="Times New Roman" w:hAnsi="Times New Roman"/>
          <w:sz w:val="18"/>
          <w:szCs w:val="18"/>
          <w:color w:val="auto"/>
        </w:rPr>
        <w:t xml:space="preserve"> Before using, authorizing, approving, referring to or distributing any amendment or supplement to the Pricing Disclosure Package or the Offering Memorandum, the Company will furnish to the Representative and counsel for the Initial Purchasers a copy of the proposed amendment or supplement for review and will not use, authorize, approve, refer to or distribute any such proposed amendment or supplement to which the Representative reasonably objects in a timely manner.</w:t>
      </w:r>
    </w:p>
    <w:p>
      <w:pPr>
        <w:spacing w:after="0" w:line="180" w:lineRule="exact"/>
        <w:rPr>
          <w:sz w:val="20"/>
          <w:szCs w:val="20"/>
          <w:color w:val="auto"/>
        </w:rPr>
      </w:pPr>
    </w:p>
    <w:p>
      <w:pPr>
        <w:ind w:right="40" w:firstLine="440"/>
        <w:spacing w:after="0" w:line="267"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i w:val="1"/>
          <w:iCs w:val="1"/>
          <w:color w:val="auto"/>
        </w:rPr>
        <w:t>Marketing Materials</w:t>
      </w:r>
      <w:r>
        <w:rPr>
          <w:rFonts w:ascii="Times New Roman" w:cs="Times New Roman" w:eastAsia="Times New Roman" w:hAnsi="Times New Roman"/>
          <w:sz w:val="18"/>
          <w:szCs w:val="18"/>
          <w:color w:val="auto"/>
        </w:rPr>
        <w:t>. Before using, authorizing, approving, referring to or distributing any Marketing Materials, the Company will furnish to the Representative and counsel for the Initial Purchasers a copy of such materials for review and will not use, authorize, approve, refer to or distribute any such materials to which the Representative reasonably object in a timely manner.</w:t>
      </w:r>
    </w:p>
    <w:p>
      <w:pPr>
        <w:spacing w:after="0" w:line="173" w:lineRule="exact"/>
        <w:rPr>
          <w:sz w:val="20"/>
          <w:szCs w:val="20"/>
          <w:color w:val="auto"/>
        </w:rPr>
      </w:pPr>
    </w:p>
    <w:p>
      <w:pPr>
        <w:ind w:right="100" w:firstLine="440"/>
        <w:spacing w:after="0" w:line="253"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i w:val="1"/>
          <w:iCs w:val="1"/>
          <w:color w:val="auto"/>
        </w:rPr>
        <w:t>Notice to the Representative.</w:t>
      </w:r>
      <w:r>
        <w:rPr>
          <w:rFonts w:ascii="Times New Roman" w:cs="Times New Roman" w:eastAsia="Times New Roman" w:hAnsi="Times New Roman"/>
          <w:sz w:val="18"/>
          <w:szCs w:val="18"/>
          <w:color w:val="auto"/>
        </w:rPr>
        <w:t xml:space="preserve"> The Company will advise the Representative promptly, and confirm such advice in writing, (i) of the issuance by any governmental or regulatory authority of any order preventing or suspending the use of the Pricing Disclosure Package, any Marketing Materials or the Offering Memorandum or the initiation or threatening of any proceeding for that purpose; (ii) of the occurrence of any event or development at any time prior to the completion of the offering of the Notes, as a result of which the Pricing Disclosure Package, any Marketing Materials or the Offering Memorandum, as then amended or supplemented, would include any untrue statement of a material fact or omit to state a material fact necessary in order to make the statements therein, in the light of the circumstances existing when the Pricing Disclosure Package, such Marketing Materials or the Offering Memorandum is delivered to a purchaser, not misleading; (iii) of the receipt of any oral or written comments from the Commission, whether or not related to the offering of the Notes; and (iv) of the receipt by the Company of any notice with respect to any suspension of the qualification of the Notes for offer and sale in any jurisdiction or the initiation or threatening of any proceeding for such purpose; and the Company will use commercially reasonable efforts to prevent the issuance of any such order preventing or suspending the use of any of the Pricing Disclosure Package, any Marketing Materials or the Offering Memorandum or suspending any such qualification of the Notes and, if any such order is issued, will use commercially reasonable efforts to obtain as soon as possible the withdrawal thereof.</w:t>
      </w:r>
    </w:p>
    <w:p>
      <w:pPr>
        <w:sectPr>
          <w:pgSz w:w="11900" w:h="16838" w:orient="portrait"/>
          <w:cols w:equalWidth="0" w:num="1">
            <w:col w:w="11000"/>
          </w:cols>
          <w:pgMar w:left="440" w:top="268" w:right="459" w:bottom="1440" w:gutter="0" w:footer="0" w:header="0"/>
        </w:sectPr>
      </w:pPr>
    </w:p>
    <w:bookmarkStart w:id="24" w:name="page25"/>
    <w:bookmarkEnd w:id="24"/>
    <w:p>
      <w:pPr>
        <w:ind w:firstLine="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  </w:t>
      </w:r>
      <w:r>
        <w:rPr>
          <w:rFonts w:ascii="Times New Roman" w:cs="Times New Roman" w:eastAsia="Times New Roman" w:hAnsi="Times New Roman"/>
          <w:sz w:val="18"/>
          <w:szCs w:val="18"/>
          <w:i w:val="1"/>
          <w:iCs w:val="1"/>
          <w:color w:val="auto"/>
        </w:rPr>
        <w:t>Ongoing Compliance.</w:t>
      </w:r>
      <w:r>
        <w:rPr>
          <w:rFonts w:ascii="Times New Roman" w:cs="Times New Roman" w:eastAsia="Times New Roman" w:hAnsi="Times New Roman"/>
          <w:sz w:val="18"/>
          <w:szCs w:val="18"/>
          <w:color w:val="auto"/>
        </w:rPr>
        <w:t xml:space="preserve"> (1) If at any time prior to the completion of the offering of the Notes (i) any event or development shall occur or condition shall exist as a result of which the Offering Memorandum as then amended or supplemented would include any untrue statement of a material fact or omit to state any material fact necessary in order to make the statements therein, in the light of the circumstances existing when the Offering Memorandum is delivered to a purchaser, not misleading or (ii) it is necessary to amend or supplement the Offering Memorandum to comply with law, the Company will immediately notify the Initial Purchasers thereof and forthwith prepare and, subject to paragraph (b) above, furnish to the Initial Purchasers and to such dealers as the Representative may designate such amendments or supplements to the Offering Memorandum as may be necessary so that the statements in the Offering Memorandum as so amended or supplemented will not, in the light of the circumstances existing when the Offering Memorandum is delivered to a purchaser, be misleading or so that the Offering Memorandum will comply with law and (2) if at any time prior to the Closing Date (i) any event or development shall occur or condition shall exist as a result of which the Pricing Disclosure Package as then amended or supplemented would include any untrue statement of a material fact or omit to state any material fact necessary in order to make the statements therein, in the light of the circumstances existing when the Pricing Disclosure Package is delivered to a purchaser, not misleading or (ii) it is necessary to amend or supplement the Pricing Disclosure Package to comply with law, the Company will immediately notify the Initial Purchasers thereof and forthwith prepare and, subject to paragraph (b) above, furnish to the Initial Purchasers and to such dealers as the Representative may designate such amendments or supplements to the Pricing Disclosure Package as may be necessary so that the statements in the Pricing Disclosure Package as so amended or supplemented will not, in the light of the circumstances existing when the Pricing Disclosure Package is delivered to a purchaser, be misleading or so that the Pricing Disclosure Package will comply with law.</w:t>
      </w:r>
    </w:p>
    <w:p>
      <w:pPr>
        <w:spacing w:after="0" w:line="19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i w:val="1"/>
          <w:iCs w:val="1"/>
          <w:color w:val="auto"/>
        </w:rPr>
        <w:t>Supplying Information</w:t>
      </w:r>
      <w:r>
        <w:rPr>
          <w:rFonts w:ascii="Times New Roman" w:cs="Times New Roman" w:eastAsia="Times New Roman" w:hAnsi="Times New Roman"/>
          <w:sz w:val="18"/>
          <w:szCs w:val="18"/>
          <w:color w:val="auto"/>
        </w:rPr>
        <w:t>. While the Notes remain outstanding and are “restricted securities” within the meaning of Rule 144(a)(3) under the Securities Act, the Company will, during any period in which the Company is not subject to and in compliance with Section 13 or 15(d) of the Exchange Act, furnish to holders of the Notes, prospective purchasers of the Securities designated by such holders and securities analysts, in each case upon request, the information required to be delivered pursuant to Rule 144A(d)(4) under the Securities Act.</w:t>
      </w:r>
    </w:p>
    <w:p>
      <w:pPr>
        <w:spacing w:after="0" w:line="180" w:lineRule="exact"/>
        <w:rPr>
          <w:sz w:val="20"/>
          <w:szCs w:val="20"/>
          <w:color w:val="auto"/>
        </w:rPr>
      </w:pPr>
    </w:p>
    <w:p>
      <w:pPr>
        <w:ind w:right="60" w:firstLine="440"/>
        <w:spacing w:after="0" w:line="267" w:lineRule="auto"/>
        <w:rPr>
          <w:sz w:val="20"/>
          <w:szCs w:val="20"/>
          <w:color w:val="auto"/>
        </w:rPr>
      </w:pP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i w:val="1"/>
          <w:iCs w:val="1"/>
          <w:color w:val="auto"/>
        </w:rPr>
        <w:t>No Integration</w:t>
      </w:r>
      <w:r>
        <w:rPr>
          <w:rFonts w:ascii="Times New Roman" w:cs="Times New Roman" w:eastAsia="Times New Roman" w:hAnsi="Times New Roman"/>
          <w:sz w:val="18"/>
          <w:szCs w:val="18"/>
          <w:color w:val="auto"/>
        </w:rPr>
        <w:t>. Neither the Company nor any of its affiliates (as defined in Rule 501(b) of Regulation D) will, directly or through any agent, sell, offer for sale, solicit offers to buy or otherwise negotiate in respect of, any security (as defined in the Securities Act), that is or will be integrated with the sale of the Notes in a manner that would require registration of the Notes under the Securities Act.</w:t>
      </w:r>
    </w:p>
    <w:p>
      <w:pPr>
        <w:spacing w:after="0" w:line="173"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(h)  </w:t>
      </w:r>
      <w:r>
        <w:rPr>
          <w:rFonts w:ascii="Times New Roman" w:cs="Times New Roman" w:eastAsia="Times New Roman" w:hAnsi="Times New Roman"/>
          <w:sz w:val="18"/>
          <w:szCs w:val="18"/>
          <w:i w:val="1"/>
          <w:iCs w:val="1"/>
          <w:color w:val="auto"/>
        </w:rPr>
        <w:t>No General Solicitation</w:t>
      </w:r>
      <w:r>
        <w:rPr>
          <w:rFonts w:ascii="Times New Roman" w:cs="Times New Roman" w:eastAsia="Times New Roman" w:hAnsi="Times New Roman"/>
          <w:sz w:val="18"/>
          <w:szCs w:val="18"/>
          <w:color w:val="auto"/>
        </w:rPr>
        <w:t>. None of the Company or any of its affiliates or any other person acting on its or their behalf (other than the Initial Purchasers, as to which no covenant is given) will solicit offers for, or offer or sell, the Notes by means of any form of general solicitation or general advertising within the meaning of Rule 502(c) of Regulation D or in any manner involving a public offering within the meaning of Section 4(a)(2) of the Securities Act.</w:t>
      </w:r>
    </w:p>
    <w:p>
      <w:pPr>
        <w:sectPr>
          <w:pgSz w:w="11900" w:h="16838" w:orient="portrait"/>
          <w:cols w:equalWidth="0" w:num="1">
            <w:col w:w="11000"/>
          </w:cols>
          <w:pgMar w:left="440" w:top="268" w:right="459" w:bottom="1440" w:gutter="0" w:footer="0" w:header="0"/>
        </w:sectPr>
      </w:pPr>
    </w:p>
    <w:bookmarkStart w:id="25" w:name="page26"/>
    <w:bookmarkEnd w:id="25"/>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  </w:t>
      </w:r>
      <w:r>
        <w:rPr>
          <w:rFonts w:ascii="Times New Roman" w:cs="Times New Roman" w:eastAsia="Times New Roman" w:hAnsi="Times New Roman"/>
          <w:sz w:val="18"/>
          <w:szCs w:val="18"/>
          <w:i w:val="1"/>
          <w:iCs w:val="1"/>
          <w:color w:val="auto"/>
        </w:rPr>
        <w:t>No Resales by the Company</w:t>
      </w:r>
      <w:r>
        <w:rPr>
          <w:rFonts w:ascii="Times New Roman" w:cs="Times New Roman" w:eastAsia="Times New Roman" w:hAnsi="Times New Roman"/>
          <w:sz w:val="18"/>
          <w:szCs w:val="18"/>
          <w:color w:val="auto"/>
        </w:rPr>
        <w:t>. During the period from the Closing Date until one year after the Closing Date, the Company will not, and will not permit any of its subsidiaries to, resell any of the Notes that constitute “restricted securities” under Rule 144 under the Securities Act that have been reacquired by any of them, except for Notes purchased by the Company or any of its subsidiaries and resold in a transaction registered under the Securities Act.</w:t>
      </w:r>
    </w:p>
    <w:p>
      <w:pPr>
        <w:spacing w:after="0" w:line="180" w:lineRule="exact"/>
        <w:rPr>
          <w:sz w:val="20"/>
          <w:szCs w:val="20"/>
          <w:color w:val="auto"/>
        </w:rPr>
      </w:pPr>
    </w:p>
    <w:p>
      <w:pPr>
        <w:ind w:right="1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(j)  </w:t>
      </w:r>
      <w:r>
        <w:rPr>
          <w:rFonts w:ascii="Times New Roman" w:cs="Times New Roman" w:eastAsia="Times New Roman" w:hAnsi="Times New Roman"/>
          <w:sz w:val="18"/>
          <w:szCs w:val="18"/>
          <w:i w:val="1"/>
          <w:iCs w:val="1"/>
          <w:color w:val="auto"/>
        </w:rPr>
        <w:t>Blue Sky Compliance.</w:t>
      </w:r>
      <w:r>
        <w:rPr>
          <w:rFonts w:ascii="Times New Roman" w:cs="Times New Roman" w:eastAsia="Times New Roman" w:hAnsi="Times New Roman"/>
          <w:sz w:val="18"/>
          <w:szCs w:val="18"/>
          <w:color w:val="auto"/>
        </w:rPr>
        <w:t xml:space="preserve"> The Company will use commercially reasonable efforts, in cooperation with the Representative, to qualify the Notes for offer and sale under the securities or Blue Sky laws of such jurisdictions as the Representative shall reasonably request and will continue such qualifications in effect so long as required for distribution of the Notes;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not be required to (i) qualify as a foreign corporation or other entity or as a dealer in securities in any such jurisdiction where it would not otherwise be required to so qualify or (ii) file any general consent to service of process in any such jurisdiction.</w:t>
      </w:r>
    </w:p>
    <w:p>
      <w:pPr>
        <w:spacing w:after="0" w:line="183"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(k)  </w:t>
      </w:r>
      <w:r>
        <w:rPr>
          <w:rFonts w:ascii="Times New Roman" w:cs="Times New Roman" w:eastAsia="Times New Roman" w:hAnsi="Times New Roman"/>
          <w:sz w:val="18"/>
          <w:szCs w:val="18"/>
          <w:i w:val="1"/>
          <w:iCs w:val="1"/>
          <w:color w:val="auto"/>
        </w:rPr>
        <w:t>Earning Statement.</w:t>
      </w:r>
      <w:r>
        <w:rPr>
          <w:rFonts w:ascii="Times New Roman" w:cs="Times New Roman" w:eastAsia="Times New Roman" w:hAnsi="Times New Roman"/>
          <w:sz w:val="18"/>
          <w:szCs w:val="18"/>
          <w:color w:val="auto"/>
        </w:rPr>
        <w:t xml:space="preserve"> The Company will make generally available to its security holders and the Representative as soon as practicable an earning statement that satisfies the provisions of Section 11(a) of the Securities Act and Rule 158 of the Commission promulgated thereunder covering a period of at least twelve months beginning with the first fiscal quarter of the Company occurring after the date of the Offering Memorandum;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that </w:t>
      </w:r>
      <w:r>
        <w:rPr>
          <w:rFonts w:ascii="Times New Roman" w:cs="Times New Roman" w:eastAsia="Times New Roman" w:hAnsi="Times New Roman"/>
          <w:sz w:val="18"/>
          <w:szCs w:val="18"/>
          <w:color w:val="auto"/>
        </w:rPr>
        <w:t>the Company will be deemed to have complied with such requirement by filing such an earning statement on the Commission’s Electronic Data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Gathering, Analysis, and Retrieval system (or any successor system) (“EDGAR”).</w:t>
      </w:r>
    </w:p>
    <w:p>
      <w:pPr>
        <w:spacing w:after="0" w:line="183"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(l)  </w:t>
      </w:r>
      <w:r>
        <w:rPr>
          <w:rFonts w:ascii="Times New Roman" w:cs="Times New Roman" w:eastAsia="Times New Roman" w:hAnsi="Times New Roman"/>
          <w:sz w:val="18"/>
          <w:szCs w:val="18"/>
          <w:i w:val="1"/>
          <w:iCs w:val="1"/>
          <w:color w:val="auto"/>
        </w:rPr>
        <w:t>Clear Market.</w:t>
      </w:r>
      <w:r>
        <w:rPr>
          <w:rFonts w:ascii="Times New Roman" w:cs="Times New Roman" w:eastAsia="Times New Roman" w:hAnsi="Times New Roman"/>
          <w:sz w:val="18"/>
          <w:szCs w:val="18"/>
          <w:color w:val="auto"/>
        </w:rPr>
        <w:t xml:space="preserve"> Through the Closing Date, the Company will not (i) offer, pledge, sell, contract to sell, sell any option or contract to purchase, purchase any option or contract to sell, grant any option, right or warrant to purchase, or otherwise transfer or dispose of, directly or indirectly, or file with the Commission a registration statement under the Securities Act relating to, any debt securities issued or guaranteed by the Company or any securities convertible into or exercisable or exchangeable for debt securities issued or guaranteed by the Company, or publicly disclose the intention to make any such offer, sale, pledge, disposition or filing, or (ii) enter into any swap or other agreement that transfers, in whole or in part, any of the economic consequences of ownership of the debt securities issued or guaranteed by the Company or any such other securities, without the prior written consent of the Representative on behalf of the Initial Purchasers, other than the Notes to be sold hereunder for purposes of interest rate hedging.</w:t>
      </w:r>
    </w:p>
    <w:p>
      <w:pPr>
        <w:spacing w:after="0" w:line="183" w:lineRule="exact"/>
        <w:rPr>
          <w:sz w:val="20"/>
          <w:szCs w:val="20"/>
          <w:color w:val="auto"/>
        </w:rPr>
      </w:pPr>
    </w:p>
    <w:p>
      <w:pPr>
        <w:ind w:right="320" w:firstLine="440"/>
        <w:spacing w:after="0" w:line="284" w:lineRule="auto"/>
        <w:rPr>
          <w:sz w:val="20"/>
          <w:szCs w:val="20"/>
          <w:color w:val="auto"/>
        </w:rPr>
      </w:pPr>
      <w:r>
        <w:rPr>
          <w:rFonts w:ascii="Times New Roman" w:cs="Times New Roman" w:eastAsia="Times New Roman" w:hAnsi="Times New Roman"/>
          <w:sz w:val="18"/>
          <w:szCs w:val="18"/>
          <w:color w:val="auto"/>
        </w:rPr>
        <w:t xml:space="preserve">(m)  </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xml:space="preserve"> The Company will apply the net proceeds from the sale of the Notes in all material respects as described in the Pricing Disclosure Package and the Offering Memorandum under the heading “Use of Proceeds”.</w:t>
      </w:r>
    </w:p>
    <w:p>
      <w:pPr>
        <w:spacing w:after="0" w:line="158"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(n)  </w:t>
      </w:r>
      <w:r>
        <w:rPr>
          <w:rFonts w:ascii="Times New Roman" w:cs="Times New Roman" w:eastAsia="Times New Roman" w:hAnsi="Times New Roman"/>
          <w:sz w:val="18"/>
          <w:szCs w:val="18"/>
          <w:i w:val="1"/>
          <w:iCs w:val="1"/>
          <w:color w:val="auto"/>
        </w:rPr>
        <w:t>Reports.</w:t>
      </w:r>
      <w:r>
        <w:rPr>
          <w:rFonts w:ascii="Times New Roman" w:cs="Times New Roman" w:eastAsia="Times New Roman" w:hAnsi="Times New Roman"/>
          <w:sz w:val="18"/>
          <w:szCs w:val="18"/>
          <w:color w:val="auto"/>
        </w:rPr>
        <w:t xml:space="preserve"> For a period of one year from the date of this Agreement, so long as the Notes are outstanding, the Company will furnish to the Representative, as soon as commercially reasonable after the date they are available, copies of all reports or other communications (financial or other) furnished to holders of the Notes, and copies of any reports and financial statements furnished to or filed with the Commission or any national securities exchange or automatic quotation system;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the Company will be deemed to have furnished such reports and financial statements to the Representative to the extent they are filed on EDGAR.</w:t>
      </w:r>
    </w:p>
    <w:p>
      <w:pPr>
        <w:sectPr>
          <w:pgSz w:w="11900" w:h="16838" w:orient="portrait"/>
          <w:cols w:equalWidth="0" w:num="1">
            <w:col w:w="10980"/>
          </w:cols>
          <w:pgMar w:left="440" w:top="268" w:right="479" w:bottom="1440" w:gutter="0" w:footer="0" w:header="0"/>
        </w:sectPr>
      </w:pPr>
    </w:p>
    <w:bookmarkStart w:id="26" w:name="page27"/>
    <w:bookmarkEnd w:id="26"/>
    <w:p>
      <w:pPr>
        <w:ind w:right="500" w:firstLine="440"/>
        <w:spacing w:after="0" w:line="28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  </w:t>
      </w:r>
      <w:r>
        <w:rPr>
          <w:rFonts w:ascii="Times New Roman" w:cs="Times New Roman" w:eastAsia="Times New Roman" w:hAnsi="Times New Roman"/>
          <w:sz w:val="18"/>
          <w:szCs w:val="18"/>
          <w:i w:val="1"/>
          <w:iCs w:val="1"/>
          <w:color w:val="auto"/>
        </w:rPr>
        <w:t>Emerging Growth Company</w:t>
      </w:r>
      <w:r>
        <w:rPr>
          <w:rFonts w:ascii="Times New Roman" w:cs="Times New Roman" w:eastAsia="Times New Roman" w:hAnsi="Times New Roman"/>
          <w:sz w:val="18"/>
          <w:szCs w:val="18"/>
          <w:color w:val="auto"/>
        </w:rPr>
        <w:t>. The Company will promptly notify the Representative if the Company ceases to be an Emerging Growth Company at any time prior to the completion of the distribution of Notes within the meaning of the Securities Act.</w:t>
      </w:r>
    </w:p>
    <w:p>
      <w:pPr>
        <w:spacing w:after="0" w:line="158"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(p)  </w:t>
      </w:r>
      <w:r>
        <w:rPr>
          <w:rFonts w:ascii="Times New Roman" w:cs="Times New Roman" w:eastAsia="Times New Roman" w:hAnsi="Times New Roman"/>
          <w:sz w:val="18"/>
          <w:szCs w:val="18"/>
          <w:i w:val="1"/>
          <w:iCs w:val="1"/>
          <w:color w:val="auto"/>
        </w:rPr>
        <w:t>Business Development Company</w:t>
      </w:r>
      <w:r>
        <w:rPr>
          <w:rFonts w:ascii="Times New Roman" w:cs="Times New Roman" w:eastAsia="Times New Roman" w:hAnsi="Times New Roman"/>
          <w:sz w:val="18"/>
          <w:szCs w:val="18"/>
          <w:color w:val="auto"/>
        </w:rPr>
        <w:t xml:space="preserve">. The Company, during a period of twelve months from the date of the Offering Memorandum, will use commercially reasonable efforts to maintain its status as a business development company under the Investment Company Act;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may change the nature of its business so as to cease to be, or withdraw its election to be treated as, a business development company with the approval of its Board of Directors and a vote of stockholders as required by Section 58 of the Investment Company Act.</w:t>
      </w:r>
    </w:p>
    <w:p>
      <w:pPr>
        <w:spacing w:after="0" w:line="180" w:lineRule="exact"/>
        <w:rPr>
          <w:sz w:val="20"/>
          <w:szCs w:val="20"/>
          <w:color w:val="auto"/>
        </w:rPr>
      </w:pPr>
    </w:p>
    <w:p>
      <w:pPr>
        <w:jc w:val="both"/>
        <w:ind w:firstLine="440"/>
        <w:spacing w:after="0" w:line="267" w:lineRule="auto"/>
        <w:rPr>
          <w:sz w:val="20"/>
          <w:szCs w:val="20"/>
          <w:color w:val="auto"/>
        </w:rPr>
      </w:pPr>
      <w:r>
        <w:rPr>
          <w:rFonts w:ascii="Times New Roman" w:cs="Times New Roman" w:eastAsia="Times New Roman" w:hAnsi="Times New Roman"/>
          <w:sz w:val="18"/>
          <w:szCs w:val="18"/>
          <w:color w:val="auto"/>
        </w:rPr>
        <w:t xml:space="preserve">(q)  </w:t>
      </w:r>
      <w:r>
        <w:rPr>
          <w:rFonts w:ascii="Times New Roman" w:cs="Times New Roman" w:eastAsia="Times New Roman" w:hAnsi="Times New Roman"/>
          <w:sz w:val="18"/>
          <w:szCs w:val="18"/>
          <w:i w:val="1"/>
          <w:iCs w:val="1"/>
          <w:color w:val="auto"/>
        </w:rPr>
        <w:t>Regulated Investment Company.</w:t>
      </w:r>
      <w:r>
        <w:rPr>
          <w:rFonts w:ascii="Times New Roman" w:cs="Times New Roman" w:eastAsia="Times New Roman" w:hAnsi="Times New Roman"/>
          <w:sz w:val="18"/>
          <w:szCs w:val="18"/>
          <w:color w:val="auto"/>
        </w:rPr>
        <w:t xml:space="preserve"> The Company will use commercially reasonable efforts to maintain in effect its qualification and election to be treated as a regulated investment company under Subchapter M of the Code for each taxable year during which it is a business development company under the Investment Company Act.</w:t>
      </w:r>
    </w:p>
    <w:p>
      <w:pPr>
        <w:spacing w:after="0" w:line="173" w:lineRule="exact"/>
        <w:rPr>
          <w:sz w:val="20"/>
          <w:szCs w:val="20"/>
          <w:color w:val="auto"/>
        </w:rPr>
      </w:pPr>
    </w:p>
    <w:p>
      <w:pPr>
        <w:ind w:right="200" w:firstLine="440"/>
        <w:spacing w:after="0" w:line="258" w:lineRule="auto"/>
        <w:rPr>
          <w:sz w:val="20"/>
          <w:szCs w:val="20"/>
          <w:color w:val="auto"/>
        </w:rPr>
      </w:pPr>
      <w:r>
        <w:rPr>
          <w:rFonts w:ascii="Times New Roman" w:cs="Times New Roman" w:eastAsia="Times New Roman" w:hAnsi="Times New Roman"/>
          <w:sz w:val="18"/>
          <w:szCs w:val="18"/>
          <w:color w:val="auto"/>
        </w:rPr>
        <w:t xml:space="preserve">(r)  </w:t>
      </w:r>
      <w:r>
        <w:rPr>
          <w:rFonts w:ascii="Times New Roman" w:cs="Times New Roman" w:eastAsia="Times New Roman" w:hAnsi="Times New Roman"/>
          <w:sz w:val="18"/>
          <w:szCs w:val="18"/>
          <w:i w:val="1"/>
          <w:iCs w:val="1"/>
          <w:color w:val="auto"/>
        </w:rPr>
        <w:t>Annual Compliance Reviews</w:t>
      </w:r>
      <w:r>
        <w:rPr>
          <w:rFonts w:ascii="Times New Roman" w:cs="Times New Roman" w:eastAsia="Times New Roman" w:hAnsi="Times New Roman"/>
          <w:sz w:val="18"/>
          <w:szCs w:val="18"/>
          <w:color w:val="auto"/>
        </w:rPr>
        <w:t>. The Company will retain qualified accountants and qualified tax experts (i) to test procedures and conduct annual compliance reviews designed to determine compliance with the regulated investment company provisions of the Code and the Company’s exempt status under the Investment Company Act and (ii) to otherwise assist the Company in monitoring appropriate accounting systems and procedures designed to determine compliance with the regulated investment company provisions of the Code and the Company’s exempt status under the Investment Company Act.</w:t>
      </w:r>
    </w:p>
    <w:p>
      <w:pPr>
        <w:spacing w:after="0" w:line="183" w:lineRule="exact"/>
        <w:rPr>
          <w:sz w:val="20"/>
          <w:szCs w:val="20"/>
          <w:color w:val="auto"/>
        </w:rPr>
      </w:pPr>
    </w:p>
    <w:p>
      <w:pPr>
        <w:ind w:right="460" w:firstLine="440"/>
        <w:spacing w:after="0" w:line="284" w:lineRule="auto"/>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Legends</w:t>
      </w:r>
      <w:r>
        <w:rPr>
          <w:rFonts w:ascii="Times New Roman" w:cs="Times New Roman" w:eastAsia="Times New Roman" w:hAnsi="Times New Roman"/>
          <w:sz w:val="18"/>
          <w:szCs w:val="18"/>
          <w:color w:val="auto"/>
        </w:rPr>
        <w:t>. Each of the Notes will bear, to the extent applicable, the legend contained in “Transfer Restrictions” in the Pricing Disclosure Package and the Offering Memorandum for the time period and upon the other terms stated therein.</w:t>
      </w:r>
    </w:p>
    <w:p>
      <w:pPr>
        <w:spacing w:after="0" w:line="160" w:lineRule="exact"/>
        <w:rPr>
          <w:sz w:val="20"/>
          <w:szCs w:val="20"/>
          <w:color w:val="auto"/>
        </w:rPr>
      </w:pPr>
    </w:p>
    <w:p>
      <w:pPr>
        <w:ind w:right="1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6.  </w:t>
      </w:r>
      <w:r>
        <w:rPr>
          <w:rFonts w:ascii="Times New Roman" w:cs="Times New Roman" w:eastAsia="Times New Roman" w:hAnsi="Times New Roman"/>
          <w:sz w:val="18"/>
          <w:szCs w:val="18"/>
          <w:u w:val="single" w:color="auto"/>
          <w:color w:val="auto"/>
        </w:rPr>
        <w:t>Certain Agreements of the Initial Purchasers</w:t>
      </w:r>
      <w:r>
        <w:rPr>
          <w:rFonts w:ascii="Times New Roman" w:cs="Times New Roman" w:eastAsia="Times New Roman" w:hAnsi="Times New Roman"/>
          <w:sz w:val="18"/>
          <w:szCs w:val="18"/>
          <w:color w:val="auto"/>
        </w:rPr>
        <w:t>. Each Initial Purchaser hereby represents, warrants and agrees that without the prior written consent of the Company, it has not used, authorized use of, referred to or participated in the planning for the use of, and will not use, authorize the use of, refer to or participate in the planning for the use of, any written information concerning the offering of the Notes, other than materials contained in the Pricing Disclosure Package, any Marketing Materials and the Offering Memorandum or any other offering materials prepared by or with the prior written consent of the Company.</w:t>
      </w:r>
    </w:p>
    <w:p>
      <w:pPr>
        <w:spacing w:after="0" w:line="183" w:lineRule="exact"/>
        <w:rPr>
          <w:sz w:val="20"/>
          <w:szCs w:val="20"/>
          <w:color w:val="auto"/>
        </w:rPr>
      </w:pPr>
    </w:p>
    <w:p>
      <w:pPr>
        <w:ind w:right="100" w:firstLine="440"/>
        <w:spacing w:after="0" w:line="312" w:lineRule="auto"/>
        <w:rPr>
          <w:sz w:val="20"/>
          <w:szCs w:val="20"/>
          <w:color w:val="auto"/>
        </w:rPr>
      </w:pPr>
      <w:r>
        <w:rPr>
          <w:rFonts w:ascii="Times New Roman" w:cs="Times New Roman" w:eastAsia="Times New Roman" w:hAnsi="Times New Roman"/>
          <w:sz w:val="17"/>
          <w:szCs w:val="17"/>
          <w:color w:val="auto"/>
        </w:rPr>
        <w:t xml:space="preserve">7.  </w:t>
      </w:r>
      <w:r>
        <w:rPr>
          <w:rFonts w:ascii="Times New Roman" w:cs="Times New Roman" w:eastAsia="Times New Roman" w:hAnsi="Times New Roman"/>
          <w:sz w:val="17"/>
          <w:szCs w:val="17"/>
          <w:u w:val="single" w:color="auto"/>
          <w:color w:val="auto"/>
        </w:rPr>
        <w:t>Conditions of Initial Purchasers’ Obligations.</w:t>
      </w:r>
      <w:r>
        <w:rPr>
          <w:rFonts w:ascii="Times New Roman" w:cs="Times New Roman" w:eastAsia="Times New Roman" w:hAnsi="Times New Roman"/>
          <w:sz w:val="17"/>
          <w:szCs w:val="17"/>
          <w:color w:val="auto"/>
        </w:rPr>
        <w:t xml:space="preserve"> The obligation of each Initial Purchaser to purchase the Notes on the Closing Date as provided herein is subject to the performance by the Company of its covenants and other obligations hereunder and to the following additional conditions:</w:t>
      </w:r>
    </w:p>
    <w:p>
      <w:pPr>
        <w:spacing w:after="0" w:line="138" w:lineRule="exact"/>
        <w:rPr>
          <w:sz w:val="20"/>
          <w:szCs w:val="20"/>
          <w:color w:val="auto"/>
        </w:rPr>
      </w:pPr>
    </w:p>
    <w:p>
      <w:pPr>
        <w:jc w:val="both"/>
        <w:ind w:right="400" w:firstLine="440"/>
        <w:spacing w:after="0" w:line="267"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i w:val="1"/>
          <w:iCs w:val="1"/>
          <w:color w:val="auto"/>
        </w:rPr>
        <w:t>Representations and Warranties.</w:t>
      </w:r>
      <w:r>
        <w:rPr>
          <w:rFonts w:ascii="Times New Roman" w:cs="Times New Roman" w:eastAsia="Times New Roman" w:hAnsi="Times New Roman"/>
          <w:sz w:val="18"/>
          <w:szCs w:val="18"/>
          <w:color w:val="auto"/>
        </w:rPr>
        <w:t xml:space="preserve"> The representations and warranties of the Company and the Adviser contained herein shall be true and correct on the date hereof and on and as of the Closing Date; and the statements of the Company and its officers made in any certificates delivered pursuant to this Agreement shall be true and correct on and as of the Closing Date.</w:t>
      </w:r>
    </w:p>
    <w:p>
      <w:pPr>
        <w:sectPr>
          <w:pgSz w:w="11900" w:h="16838" w:orient="portrait"/>
          <w:cols w:equalWidth="0" w:num="1">
            <w:col w:w="10980"/>
          </w:cols>
          <w:pgMar w:left="440" w:top="268" w:right="479" w:bottom="1440" w:gutter="0" w:footer="0" w:header="0"/>
        </w:sectPr>
      </w:pPr>
    </w:p>
    <w:bookmarkStart w:id="27" w:name="page28"/>
    <w:bookmarkEnd w:id="27"/>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  </w:t>
      </w:r>
      <w:r>
        <w:rPr>
          <w:rFonts w:ascii="Times New Roman" w:cs="Times New Roman" w:eastAsia="Times New Roman" w:hAnsi="Times New Roman"/>
          <w:sz w:val="18"/>
          <w:szCs w:val="18"/>
          <w:i w:val="1"/>
          <w:iCs w:val="1"/>
          <w:color w:val="auto"/>
        </w:rPr>
        <w:t>No Material Adverse Change.</w:t>
      </w:r>
      <w:r>
        <w:rPr>
          <w:rFonts w:ascii="Times New Roman" w:cs="Times New Roman" w:eastAsia="Times New Roman" w:hAnsi="Times New Roman"/>
          <w:sz w:val="18"/>
          <w:szCs w:val="18"/>
          <w:color w:val="auto"/>
        </w:rPr>
        <w:t xml:space="preserve"> No event or condition of a type described in Section 3(f) and Section 4(a) hereof shall have occurred or shall exist, which event or condition is not described in the Pricing Disclosure Package (excluding any amendment or supplement thereto) and the Offering Memorandum (excluding any amendment or supplement thereto) and the effect of which in the judgment of the Representative makes it impracticable or inadvisable to proceed with the offering, sale or delivery of the Notes on the Closing Date, on the terms and in the manner contemplated by this Agreement, the Pricing Disclosure Package and the Offering Memorandum.</w:t>
      </w:r>
    </w:p>
    <w:p>
      <w:pPr>
        <w:spacing w:after="0" w:line="183" w:lineRule="exact"/>
        <w:rPr>
          <w:sz w:val="20"/>
          <w:szCs w:val="20"/>
          <w:color w:val="auto"/>
        </w:rPr>
      </w:pPr>
    </w:p>
    <w:p>
      <w:pPr>
        <w:ind w:right="1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i w:val="1"/>
          <w:iCs w:val="1"/>
          <w:color w:val="auto"/>
        </w:rPr>
        <w:t>Company’s Officer’s Certificate.</w:t>
      </w:r>
      <w:r>
        <w:rPr>
          <w:rFonts w:ascii="Times New Roman" w:cs="Times New Roman" w:eastAsia="Times New Roman" w:hAnsi="Times New Roman"/>
          <w:sz w:val="18"/>
          <w:szCs w:val="18"/>
          <w:color w:val="auto"/>
        </w:rPr>
        <w:t xml:space="preserve"> The Representative shall have received on and as of the Closing Date a certificate, which shall be delivered on behalf of the Company and not the signatories in their individual capacity, of the chief financial officer or chief accounting officer of the Company and one additional senior executive officer of the Company who is reasonably satisfactory to the Representative (i) confirming that such officers have carefully reviewed the Pricing Disclosure Package and the Offering Memorandum, (ii) confirming that, to the knowledge of such officers, the representations and warranties of the Company in Sections 3(b) and 3(c) hereof are true and correct, (iii) confirming that, to the knowledge of such officers, the other representations and warranties of the Company in this Agreement are true and correct and that the Company has complied with all agreements and satisfied all conditions on its part to be performed or satisfied hereunder at or prior to the Closing Date, and (iv) with respect to the Company and its subsidiaries, to the effect set forth in paragraph (b) above.</w:t>
      </w:r>
    </w:p>
    <w:p>
      <w:pPr>
        <w:spacing w:after="0" w:line="185"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i w:val="1"/>
          <w:iCs w:val="1"/>
          <w:color w:val="auto"/>
        </w:rPr>
        <w:t>Adviser’s Officer’s Certificate.</w:t>
      </w:r>
      <w:r>
        <w:rPr>
          <w:rFonts w:ascii="Times New Roman" w:cs="Times New Roman" w:eastAsia="Times New Roman" w:hAnsi="Times New Roman"/>
          <w:sz w:val="18"/>
          <w:szCs w:val="18"/>
          <w:color w:val="auto"/>
        </w:rPr>
        <w:t xml:space="preserve"> The Representative shall have received on and as of the Closing Date a certificate, which shall be delivered on behalf of the Adviser and not the signatories in their individual capacity, from the two appropriate senior officers of the Adviser reasonably satisfactory to the Representative (i) confirming that the representations and warranties of the Adviser in this Agreement are true and correct and that the Adviser has complied with all agreements and satisfied all conditions on its part to be performed or satisfied hereunder at or prior to the Closing Date, and (ii) with respect to the Adviser and its subsidiaries, to the effect set forth in paragraph (b) above.</w:t>
      </w:r>
    </w:p>
    <w:p>
      <w:pPr>
        <w:spacing w:after="0" w:line="183" w:lineRule="exact"/>
        <w:rPr>
          <w:sz w:val="20"/>
          <w:szCs w:val="20"/>
          <w:color w:val="auto"/>
        </w:rPr>
      </w:pPr>
    </w:p>
    <w:p>
      <w:pPr>
        <w:ind w:right="160" w:firstLine="440"/>
        <w:spacing w:after="0" w:line="257"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i w:val="1"/>
          <w:iCs w:val="1"/>
          <w:color w:val="auto"/>
        </w:rPr>
        <w:t>Comfort Letters.</w:t>
      </w:r>
      <w:r>
        <w:rPr>
          <w:rFonts w:ascii="Times New Roman" w:cs="Times New Roman" w:eastAsia="Times New Roman" w:hAnsi="Times New Roman"/>
          <w:sz w:val="18"/>
          <w:szCs w:val="18"/>
          <w:color w:val="auto"/>
        </w:rPr>
        <w:t xml:space="preserve"> On the date of this Agreement and on the Closing Date, KPMG LLP shall have furnished to the Representative, at the request of the Company, letters, dated the respective dates of delivery thereof and addressed to the Initial Purchasers, in form and substance reasonably satisfactory to the Representative, containing statements and information of the type customarily included in accountants’ “comfort letters” to Initial Purchasers with respect to the financial statements and certain financial information contained in the Pricing Disclosure Package and the Offering Memorandum; provided, that the letter delivered on the Closing Date shall use a “cut-off” date no more than three business days prior to such Closing Date.</w:t>
      </w:r>
    </w:p>
    <w:p>
      <w:pPr>
        <w:spacing w:after="0" w:line="182" w:lineRule="exact"/>
        <w:rPr>
          <w:sz w:val="20"/>
          <w:szCs w:val="20"/>
          <w:color w:val="auto"/>
        </w:rPr>
      </w:pPr>
    </w:p>
    <w:p>
      <w:pPr>
        <w:ind w:right="200" w:firstLine="440"/>
        <w:spacing w:after="0" w:line="258"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i w:val="1"/>
          <w:iCs w:val="1"/>
          <w:color w:val="auto"/>
        </w:rPr>
        <w:t>Opinion and 10b-5 Statement of Counsel for the Company and Adviser.</w:t>
      </w:r>
      <w:r>
        <w:rPr>
          <w:rFonts w:ascii="Times New Roman" w:cs="Times New Roman" w:eastAsia="Times New Roman" w:hAnsi="Times New Roman"/>
          <w:sz w:val="18"/>
          <w:szCs w:val="18"/>
          <w:color w:val="auto"/>
        </w:rPr>
        <w:t xml:space="preserve"> Simpson Thacher &amp; Bartlett LLP, counsel for the Company and the Adviser, shall have furnished to the Representative, at the request of the Company and the Adviser, their written opinions and 10b-5 letter, dated the Closing Date and addressed to the Initial Purchasers, in form and substance reasonably satisfactory to the Representative. Morris, Nichols, Arsht &amp; Tunnell LLP, Delaware counsel for the Company and the Adviser, shall have furnished to the Representative, at the request of the Company and the Adviser, their written opinion, dated the Closing Date and</w:t>
      </w:r>
    </w:p>
    <w:p>
      <w:pPr>
        <w:sectPr>
          <w:pgSz w:w="11900" w:h="16838" w:orient="portrait"/>
          <w:cols w:equalWidth="0" w:num="1">
            <w:col w:w="11020"/>
          </w:cols>
          <w:pgMar w:left="440" w:top="268" w:right="439" w:bottom="1440" w:gutter="0" w:footer="0" w:header="0"/>
        </w:sectPr>
      </w:pPr>
    </w:p>
    <w:bookmarkStart w:id="28" w:name="page29"/>
    <w:bookmarkEnd w:id="28"/>
    <w:p>
      <w:pPr>
        <w:jc w:val="both"/>
        <w:ind w:right="4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addressed to the Initial Purchasers, in form and substance reasonably satisfactory to the Representative. In-house counsel to the Company and the Adviser, shall have furnished to the Representative, its written opinion, dated the Closing Date and addressed to the Initial Purchasers, in form and substance reasonably satisfactory to the Representative.</w:t>
      </w:r>
    </w:p>
    <w:p>
      <w:pPr>
        <w:spacing w:after="0" w:line="174" w:lineRule="exact"/>
        <w:rPr>
          <w:sz w:val="20"/>
          <w:szCs w:val="20"/>
          <w:color w:val="auto"/>
        </w:rPr>
      </w:pPr>
    </w:p>
    <w:p>
      <w:pPr>
        <w:jc w:val="both"/>
        <w:ind w:firstLine="440"/>
        <w:spacing w:after="0" w:line="290" w:lineRule="auto"/>
        <w:rPr>
          <w:sz w:val="20"/>
          <w:szCs w:val="20"/>
          <w:color w:val="auto"/>
        </w:rPr>
      </w:pPr>
      <w:r>
        <w:rPr>
          <w:rFonts w:ascii="Times New Roman" w:cs="Times New Roman" w:eastAsia="Times New Roman" w:hAnsi="Times New Roman"/>
          <w:sz w:val="17"/>
          <w:szCs w:val="17"/>
          <w:color w:val="auto"/>
        </w:rPr>
        <w:t xml:space="preserve">(g)  </w:t>
      </w:r>
      <w:r>
        <w:rPr>
          <w:rFonts w:ascii="Times New Roman" w:cs="Times New Roman" w:eastAsia="Times New Roman" w:hAnsi="Times New Roman"/>
          <w:sz w:val="17"/>
          <w:szCs w:val="17"/>
          <w:i w:val="1"/>
          <w:iCs w:val="1"/>
          <w:color w:val="auto"/>
        </w:rPr>
        <w:t>Opinion and 10b-5 Statement of Counsel for the Initial Purchasers.</w:t>
      </w:r>
      <w:r>
        <w:rPr>
          <w:rFonts w:ascii="Times New Roman" w:cs="Times New Roman" w:eastAsia="Times New Roman" w:hAnsi="Times New Roman"/>
          <w:sz w:val="17"/>
          <w:szCs w:val="17"/>
          <w:color w:val="auto"/>
        </w:rPr>
        <w:t xml:space="preserve"> The Representative shall have received on and as of the Closing Date an opinion and 10b-5 statement of Ropes &amp; Gray LLP, counsel for the Initial Purchasers, with respect to such matters as the Representative may reasonably request, and such counsel shall have received such documents and information as they may reasonably request to enable them to pass upon such matters.</w:t>
      </w:r>
    </w:p>
    <w:p>
      <w:pPr>
        <w:spacing w:after="0" w:line="155"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(h)  </w:t>
      </w:r>
      <w:r>
        <w:rPr>
          <w:rFonts w:ascii="Times New Roman" w:cs="Times New Roman" w:eastAsia="Times New Roman" w:hAnsi="Times New Roman"/>
          <w:sz w:val="18"/>
          <w:szCs w:val="18"/>
          <w:i w:val="1"/>
          <w:iCs w:val="1"/>
          <w:color w:val="auto"/>
        </w:rPr>
        <w:t>No Legal Impediment to Issuance.</w:t>
      </w:r>
      <w:r>
        <w:rPr>
          <w:rFonts w:ascii="Times New Roman" w:cs="Times New Roman" w:eastAsia="Times New Roman" w:hAnsi="Times New Roman"/>
          <w:sz w:val="18"/>
          <w:szCs w:val="18"/>
          <w:color w:val="auto"/>
        </w:rPr>
        <w:t xml:space="preserve"> No action shall have been taken and no statute, rule, regulation or order shall have been enacted, adopted or issued by any federal, state or foreign governmental or regulatory authority that would, as of the Closing Date, prevent the issuance or sale of the Notes; and no injunction or order of any federal, state or foreign court shall have been issued that would, as of the Closing Date, prevent the issuance or sale of the Notes.</w:t>
      </w:r>
    </w:p>
    <w:p>
      <w:pPr>
        <w:spacing w:after="0" w:line="180"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i w:val="1"/>
          <w:iCs w:val="1"/>
          <w:color w:val="auto"/>
        </w:rPr>
        <w:t>Good Standing</w:t>
      </w:r>
      <w:r>
        <w:rPr>
          <w:rFonts w:ascii="Times New Roman" w:cs="Times New Roman" w:eastAsia="Times New Roman" w:hAnsi="Times New Roman"/>
          <w:sz w:val="18"/>
          <w:szCs w:val="18"/>
          <w:color w:val="auto"/>
        </w:rPr>
        <w:t>. The Representative shall have received on and as of the Closing Date reasonably satisfactory evidence of the good standing of the Company and its subsidiaries in their respective jurisdictions of organization and their good standing as foreign entities in such other jurisdictions as the Representative may reasonably request, in each case in writing or any standard form of telecommunication from the appropriate governmental authorities of such jurisdictions.</w:t>
      </w:r>
    </w:p>
    <w:p>
      <w:pPr>
        <w:spacing w:after="0" w:line="180" w:lineRule="exact"/>
        <w:rPr>
          <w:sz w:val="20"/>
          <w:szCs w:val="20"/>
          <w:color w:val="auto"/>
        </w:rPr>
      </w:pPr>
    </w:p>
    <w:p>
      <w:pPr>
        <w:ind w:right="140" w:firstLine="440"/>
        <w:spacing w:after="0" w:line="284" w:lineRule="auto"/>
        <w:rPr>
          <w:sz w:val="20"/>
          <w:szCs w:val="20"/>
          <w:color w:val="auto"/>
        </w:rPr>
      </w:pPr>
      <w:r>
        <w:rPr>
          <w:rFonts w:ascii="Times New Roman" w:cs="Times New Roman" w:eastAsia="Times New Roman" w:hAnsi="Times New Roman"/>
          <w:sz w:val="18"/>
          <w:szCs w:val="18"/>
          <w:color w:val="auto"/>
        </w:rPr>
        <w:t xml:space="preserve">(j)  </w:t>
      </w:r>
      <w:r>
        <w:rPr>
          <w:rFonts w:ascii="Times New Roman" w:cs="Times New Roman" w:eastAsia="Times New Roman" w:hAnsi="Times New Roman"/>
          <w:sz w:val="18"/>
          <w:szCs w:val="18"/>
          <w:i w:val="1"/>
          <w:iCs w:val="1"/>
          <w:color w:val="auto"/>
        </w:rPr>
        <w:t>Second Supplemental Indenture and Notes</w:t>
      </w:r>
      <w:r>
        <w:rPr>
          <w:rFonts w:ascii="Times New Roman" w:cs="Times New Roman" w:eastAsia="Times New Roman" w:hAnsi="Times New Roman"/>
          <w:sz w:val="18"/>
          <w:szCs w:val="18"/>
          <w:color w:val="auto"/>
        </w:rPr>
        <w:t>. On or prior to the Closing Date, the Company and the Trustee shall have executed and delivered the Second Supplemental Indenture and the Notes.</w:t>
      </w:r>
    </w:p>
    <w:p>
      <w:pPr>
        <w:spacing w:after="0" w:line="158" w:lineRule="exact"/>
        <w:rPr>
          <w:sz w:val="20"/>
          <w:szCs w:val="20"/>
          <w:color w:val="auto"/>
        </w:rPr>
      </w:pPr>
    </w:p>
    <w:p>
      <w:pPr>
        <w:ind w:right="260" w:firstLine="440"/>
        <w:spacing w:after="0" w:line="284" w:lineRule="auto"/>
        <w:rPr>
          <w:sz w:val="20"/>
          <w:szCs w:val="20"/>
          <w:color w:val="auto"/>
        </w:rPr>
      </w:pPr>
      <w:r>
        <w:rPr>
          <w:rFonts w:ascii="Times New Roman" w:cs="Times New Roman" w:eastAsia="Times New Roman" w:hAnsi="Times New Roman"/>
          <w:sz w:val="18"/>
          <w:szCs w:val="18"/>
          <w:color w:val="auto"/>
        </w:rPr>
        <w:t xml:space="preserve">(k)  </w:t>
      </w:r>
      <w:r>
        <w:rPr>
          <w:rFonts w:ascii="Times New Roman" w:cs="Times New Roman" w:eastAsia="Times New Roman" w:hAnsi="Times New Roman"/>
          <w:sz w:val="18"/>
          <w:szCs w:val="18"/>
          <w:i w:val="1"/>
          <w:iCs w:val="1"/>
          <w:color w:val="auto"/>
        </w:rPr>
        <w:t>Registration Rights Agreement.</w:t>
      </w:r>
      <w:r>
        <w:rPr>
          <w:rFonts w:ascii="Times New Roman" w:cs="Times New Roman" w:eastAsia="Times New Roman" w:hAnsi="Times New Roman"/>
          <w:sz w:val="18"/>
          <w:szCs w:val="18"/>
          <w:color w:val="auto"/>
        </w:rPr>
        <w:t xml:space="preserve"> On or prior to the Closing Date the Initial Purchasers shall have received a counterpart of the Registration Rights Agreement that shall have been executed and delivered by a duly authorized officer of the Company.</w:t>
      </w:r>
    </w:p>
    <w:p>
      <w:pPr>
        <w:spacing w:after="0" w:line="158" w:lineRule="exact"/>
        <w:rPr>
          <w:sz w:val="20"/>
          <w:szCs w:val="20"/>
          <w:color w:val="auto"/>
        </w:rPr>
      </w:pPr>
    </w:p>
    <w:p>
      <w:pPr>
        <w:ind w:right="60" w:firstLine="440"/>
        <w:spacing w:after="0" w:line="257" w:lineRule="auto"/>
        <w:rPr>
          <w:sz w:val="20"/>
          <w:szCs w:val="20"/>
          <w:color w:val="auto"/>
        </w:rPr>
      </w:pPr>
      <w:r>
        <w:rPr>
          <w:rFonts w:ascii="Times New Roman" w:cs="Times New Roman" w:eastAsia="Times New Roman" w:hAnsi="Times New Roman"/>
          <w:sz w:val="18"/>
          <w:szCs w:val="18"/>
          <w:color w:val="auto"/>
        </w:rPr>
        <w:t xml:space="preserve">(l)  </w:t>
      </w:r>
      <w:r>
        <w:rPr>
          <w:rFonts w:ascii="Times New Roman" w:cs="Times New Roman" w:eastAsia="Times New Roman" w:hAnsi="Times New Roman"/>
          <w:sz w:val="18"/>
          <w:szCs w:val="18"/>
          <w:i w:val="1"/>
          <w:iCs w:val="1"/>
          <w:color w:val="auto"/>
        </w:rPr>
        <w:t>No Downgrade</w:t>
      </w:r>
      <w:r>
        <w:rPr>
          <w:rFonts w:ascii="Times New Roman" w:cs="Times New Roman" w:eastAsia="Times New Roman" w:hAnsi="Times New Roman"/>
          <w:sz w:val="18"/>
          <w:szCs w:val="18"/>
          <w:color w:val="auto"/>
        </w:rPr>
        <w:t>. Subsequent to the earlier of (A) the Applicable Time and (B) the execution and delivery of this Agreement, if there are any debt securities or preferred stock of, or guaranteed, by, the Company or any of its subsidiaries that are rated by a “nationally recognized statistical rating organization,” as such term is defined in Section 3(a)(62) of the Exchange Act, (i) no downgrading shall have occurred in the rating accorded any such debt securities or preferred stock and (ii) no such organization shall have publicly announced that it has under surveillance or review, or has changed its outlook with respect to, its rating of any such debt securities or preferred stock (other than an announcement with positive implications of a possible upgrading).</w:t>
      </w:r>
    </w:p>
    <w:p>
      <w:pPr>
        <w:spacing w:after="0" w:line="182" w:lineRule="exact"/>
        <w:rPr>
          <w:sz w:val="20"/>
          <w:szCs w:val="20"/>
          <w:color w:val="auto"/>
        </w:rPr>
      </w:pPr>
    </w:p>
    <w:p>
      <w:pPr>
        <w:ind w:right="60" w:firstLine="440"/>
        <w:spacing w:after="0" w:line="284" w:lineRule="auto"/>
        <w:rPr>
          <w:sz w:val="20"/>
          <w:szCs w:val="20"/>
          <w:color w:val="auto"/>
        </w:rPr>
      </w:pPr>
      <w:r>
        <w:rPr>
          <w:rFonts w:ascii="Times New Roman" w:cs="Times New Roman" w:eastAsia="Times New Roman" w:hAnsi="Times New Roman"/>
          <w:sz w:val="18"/>
          <w:szCs w:val="18"/>
          <w:color w:val="auto"/>
        </w:rPr>
        <w:t xml:space="preserve">(m)  </w:t>
      </w:r>
      <w:r>
        <w:rPr>
          <w:rFonts w:ascii="Times New Roman" w:cs="Times New Roman" w:eastAsia="Times New Roman" w:hAnsi="Times New Roman"/>
          <w:sz w:val="18"/>
          <w:szCs w:val="18"/>
          <w:i w:val="1"/>
          <w:iCs w:val="1"/>
          <w:color w:val="auto"/>
        </w:rPr>
        <w:t>Additional Documents.</w:t>
      </w:r>
      <w:r>
        <w:rPr>
          <w:rFonts w:ascii="Times New Roman" w:cs="Times New Roman" w:eastAsia="Times New Roman" w:hAnsi="Times New Roman"/>
          <w:sz w:val="18"/>
          <w:szCs w:val="18"/>
          <w:color w:val="auto"/>
        </w:rPr>
        <w:t xml:space="preserve"> On or prior to the Closing Date the Company shall have furnished to the Representative such further certificates and documents as the Representative may reasonably request.</w:t>
      </w:r>
    </w:p>
    <w:p>
      <w:pPr>
        <w:sectPr>
          <w:pgSz w:w="11900" w:h="16838" w:orient="portrait"/>
          <w:cols w:equalWidth="0" w:num="1">
            <w:col w:w="11000"/>
          </w:cols>
          <w:pgMar w:left="440" w:top="270" w:right="459" w:bottom="1440" w:gutter="0" w:footer="0" w:header="0"/>
        </w:sectPr>
      </w:pPr>
    </w:p>
    <w:bookmarkStart w:id="29" w:name="page30"/>
    <w:bookmarkEnd w:id="29"/>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All opinions, letters, certificates and evidence mentioned above or elsewhere in this Agreement shall be deemed to be in compliance with the provisions hereof only if they are in form and substance reasonably satisfactory to counsel for the Initial Purchasers.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8.   </w:t>
      </w:r>
      <w:r>
        <w:rPr>
          <w:rFonts w:ascii="Times New Roman" w:cs="Times New Roman" w:eastAsia="Times New Roman" w:hAnsi="Times New Roman"/>
          <w:sz w:val="18"/>
          <w:szCs w:val="18"/>
          <w:u w:val="single" w:color="auto"/>
          <w:color w:val="auto"/>
        </w:rPr>
        <w:t>Indemnification and Contribution</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i w:val="1"/>
          <w:iCs w:val="1"/>
          <w:color w:val="auto"/>
        </w:rPr>
        <w:t>Indemnification of the Initial Purchasers.</w:t>
      </w:r>
      <w:r>
        <w:rPr>
          <w:rFonts w:ascii="Times New Roman" w:cs="Times New Roman" w:eastAsia="Times New Roman" w:hAnsi="Times New Roman"/>
          <w:sz w:val="18"/>
          <w:szCs w:val="18"/>
          <w:color w:val="auto"/>
        </w:rPr>
        <w:t xml:space="preserve"> The Company agrees to indemnify and hold harmless each Initial Purchaser, its affiliates, directors and officers and each person, if any, who controls such Initial Purchaser within the meaning of Section 15 of the Securities Act or Section 20 of the Exchange Act, from and against any and all losses, claims, damages and liabilities (including, without limitation, reasonable and documented legal fees and other reasonable and documented expenses incurred in connection with any suit, action or proceeding or any claim asserted, as such fees and expenses are incurred), joint or several, that arise out of, or are based upon, any untrue statement or alleged untrue statement of a material fact contained in the Offering Memorandum (or any amendment or supplement thereto), any road show as defined in Rule 433(h) under the Securities Act (a “road show”), any Marketing Materials or the Pricing Disclosure Package (including any Pricing Disclosure Package that has subsequently been amended), or caused by any omission or alleged omission to state therein a material fact necessary in order to make the statements therein, in the light of the circumstances under which they were made, not misleading, in each case except insofar as such losses, claims, damages or liabilities arise out of, or are based upon, any untrue statement or omission or alleged untrue statement or omission made in reliance upon and in conformity with any information relating to any Initial Purchaser furnished to the Company in writing by such Initial Purchaser through the Representative expressly for use therein, it being understood and agreed that the only such information furnished by any Initial Purchaser consists of the information described as such in subsection (b) below.</w:t>
      </w:r>
    </w:p>
    <w:p>
      <w:pPr>
        <w:spacing w:after="0" w:line="187"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i w:val="1"/>
          <w:iCs w:val="1"/>
          <w:color w:val="auto"/>
        </w:rPr>
        <w:t>Indemnification of the Company.</w:t>
      </w:r>
      <w:r>
        <w:rPr>
          <w:rFonts w:ascii="Times New Roman" w:cs="Times New Roman" w:eastAsia="Times New Roman" w:hAnsi="Times New Roman"/>
          <w:sz w:val="18"/>
          <w:szCs w:val="18"/>
          <w:color w:val="auto"/>
        </w:rPr>
        <w:t xml:space="preserve"> Each Initial Purchaser agrees, severally and not jointly, to indemnify and hold harmless the Company, its directors, its officers and each person, if any, who controls the Company within the meaning of Section 15 of the Securities Act or Section 20 of the Exchange Act to the same extent as the indemnity set forth in paragraph (a) above, but only with respect to any losses, claims, damages or liabilities that arise out of, or are based upon, any untrue statement or omission or alleged untrue statement or omission made in reliance upon and in conformity with any information relating to such Initial Purchaser furnished to the Company in writing by such Initial Purchaser through the Representative expressly for use in the Offering Memorandum (or any amendment or supplement thereto), any road show, any Marketing Materials or any Pricing Disclosure Package (including any Pricing Disclosure Package that has subsequently been amended), it being understood and agreed upon that the only such information furnished by any Initial Purchaser consists of the following information in the Offering Memorandum furnished on behalf of each Initial Purchaser: the marketing names of the Initial Purchasers set forth on such front and back cover pages; the legal names of the Initial Purchasers set forth in the table under the caption “Plan of Distribution;” and, under the caption “Plan of Distribution,” the information in the first sentence of the fourth paragraph and the information regarding stabilizing transactions contained in the first and second sentences of the eleventh paragraph, the first sentence of the twelfth paragraph and the fourth sentence of the thirteenth paragraph.</w:t>
      </w:r>
    </w:p>
    <w:p>
      <w:pPr>
        <w:sectPr>
          <w:pgSz w:w="11900" w:h="16838" w:orient="portrait"/>
          <w:cols w:equalWidth="0" w:num="1">
            <w:col w:w="11000"/>
          </w:cols>
          <w:pgMar w:left="440" w:top="270" w:right="459" w:bottom="1440" w:gutter="0" w:footer="0" w:header="0"/>
        </w:sectPr>
      </w:pPr>
    </w:p>
    <w:bookmarkStart w:id="30" w:name="page31"/>
    <w:bookmarkEnd w:id="30"/>
    <w:p>
      <w:pPr>
        <w:ind w:firstLine="44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  </w:t>
      </w:r>
      <w:r>
        <w:rPr>
          <w:rFonts w:ascii="Times New Roman" w:cs="Times New Roman" w:eastAsia="Times New Roman" w:hAnsi="Times New Roman"/>
          <w:sz w:val="18"/>
          <w:szCs w:val="18"/>
          <w:i w:val="1"/>
          <w:iCs w:val="1"/>
          <w:color w:val="auto"/>
        </w:rPr>
        <w:t>Notice and Procedures.</w:t>
      </w:r>
      <w:r>
        <w:rPr>
          <w:rFonts w:ascii="Times New Roman" w:cs="Times New Roman" w:eastAsia="Times New Roman" w:hAnsi="Times New Roman"/>
          <w:sz w:val="18"/>
          <w:szCs w:val="18"/>
          <w:color w:val="auto"/>
        </w:rPr>
        <w:t xml:space="preserve"> If any suit, action, proceeding (including any governmental or regulatory investigation), claim or demand shall be brought or asserted against any person in respect of which indemnification may be sought pursuant to either paragraph (a) or (b) above, such person (the “Indemnified Person”) shall promptly notify the person against whom such indemnification may be sought (the “Indemnifying Person”) in writing;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to notify the Indemnifying Person shall not relieve it from any liability that it may have under paragraph (a) or (b) above except to the extent that it has been materially prejudiced (including through the forfeiture of substantive rights or defenses) by such failure;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failure to notify the Indemnifying Person shall not relieve it from any liability that it may have to an Indemnified Person otherwise than under paragraph (a) or (b) above. If any such proceeding shall be brought or asserted against an Indemnified Person and it shall have notified the Indemnifying Person thereof, the Indemnifying Person shall retain counsel reasonably satisfactory to the Indemnified Person (who shall not, without the consent of the Indemnified Person, be counsel to the Indemnifying Person) to represent the Indemnified Person in such proceeding and shall pay the reasonable and documented fees and expenses of such counsel related to such proceeding, as incurred. In any such proceeding, any Indemnified Person shall have the right to retain its own counsel, but the fees and expenses of such counsel shall be at the expense of such Indemnified Person, unless (i) the Indemnifying Person and the Indemnified Person shall have mutually agreed to the contrary; (ii) the Indemnifying Person has failed within a reasonable time to retain counsel reasonably satisfactory to the Indemnified Person; (iii) the Indemnified Person shall have reasonably concluded that there may be legal defenses available to it that are different from or in addition to those available to the Indemnifying Person; or (iv) the named parties in any such proceeding (including any impleaded parties) include both the Indemnifying Person and the Indemnified Person and representation of both parties by the same counsel would be inappropriate due to actual or potential differing interest between them. It is understood and agreed that the Indemnifying Person shall not, in connection with any proceeding or related proceedings in the same jurisdiction, be liable for the reasonable and documented fees and expenses of more than one separate firm (in addition to any local counsel) for all Indemnified Persons, and that all such reasonable and documented fees and expenses shall be paid or reimbursed as they are incurred. Any such separate firm for any Initial Purchaser, its affiliates, directors and officers and any control persons of such Initial Purchaser shall be designated in writing by the Representative and any such separate firm for the Company, its directors, its officers and any control persons of the Company shall be designated in writing by the Company. The Indemnifying Person shall not be liable for any settlement of any proceeding effected without its written consent, but if settled with such consent or if there be a final judgment for the plaintiff, the Indemnifying Person agrees to indemnify each Indemnified Person from and against any loss or liability by reason of such settlement or judgment. Notwithstanding the foregoing sentence, if at any time an Indemnified Person shall have requested that an Indemnifying Person reimburse the Indemnified Person for reasonable and documented fees and expenses of counsel as contemplated by this paragraph, the Indemnifying Person shall be liable for any settlement of any proceeding effected without its written consent if (i) such settlement is entered into more than 30 days after receipt by the Indemnifying Person of such request and, (ii) the Indemnifying Person shall not have reimbursed the Indemnified Person in accordance with such request prior to the date of such settlement. No Indemnifying Person shall, without the written consent of the Indemnified Person, effect any settlement of any pending or threatened proceeding in respect of which any Indemnified Person is or could have</w:t>
      </w:r>
    </w:p>
    <w:p>
      <w:pPr>
        <w:sectPr>
          <w:pgSz w:w="11900" w:h="16838" w:orient="portrait"/>
          <w:cols w:equalWidth="0" w:num="1">
            <w:col w:w="11000"/>
          </w:cols>
          <w:pgMar w:left="440" w:top="268" w:right="459" w:bottom="1440" w:gutter="0" w:footer="0" w:header="0"/>
        </w:sectPr>
      </w:pPr>
    </w:p>
    <w:bookmarkStart w:id="31" w:name="page32"/>
    <w:bookmarkEnd w:id="31"/>
    <w:p>
      <w:pPr>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been a party and indemnification could have been sought hereunder by such Indemnified Person, unless such settlement (x) includes an unconditional release of such Indemnified Person, in form and substance reasonably satisfactory to such Indemnified Person, from all liability on claims that are the subject matter of such proceeding and (y) does not include any statement as to or any admission of fault, culpability or a failure to act by or on behalf of any Indemnified Person.</w:t>
      </w:r>
    </w:p>
    <w:p>
      <w:pPr>
        <w:spacing w:after="0" w:line="178"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i w:val="1"/>
          <w:iCs w:val="1"/>
          <w:color w:val="auto"/>
        </w:rPr>
        <w:t>Contribution.</w:t>
      </w:r>
      <w:r>
        <w:rPr>
          <w:rFonts w:ascii="Times New Roman" w:cs="Times New Roman" w:eastAsia="Times New Roman" w:hAnsi="Times New Roman"/>
          <w:sz w:val="18"/>
          <w:szCs w:val="18"/>
          <w:color w:val="auto"/>
        </w:rPr>
        <w:t xml:space="preserve"> If the indemnification provided for in paragraphs (a) and (b) above is unavailable to an Indemnified Person or insufficient in respect of any losses, claims, damages or liabilities referred to therein, then each Indemnifying Person under such paragraph, in lieu of indemnifying such Indemnified Person thereunder, shall contribute to the amount paid or payable by such Indemnified Person as a result of such losses, claims, damages or liabilities (i) in such proportion as is appropriate to reflect the relative benefits received by the Company, on the one hand, and the Initial Purchasers on the other, from the offering of the Notes or (ii) if the allocation provided by clause (i) is not permitted by applicable law, in such proportion as is appropriate to reflect not only the relative benefits referred to in clause (i) but also the relative fault of the Company, on the one hand, and the Initial Purchasers on the other, in connection with the statements or omissions that resulted in such losses, claims, damages or liabilities, as well as any other relevant equitable considerations. The relative benefits received by the Company, on the one hand, and the Initial Purchasers on the other, shall be deemed to be in the same respective proportions as the net proceeds (before deducting expenses) received by the Company from the sale of the Notes and the total related discounts and commissions received by the Initial Purchasers in connection therewith, in each case as set forth in the table on the cover of the Offering Memorandum, bear to the aggregate offering price of the Notes. The relative fault of the Company, on the one hand, and the Initial Purchasers on the other, shall be determined by reference to, among other things, whether the untrue or alleged untrue statement of a material fact or the omission or alleged omission to state a material fact relates to information supplied by the Company or by the Initial Purchasers and the parties’ relative intent, knowledge, access to information and opportunity to correct or prevent such statement or omission. Notwithstanding any other provision in this Section 8, no party shall be entitled to indemnification or contribution under this Agreement in violation of Section 17(j) of the Investment Company Act.</w:t>
      </w:r>
    </w:p>
    <w:p>
      <w:pPr>
        <w:spacing w:after="0" w:line="195"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i w:val="1"/>
          <w:iCs w:val="1"/>
          <w:color w:val="auto"/>
        </w:rPr>
        <w:t>Limitation on Liability.</w:t>
      </w:r>
      <w:r>
        <w:rPr>
          <w:rFonts w:ascii="Times New Roman" w:cs="Times New Roman" w:eastAsia="Times New Roman" w:hAnsi="Times New Roman"/>
          <w:sz w:val="18"/>
          <w:szCs w:val="18"/>
          <w:color w:val="auto"/>
        </w:rPr>
        <w:t xml:space="preserve"> The Company and the Initial Purchasers agree that it would not be just and equitable if contribution pursuant to paragraph (d) above were determined by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allocation (even if the Initial Purchasers were treated as one entity for such purpose) or by any other method of allocation that does not take account of the equitable considerations referred to in paragraph (d) above. The amount paid or payable by an Indemnified Person as a result of the losses, claims, damages and liabilities referred to in paragraph (d) above shall be deemed to include, subject to the limitations set forth above, any reasonable and documented legal or other expenses incurred by such Indemnified Person in connection with any such action or claim. Notwithstanding the provisions of paragraphs (d) and (e) of this Section 8, in no event shall an Initial Purchaser be required to contribute any amount in excess of the amount by which the total related discounts and commissions received by such Initial Purchaser with respect to the offering of the Notes exceeds the amount of any damages that such Initial Purchaser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Initial Purchasers’ obligations to contribute pursuant to paragraphs (d) and (e) of this Section 8 are several in proportion to their respective purchase obligations hereunder and not joint.</w:t>
      </w:r>
    </w:p>
    <w:p>
      <w:pPr>
        <w:sectPr>
          <w:pgSz w:w="11900" w:h="16838" w:orient="portrait"/>
          <w:cols w:equalWidth="0" w:num="1">
            <w:col w:w="10960"/>
          </w:cols>
          <w:pgMar w:left="440" w:top="270" w:right="499" w:bottom="1440" w:gutter="0" w:footer="0" w:header="0"/>
        </w:sectPr>
      </w:pPr>
    </w:p>
    <w:bookmarkStart w:id="32" w:name="page33"/>
    <w:bookmarkEnd w:id="32"/>
    <w:p>
      <w:pPr>
        <w:ind w:right="320" w:firstLine="440"/>
        <w:spacing w:after="0" w:line="28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(f)  </w:t>
      </w:r>
      <w:r>
        <w:rPr>
          <w:rFonts w:ascii="Times New Roman" w:cs="Times New Roman" w:eastAsia="Times New Roman" w:hAnsi="Times New Roman"/>
          <w:sz w:val="18"/>
          <w:szCs w:val="18"/>
          <w:i w:val="1"/>
          <w:iCs w:val="1"/>
          <w:color w:val="auto"/>
        </w:rPr>
        <w:t>Non-Exclusive Remedies.</w:t>
      </w:r>
      <w:r>
        <w:rPr>
          <w:rFonts w:ascii="Times New Roman" w:cs="Times New Roman" w:eastAsia="Times New Roman" w:hAnsi="Times New Roman"/>
          <w:sz w:val="18"/>
          <w:szCs w:val="18"/>
          <w:color w:val="auto"/>
        </w:rPr>
        <w:t xml:space="preserve"> The remedies provided for in this Section 8 paragraphs (a) through (e) are not exclusive and shall not limit any rights or remedies which may otherwise be available to any Indemnified Person at law or in equity.</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9.   </w:t>
      </w:r>
      <w:r>
        <w:rPr>
          <w:rFonts w:ascii="Times New Roman" w:cs="Times New Roman" w:eastAsia="Times New Roman" w:hAnsi="Times New Roman"/>
          <w:sz w:val="18"/>
          <w:szCs w:val="18"/>
          <w:u w:val="single" w:color="auto"/>
          <w:color w:val="auto"/>
        </w:rPr>
        <w:t>Effectiveness of Agreement</w:t>
      </w:r>
      <w:r>
        <w:rPr>
          <w:rFonts w:ascii="Times New Roman" w:cs="Times New Roman" w:eastAsia="Times New Roman" w:hAnsi="Times New Roman"/>
          <w:sz w:val="18"/>
          <w:szCs w:val="18"/>
          <w:color w:val="auto"/>
        </w:rPr>
        <w:t>. This Agreement shall become effective upon the execution and delivery hereof by the parties hereto.</w:t>
      </w:r>
    </w:p>
    <w:p>
      <w:pPr>
        <w:spacing w:after="0" w:line="22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10. 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may be terminated in the absolute discretion of the Representative, by notice to the Company, if after the execution and delivery of this Agreement and prior to the Closing Date (i) trading generally shall have been suspended or materially limited on or by either of the New York Stock Exchange or the NASDAQ Stock Market; (ii) trading of any securities issued or guaranteed by the Company shall have been suspended on any exchange or in any over-the-counter market; (iii) a general moratorium on commercial banking activities shall have been declared by U.S. federal or New York State authorities; or (iv) there shall have occurred any outbreak or escalation of hostilities or any change in financial markets or any calamity or crisis, either within or outside the United States, that, in the judgment of the Representative, is material and adverse and makes it impracticable or inadvisable to proceed with the offering, sale or delivery of the Notes on the Closing Date, on the terms and in the manner contemplated by this Agreement, the Pricing Disclosure Package and the Offering Memorandum.</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Defaulting Initial Purchaser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(a)  If, on the Closing Date, any Initial Purchaser defaults on its obligation to purchase the Notes that it has agreed to purchase hereunder on such date, the non-defaulting Initial Purchasers may in their discretion arrange for the purchase of such Notes by other persons satisfactory to the Company on the terms contained in this Agreement. If, within 36 hours after any such default by any Initial Purchaser, the non-defaulting Initial Purchasers do not arrange for the purchase of such Notes, then the Company shall be entitled to a further period of 36 hours within which to procure other persons reasonably satisfactory to the non-defaulting Initial Purchasers to purchase such Notes on such terms. If other persons become obligated or agree to purchase the Notes of a defaulting Initial Purchaser, either the non-defaulting Initial Purchasers or the Company may postpone the Closing Date for up to five full business days in order to effect any changes that in the opinion of counsel for the Company or counsel for the Initial Purchasers may be necessary in the Offering Memorandum or in any other document or arrangement, and the Company agrees to promptly prepare any amendment or supplement to the Offering Memorandum that effects any such changes. As used in this Agreement, the term “Initial Purchaser” includes, for all purposes of this Agreement unless the context otherwise requires, any person not listed in Schedule 1 hereto that, pursuant to this Section 11, purchases Notes that a defaulting Initial Purchaser agreed but failed to purchase.</w:t>
      </w:r>
    </w:p>
    <w:p>
      <w:pPr>
        <w:spacing w:after="0" w:line="192" w:lineRule="exact"/>
        <w:rPr>
          <w:sz w:val="20"/>
          <w:szCs w:val="20"/>
          <w:color w:val="auto"/>
        </w:rPr>
      </w:pPr>
    </w:p>
    <w:p>
      <w:pPr>
        <w:ind w:right="700" w:firstLine="440"/>
        <w:spacing w:after="0" w:line="282" w:lineRule="auto"/>
        <w:rPr>
          <w:sz w:val="20"/>
          <w:szCs w:val="20"/>
          <w:color w:val="auto"/>
        </w:rPr>
      </w:pPr>
      <w:r>
        <w:rPr>
          <w:rFonts w:ascii="Times New Roman" w:cs="Times New Roman" w:eastAsia="Times New Roman" w:hAnsi="Times New Roman"/>
          <w:sz w:val="18"/>
          <w:szCs w:val="18"/>
          <w:color w:val="auto"/>
        </w:rPr>
        <w:t>(b)  If, after giving effect to any arrangements for the purchase of the Notes of a defaulting Initial Purchaser or Initial Purchasers by the non-defaulting Initial Purchasers and the Company as provided in paragraph (a) above, the aggregate principal amount of Notes that</w:t>
      </w:r>
    </w:p>
    <w:p>
      <w:pPr>
        <w:sectPr>
          <w:pgSz w:w="11900" w:h="16838" w:orient="portrait"/>
          <w:cols w:equalWidth="0" w:num="1">
            <w:col w:w="10960"/>
          </w:cols>
          <w:pgMar w:left="440" w:top="268" w:right="499" w:bottom="1440" w:gutter="0" w:footer="0" w:header="0"/>
        </w:sectPr>
      </w:pPr>
    </w:p>
    <w:bookmarkStart w:id="33" w:name="page34"/>
    <w:bookmarkEnd w:id="33"/>
    <w:p>
      <w:pPr>
        <w:ind w:right="10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remain unpurchased on the Closing Date does not exceed one-eleventh of the aggregate principal amount of Notes to be purchased on such date, then the Company shall have the right to require each non-defaulting Initial Purchaser to purchase the aggregate principal amount of Notes that such Initial Purchaser agreed to purchase hereunder on such date plus such Initial Purchaser’s pro rata share (based on the aggregate principal amount of Notes that such Initial Purchaser agreed to purchase on such date) of the Notes of such defaulting Initial Purchaser or Initial Purchasers for which such arrangements have not been made.</w:t>
      </w:r>
    </w:p>
    <w:p>
      <w:pPr>
        <w:spacing w:after="0" w:line="183"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(c)  If, after giving effect to any arrangements for the purchase of the Notes of a defaulting Initial Purchaser or Initial Purchasers by the non-defaulting Initial Purchasers and the Company as provided in paragraph (a) above, the aggregate principal amount of Notes that remain unpurchased on the Closing Date exceeds one-eleventh of the aggregate principal amount of Notes to be purchased on such date, or if the Company shall not exercise the right described in paragraph (b) above, then this Agreement shall terminate without liability on the part of the non-defaulting Initial Purchasers. Any termination of this Agreement pursuant to this Section 11 shall be without liability on the part of the Company, except that the Company will continue to be liable for the payment of expenses as set forth in Section 12 hereof and except that the provisions of Section 8 hereof shall not terminate and shall remain in effect.</w:t>
      </w:r>
    </w:p>
    <w:p>
      <w:pPr>
        <w:spacing w:after="0" w:line="189"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(d)  Nothing contained herein shall relieve a defaulting Initial Purchaser of any liability it may have to the Company or any non-defaulting Initial Purchaser for damages caused by its default.</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Payment of Expenses</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(a)  Whether or not the transactions contemplated by this Agreement are consummated or this Agreement is terminated, the Company will pay or cause to be paid all costs and expenses incident to the performance of its obligations hereunder, including without limitation, (i) the costs incident to the authorization, issuance, sale, preparation and delivery of the Notes and any stamp, issuance, transfer or other similar taxes arising solely in connection with the transaction; (ii) the costs incident to the preparation and printing of the Preliminary Offering Memorandum, any Pricing Disclosure Package, any Marketing Materials and the Offering Memorandum (including all amendments and supplements thereto) and the distribution thereof; (iii) the fees and expenses of the Company’s counsel and independent accountants; (iv) the reasonable and documented fees and expenses incurred in connection with the registration or qualification of the Notes under the state or foreign securities or blue sky laws of such jurisdictions as the Representative may designate with the prior approval of the Company (such approval not to be unreasonably withheld, conditioned or delayed) (including the related reasonable and documented fees and expenses of counsel for the Initial Purchasers); (v) all expenses incurred by the Company in connection with any “road show” presentation to potential investors; and (vi) the fees and expenses of the Trustee with respect to the Notes. It is, however, understood that except as provided in this Section 12 or in Section 8 of this Agreement, the Initial Purchasers shall pay all of their own costs and expenses, including, without limitation, the fees and disbursements of their counsel, any advertising expenses connected with any offers they make.</w:t>
      </w:r>
    </w:p>
    <w:p>
      <w:pPr>
        <w:sectPr>
          <w:pgSz w:w="11900" w:h="16838" w:orient="portrait"/>
          <w:cols w:equalWidth="0" w:num="1">
            <w:col w:w="11000"/>
          </w:cols>
          <w:pgMar w:left="440" w:top="270" w:right="459" w:bottom="1440" w:gutter="0" w:footer="0" w:header="0"/>
        </w:sectPr>
      </w:pPr>
    </w:p>
    <w:bookmarkStart w:id="34" w:name="page35"/>
    <w:bookmarkEnd w:id="34"/>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  If (i) this Agreement is terminated pursuant to Section 10 (other than as a result of a termination pursuant to clauses (i), (iii) or (iv) of Section 10), (ii) the Company for any reason fails to tender the Notes for delivery to the Initial Purchasers (other than as a result of a termination pursuant to Section 11 or clauses (i), (iii) or (iv) of Section 10 or the default by one or more of the Initial Purchasers in its or their respective obligations hereunder) or (iii) the Initial Purchasers decline to purchase the Notes for any reason permitted under this Agreement, the Company agrees to reimburse the Initial Purchasers for all out-of-pocket costs and expenses (including the reasonable and documented fees and expenses of their counsel) reasonably incurred by the Initial Purchasers in connection with this Agreement and the offering contemplated hereby.</w:t>
      </w:r>
    </w:p>
    <w:p>
      <w:pPr>
        <w:spacing w:after="0" w:line="187"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Persons Entitled to Benefit of Agreement</w:t>
      </w:r>
      <w:r>
        <w:rPr>
          <w:rFonts w:ascii="Times New Roman" w:cs="Times New Roman" w:eastAsia="Times New Roman" w:hAnsi="Times New Roman"/>
          <w:sz w:val="18"/>
          <w:szCs w:val="18"/>
          <w:color w:val="auto"/>
        </w:rPr>
        <w:t>. This Agreement shall inure to the benefit of and be binding upon the parties hereto and their respective successors and the officers and directors and any controlling persons referred to in Section 8 hereof. Nothing in this Agreement is intended or shall be construed to give any other person any legal or equitable right, remedy or claim under or in respect of this Agreement or any provision contained herein. No purchaser of Notes from any Initial Purchaser shall be deemed to be a successor merely by reason of such purchase.</w:t>
      </w:r>
    </w:p>
    <w:p>
      <w:pPr>
        <w:spacing w:after="0" w:line="180" w:lineRule="exact"/>
        <w:rPr>
          <w:sz w:val="20"/>
          <w:szCs w:val="20"/>
          <w:color w:val="auto"/>
        </w:rPr>
      </w:pPr>
    </w:p>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respective indemnities, rights of contribution, representations, warranties and agreements of the Company, the Adviser and the Initial Purchasers contained in this Agreement or made by or on behalf of the Company, the Adviser or the Initial Purchasers pursuant to this Agreement or any certificate delivered pursuant hereto shall survive the delivery of and payment for the Notes and shall remain in full force and effect, regardless of any termination of this Agreement or any investigation made by or on behalf of the Company, the Adviser or the Initial Purchasers.</w:t>
      </w:r>
    </w:p>
    <w:p>
      <w:pPr>
        <w:spacing w:after="0" w:line="180"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u w:val="single" w:color="auto"/>
          <w:color w:val="auto"/>
        </w:rPr>
        <w:t>Certain Defined Terms</w:t>
      </w:r>
      <w:r>
        <w:rPr>
          <w:rFonts w:ascii="Times New Roman" w:cs="Times New Roman" w:eastAsia="Times New Roman" w:hAnsi="Times New Roman"/>
          <w:sz w:val="18"/>
          <w:szCs w:val="18"/>
          <w:color w:val="auto"/>
        </w:rPr>
        <w:t>. For purposes of this Agreement, (a) except where otherwise expressly provided, the term “affiliate” has the meaning set forth in Rule 405 under the Securities Act; (b) the term “business day” means any day other than a day on which banks are permitted or required to be closed in New York City; and (c) the term “subsidiary” has the meaning set forth in Rule 405 under the Securities Act.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16.   </w:t>
      </w:r>
      <w:r>
        <w:rPr>
          <w:rFonts w:ascii="Times New Roman" w:cs="Times New Roman" w:eastAsia="Times New Roman" w:hAnsi="Times New Roman"/>
          <w:sz w:val="18"/>
          <w:szCs w:val="18"/>
          <w:u w:val="single" w:color="auto"/>
          <w:color w:val="auto"/>
        </w:rPr>
        <w:t>Recognition of the U.S. Special Resolution Regimes.</w:t>
      </w:r>
    </w:p>
    <w:p>
      <w:pPr>
        <w:spacing w:after="0" w:line="225" w:lineRule="exact"/>
        <w:rPr>
          <w:sz w:val="20"/>
          <w:szCs w:val="20"/>
          <w:color w:val="auto"/>
        </w:rPr>
      </w:pPr>
    </w:p>
    <w:p>
      <w:pPr>
        <w:jc w:val="both"/>
        <w:ind w:right="20" w:firstLine="440"/>
        <w:spacing w:after="0" w:line="261" w:lineRule="auto"/>
        <w:rPr>
          <w:sz w:val="20"/>
          <w:szCs w:val="20"/>
          <w:color w:val="auto"/>
        </w:rPr>
      </w:pPr>
      <w:r>
        <w:rPr>
          <w:rFonts w:ascii="Times New Roman" w:cs="Times New Roman" w:eastAsia="Times New Roman" w:hAnsi="Times New Roman"/>
          <w:sz w:val="18"/>
          <w:szCs w:val="18"/>
          <w:color w:val="auto"/>
        </w:rPr>
        <w:t>(a)  In the event that any Initial Purchaser that is a Covered Entity becomes subject to a proceeding under a U.S. Special Resolution Regime, the transfer from such Initial Purchaser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80"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(b)  In the event that any Initial Purchaser that is a Covered Entity or a BHC Act Affiliate of such Initial Purchaser becomes subject to a proceeding under a U.S. Special Resolution Regime, Default Rights under this Agreement that may be exercised against such Initial Purchaser r are permitted to be exercised to no greater extent than such Default Rights could be exercised under the U.S. Special Resolution Regime if this Agreement were governed by the laws of the United States or a state of the United States.</w:t>
      </w:r>
    </w:p>
    <w:p>
      <w:pPr>
        <w:sectPr>
          <w:pgSz w:w="11900" w:h="16838" w:orient="portrait"/>
          <w:cols w:equalWidth="0" w:num="1">
            <w:col w:w="11000"/>
          </w:cols>
          <w:pgMar w:left="440" w:top="270" w:right="459" w:bottom="1440" w:gutter="0" w:footer="0" w:header="0"/>
        </w:sectPr>
      </w:pPr>
    </w:p>
    <w:bookmarkStart w:id="35" w:name="page36"/>
    <w:bookmarkEnd w:id="35"/>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  For purposes of this Section 16, a “BHC Act Affiliate” has the meaning assigned to the term “affiliate” in, and shall be interpreted in accordance with, 12 U.S.C. § 1841(k). “Covered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“Default Right” has the meaning assigned to that term in, and shall be interpreted in accordance with, 12 C.F.R. §§ 252.81, 47.2 or 382.1, as applicable. “U.S. Special Resolution Regime” means each of</w:t>
      </w:r>
    </w:p>
    <w:p>
      <w:pPr>
        <w:spacing w:after="0" w:line="3" w:lineRule="exact"/>
        <w:rPr>
          <w:sz w:val="20"/>
          <w:szCs w:val="20"/>
          <w:color w:val="auto"/>
        </w:rPr>
      </w:pPr>
    </w:p>
    <w:p>
      <w:pPr>
        <w:ind w:left="4" w:right="120" w:hanging="4"/>
        <w:spacing w:after="0" w:line="260" w:lineRule="auto"/>
        <w:tabs>
          <w:tab w:leader="none" w:pos="21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Deposit Insurance Act and the regulations promulgated thereunder and (ii) Title II of the Dodd-Frank Wall Street Reform and Consumer Protection Act and the regulations promulgated thereunder.</w:t>
      </w:r>
    </w:p>
    <w:p>
      <w:pPr>
        <w:spacing w:after="0" w:line="18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17. 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4"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i w:val="1"/>
          <w:iCs w:val="1"/>
          <w:color w:val="auto"/>
        </w:rPr>
        <w:t>Notices</w:t>
      </w:r>
      <w:r>
        <w:rPr>
          <w:rFonts w:ascii="Times New Roman" w:cs="Times New Roman" w:eastAsia="Times New Roman" w:hAnsi="Times New Roman"/>
          <w:sz w:val="18"/>
          <w:szCs w:val="18"/>
          <w:color w:val="auto"/>
        </w:rPr>
        <w:t>. All notices and other communications hereunder shall be in writing and shall be deemed to have been duly given if mailed or transmitted and confirmed by any standard form of telecommunication. Notices to the Initial Purchasers shall be given to the Representative c/o BofA Securities, Inc., 114 W 47th St., NY8-114-07-01, New York, New York 10036, Facsimile: (646) 855-5958, Attention: High Grade Transaction Management/Legal. Notices to the Company or the Adviser shall be given to either of them at Sixth Street Lending Partners, 345 California Street, Suite 3300, San Francisco, California 94104 (fax: (415) 486-5929), Attention: Joshua Peck.</w:t>
      </w:r>
    </w:p>
    <w:p>
      <w:pPr>
        <w:spacing w:after="0" w:line="183" w:lineRule="exact"/>
        <w:rPr>
          <w:sz w:val="20"/>
          <w:szCs w:val="20"/>
          <w:color w:val="auto"/>
        </w:rPr>
      </w:pPr>
    </w:p>
    <w:p>
      <w:pPr>
        <w:ind w:left="4" w:right="140" w:firstLine="440"/>
        <w:spacing w:after="0" w:line="267"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i w:val="1"/>
          <w:iCs w:val="1"/>
          <w:color w:val="auto"/>
        </w:rPr>
        <w:t>USA Patriot Act</w:t>
      </w:r>
      <w:r>
        <w:rPr>
          <w:rFonts w:ascii="Times New Roman" w:cs="Times New Roman" w:eastAsia="Times New Roman" w:hAnsi="Times New Roman"/>
          <w:sz w:val="18"/>
          <w:szCs w:val="18"/>
          <w:color w:val="auto"/>
        </w:rPr>
        <w:t>. In accordance with the requirements of the USA Patriot Act (Title III of Pub. L, 107-56 (signed into law October 26, 2001)), the Initial Purchasers are required to obtain, verify and record information that identifies their clients, which may include the name and address of their clients, as well as other information that will allow the Initial Purchasers to properly identify their clients.</w:t>
      </w:r>
    </w:p>
    <w:p>
      <w:pPr>
        <w:spacing w:after="0" w:line="173" w:lineRule="exact"/>
        <w:rPr>
          <w:sz w:val="20"/>
          <w:szCs w:val="20"/>
          <w:color w:val="auto"/>
        </w:rPr>
      </w:pPr>
    </w:p>
    <w:p>
      <w:pPr>
        <w:ind w:left="4" w:right="180" w:firstLine="440"/>
        <w:spacing w:after="0" w:line="284"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i w:val="1"/>
          <w:iCs w:val="1"/>
          <w:color w:val="auto"/>
        </w:rPr>
        <w:t>Governing Law.</w:t>
      </w:r>
      <w:r>
        <w:rPr>
          <w:rFonts w:ascii="Times New Roman" w:cs="Times New Roman" w:eastAsia="Times New Roman" w:hAnsi="Times New Roman"/>
          <w:sz w:val="18"/>
          <w:szCs w:val="18"/>
          <w:color w:val="auto"/>
        </w:rPr>
        <w:t xml:space="preserve"> This Agreement and any claim, controversy or dispute arising under or related to this Agreement shall be governed by and construed in accordance with the laws of the State of New York applicable to agreements made and to be performed in such state.</w:t>
      </w:r>
    </w:p>
    <w:p>
      <w:pPr>
        <w:spacing w:after="0" w:line="158" w:lineRule="exact"/>
        <w:rPr>
          <w:sz w:val="20"/>
          <w:szCs w:val="20"/>
          <w:color w:val="auto"/>
        </w:rPr>
      </w:pPr>
    </w:p>
    <w:p>
      <w:pPr>
        <w:ind w:left="4" w:righ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i w:val="1"/>
          <w:iCs w:val="1"/>
          <w:color w:val="auto"/>
        </w:rPr>
        <w:t>Counterparts.</w:t>
      </w:r>
      <w:r>
        <w:rPr>
          <w:rFonts w:ascii="Times New Roman" w:cs="Times New Roman" w:eastAsia="Times New Roman" w:hAnsi="Times New Roman"/>
          <w:sz w:val="18"/>
          <w:szCs w:val="18"/>
          <w:color w:val="auto"/>
        </w:rPr>
        <w:t xml:space="preserve"> This Agreement may be signed in one or more counterparts, each of which shall constitute an original and all of which together shall constitute one and the same agreement. Delivery of this Agreement by one party to the other may be made by facsimile, electronic mail (including any electronic signature complying with the New York Electronic Signatures and Records Act (N.Y. State Tech. §§ 301-309), as amended from time to time, or other applicable law) or other transmission method, and the parties hereto agree that any counterpart so delivered shall be deemed to have been duly and validly delivered and be valid and effective for all purposes.</w:t>
      </w:r>
    </w:p>
    <w:p>
      <w:pPr>
        <w:sectPr>
          <w:pgSz w:w="11900" w:h="16838" w:orient="portrait"/>
          <w:cols w:equalWidth="0" w:num="1">
            <w:col w:w="11004"/>
          </w:cols>
          <w:pgMar w:left="436" w:top="270" w:right="459" w:bottom="1440" w:gutter="0" w:footer="0" w:header="0"/>
        </w:sectPr>
      </w:pPr>
    </w:p>
    <w:bookmarkStart w:id="36" w:name="page37"/>
    <w:bookmarkEnd w:id="36"/>
    <w:p>
      <w:pPr>
        <w:ind w:right="500" w:firstLine="440"/>
        <w:spacing w:after="0" w:line="28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  </w:t>
      </w:r>
      <w:r>
        <w:rPr>
          <w:rFonts w:ascii="Times New Roman" w:cs="Times New Roman" w:eastAsia="Times New Roman" w:hAnsi="Times New Roman"/>
          <w:sz w:val="18"/>
          <w:szCs w:val="18"/>
          <w:i w:val="1"/>
          <w:iCs w:val="1"/>
          <w:color w:val="auto"/>
        </w:rPr>
        <w:t>Amendments or Waivers.</w:t>
      </w:r>
      <w:r>
        <w:rPr>
          <w:rFonts w:ascii="Times New Roman" w:cs="Times New Roman" w:eastAsia="Times New Roman" w:hAnsi="Times New Roman"/>
          <w:sz w:val="18"/>
          <w:szCs w:val="18"/>
          <w:color w:val="auto"/>
        </w:rPr>
        <w:t xml:space="preserve"> No amendment or waiver of any provision of this Agreement, nor any consent or approval to any departure therefrom, shall in any event be effective unless the same shall be in writing and signed by the parties hereto.</w:t>
      </w:r>
    </w:p>
    <w:p>
      <w:pPr>
        <w:spacing w:after="0" w:line="158" w:lineRule="exact"/>
        <w:rPr>
          <w:sz w:val="20"/>
          <w:szCs w:val="20"/>
          <w:color w:val="auto"/>
        </w:rPr>
      </w:pPr>
    </w:p>
    <w:p>
      <w:pPr>
        <w:ind w:firstLine="440"/>
        <w:spacing w:after="0" w:line="284"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i w:val="1"/>
          <w:iCs w:val="1"/>
          <w:color w:val="auto"/>
        </w:rPr>
        <w:t>Headings.</w:t>
      </w:r>
      <w:r>
        <w:rPr>
          <w:rFonts w:ascii="Times New Roman" w:cs="Times New Roman" w:eastAsia="Times New Roman" w:hAnsi="Times New Roman"/>
          <w:sz w:val="18"/>
          <w:szCs w:val="18"/>
          <w:color w:val="auto"/>
        </w:rPr>
        <w:t xml:space="preserve"> The headings herein are included for convenience of reference only and are not intended to be part of, or to affect the meaning or interpretation of, this Agreement.</w:t>
      </w:r>
    </w:p>
    <w:p>
      <w:pPr>
        <w:spacing w:after="0" w:line="158" w:lineRule="exact"/>
        <w:rPr>
          <w:sz w:val="20"/>
          <w:szCs w:val="20"/>
          <w:color w:val="auto"/>
        </w:rPr>
      </w:pPr>
    </w:p>
    <w:p>
      <w:pPr>
        <w:ind w:firstLine="440"/>
        <w:spacing w:after="0" w:line="267" w:lineRule="auto"/>
        <w:rPr>
          <w:sz w:val="20"/>
          <w:szCs w:val="20"/>
          <w:color w:val="auto"/>
        </w:rPr>
      </w:pP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i w:val="1"/>
          <w:iCs w:val="1"/>
          <w:color w:val="auto"/>
        </w:rPr>
        <w:t>Authority of the Representative.</w:t>
      </w:r>
      <w:r>
        <w:rPr>
          <w:rFonts w:ascii="Times New Roman" w:cs="Times New Roman" w:eastAsia="Times New Roman" w:hAnsi="Times New Roman"/>
          <w:sz w:val="18"/>
          <w:szCs w:val="18"/>
          <w:color w:val="auto"/>
        </w:rPr>
        <w:t xml:space="preserve"> The Representative is duly authorized to act hereunder on behalf of the other Initial Purchasers. Any action by the Initial Purchasers hereunder may be taken by the Representative on behalf of the Initial Purchasers, and any such action taken by the Representative shall be binding on all the Initial Purchasers.</w:t>
      </w:r>
    </w:p>
    <w:p>
      <w:pPr>
        <w:spacing w:after="0" w:line="17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7"/>
          <w:szCs w:val="17"/>
          <w:color w:val="auto"/>
        </w:rPr>
        <w:t>If the foregoing is in accordance with your understanding, please indicate your acceptance of this Agreement by signing in the space provided below.</w:t>
      </w:r>
    </w:p>
    <w:p>
      <w:pPr>
        <w:spacing w:after="0" w:line="23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ectPr>
          <w:pgSz w:w="11900" w:h="16838" w:orient="portrait"/>
          <w:cols w:equalWidth="0" w:num="1">
            <w:col w:w="10860"/>
          </w:cols>
          <w:pgMar w:left="440" w:top="268" w:right="599" w:bottom="1440" w:gutter="0" w:footer="0" w:header="0"/>
        </w:sectPr>
      </w:pPr>
    </w:p>
    <w:bookmarkStart w:id="37" w:name="page38"/>
    <w:bookmarkEnd w:id="37"/>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Very truly yours,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SIXTH STREET LENDING PARTNERS</w:t>
      </w:r>
    </w:p>
    <w:p>
      <w:pPr>
        <w:spacing w:after="0" w:line="225"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Ian Simmonds</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Ian Simmonds</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SIXTH STREET LENDING PARTNERS ADVISERS, LLC</w:t>
      </w:r>
    </w:p>
    <w:p>
      <w:pPr>
        <w:spacing w:after="0" w:line="237"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Ian Simmonds</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Ian Simmonds</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w:t>
            </w:r>
          </w:p>
        </w:tc>
      </w:tr>
    </w:tbl>
    <w:p>
      <w:pPr>
        <w:sectPr>
          <w:pgSz w:w="11900" w:h="16838" w:orient="portrait"/>
          <w:cols w:equalWidth="0" w:num="1">
            <w:col w:w="10020"/>
          </w:cols>
          <w:pgMar w:left="1440" w:top="270" w:right="4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BOFA SECURITIES,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Acting severally on behalf of themselves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several Initial Purchasers listed in Schedule 1 hereto.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Zara Kwan</w:t>
            </w:r>
          </w:p>
        </w:tc>
      </w:tr>
      <w:tr>
        <w:trPr>
          <w:trHeight w:val="205"/>
        </w:trPr>
        <w:tc>
          <w:tcPr>
            <w:tcW w:w="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Zara Kwan</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Managing Director</w:t>
            </w:r>
          </w:p>
        </w:tc>
      </w:tr>
    </w:tbl>
    <w:p>
      <w:pPr>
        <w:sectPr>
          <w:pgSz w:w="11900" w:h="16838" w:orient="portrait"/>
          <w:cols w:equalWidth="0" w:num="1">
            <w:col w:w="10019"/>
          </w:cols>
          <w:pgMar w:left="440" w:top="270" w:right="1440"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Purchase Price for the Notes to be paid by the several Initial Purchasers shall be 98.842% of the aggregate principal amount thereof.</w:t>
      </w:r>
    </w:p>
    <w:p>
      <w:pPr>
        <w:spacing w:after="0" w:line="235" w:lineRule="exact"/>
        <w:rPr>
          <w:sz w:val="20"/>
          <w:szCs w:val="20"/>
          <w:color w:val="auto"/>
        </w:rPr>
      </w:pPr>
    </w:p>
    <w:tbl>
      <w:tblPr>
        <w:tblLayout w:type="fixed"/>
        <w:tblInd w:w="1760" w:type="dxa"/>
        <w:tblCellMar>
          <w:top w:w="0" w:type="dxa"/>
          <w:left w:w="0" w:type="dxa"/>
          <w:bottom w:w="0" w:type="dxa"/>
          <w:right w:w="0" w:type="dxa"/>
        </w:tblCellMar>
      </w:tblPr>
      <w:tr>
        <w:trPr>
          <w:trHeight w:val="161"/>
        </w:trPr>
        <w:tc>
          <w:tcPr>
            <w:tcW w:w="9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Initial Purchaser</w:t>
            </w:r>
          </w:p>
        </w:tc>
        <w:tc>
          <w:tcPr>
            <w:tcW w:w="5180" w:type="dxa"/>
            <w:vAlign w:val="bottom"/>
            <w:vMerge w:val="restart"/>
          </w:tcPr>
          <w:p>
            <w:pPr>
              <w:spacing w:after="0"/>
              <w:rPr>
                <w:sz w:val="13"/>
                <w:szCs w:val="13"/>
                <w:color w:val="auto"/>
              </w:rPr>
            </w:pPr>
          </w:p>
        </w:tc>
        <w:tc>
          <w:tcPr>
            <w:tcW w:w="1340" w:type="dxa"/>
            <w:vAlign w:val="bottom"/>
            <w:gridSpan w:val="4"/>
          </w:tcPr>
          <w:p>
            <w:pPr>
              <w:ind w:left="60"/>
              <w:spacing w:after="0"/>
              <w:rPr>
                <w:sz w:val="20"/>
                <w:szCs w:val="20"/>
                <w:color w:val="auto"/>
              </w:rPr>
            </w:pPr>
            <w:r>
              <w:rPr>
                <w:rFonts w:ascii="Times New Roman" w:cs="Times New Roman" w:eastAsia="Times New Roman" w:hAnsi="Times New Roman"/>
                <w:sz w:val="14"/>
                <w:szCs w:val="14"/>
                <w:color w:val="auto"/>
              </w:rPr>
              <w:t>Principal Amount of</w:t>
            </w:r>
          </w:p>
        </w:tc>
        <w:tc>
          <w:tcPr>
            <w:tcW w:w="0" w:type="dxa"/>
            <w:vAlign w:val="bottom"/>
          </w:tcPr>
          <w:p>
            <w:pPr>
              <w:spacing w:after="0"/>
              <w:rPr>
                <w:sz w:val="1"/>
                <w:szCs w:val="1"/>
                <w:color w:val="auto"/>
              </w:rPr>
            </w:pPr>
          </w:p>
        </w:tc>
      </w:tr>
      <w:tr>
        <w:trPr>
          <w:trHeight w:val="178"/>
        </w:trPr>
        <w:tc>
          <w:tcPr>
            <w:tcW w:w="960" w:type="dxa"/>
            <w:vAlign w:val="bottom"/>
            <w:tcBorders>
              <w:bottom w:val="single" w:sz="8" w:color="auto"/>
            </w:tcBorders>
            <w:vMerge w:val="continue"/>
          </w:tcPr>
          <w:p>
            <w:pPr>
              <w:spacing w:after="0"/>
              <w:rPr>
                <w:sz w:val="15"/>
                <w:szCs w:val="15"/>
                <w:color w:val="auto"/>
              </w:rPr>
            </w:pPr>
          </w:p>
        </w:tc>
        <w:tc>
          <w:tcPr>
            <w:tcW w:w="5180" w:type="dxa"/>
            <w:vAlign w:val="bottom"/>
            <w:vMerge w:val="continue"/>
          </w:tcPr>
          <w:p>
            <w:pPr>
              <w:spacing w:after="0"/>
              <w:rPr>
                <w:sz w:val="15"/>
                <w:szCs w:val="15"/>
                <w:color w:val="auto"/>
              </w:rPr>
            </w:pPr>
          </w:p>
        </w:tc>
        <w:tc>
          <w:tcPr>
            <w:tcW w:w="1340" w:type="dxa"/>
            <w:vAlign w:val="bottom"/>
            <w:gridSpan w:val="4"/>
          </w:tcPr>
          <w:p>
            <w:pPr>
              <w:spacing w:after="0" w:line="158" w:lineRule="exact"/>
              <w:rPr>
                <w:sz w:val="20"/>
                <w:szCs w:val="20"/>
                <w:color w:val="auto"/>
              </w:rPr>
            </w:pPr>
            <w:r>
              <w:rPr>
                <w:rFonts w:ascii="Times New Roman" w:cs="Times New Roman" w:eastAsia="Times New Roman" w:hAnsi="Times New Roman"/>
                <w:sz w:val="14"/>
                <w:szCs w:val="14"/>
                <w:color w:val="auto"/>
              </w:rPr>
              <w:t>Notes to be Purchased</w:t>
            </w:r>
          </w:p>
        </w:tc>
        <w:tc>
          <w:tcPr>
            <w:tcW w:w="0" w:type="dxa"/>
            <w:vAlign w:val="bottom"/>
          </w:tcPr>
          <w:p>
            <w:pPr>
              <w:spacing w:after="0"/>
              <w:rPr>
                <w:sz w:val="1"/>
                <w:szCs w:val="1"/>
                <w:color w:val="auto"/>
              </w:rPr>
            </w:pPr>
          </w:p>
        </w:tc>
      </w:tr>
      <w:tr>
        <w:trPr>
          <w:trHeight w:val="203"/>
        </w:trPr>
        <w:tc>
          <w:tcPr>
            <w:tcW w:w="61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BofA Securities, Inc.</w:t>
            </w:r>
          </w:p>
        </w:tc>
        <w:tc>
          <w:tcPr>
            <w:tcW w:w="2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18,750,000</w:t>
            </w: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J.P. Morgan Securities LLC</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18,750,000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RBC Capital Markets, LLC</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18,750,000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SMBC Nikko Securities America, Inc.</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18,750,000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Barclays Capital Inc.</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9,000,000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Mizuho Securities USA LLC</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Truist Securities, Inc.</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9,000,000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Wells Fargo Securities, LLC</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BNP Paribas Securities Corp.</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6,750,000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Goldman Sachs &amp; Co. LLC</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6,750,000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HSBC Securities (USA) Inc.</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6,750,000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ING Financial Markets LLC</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6,750,000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Morgan Stanley &amp; Co. LLC</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6,750,000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Keefe, Bruyette &amp; Woods, Inc.</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3,750,000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 Seelaus &amp; Co., LLC</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1,500,000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150,000,000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2</w:t>
      </w:r>
    </w:p>
    <w:p>
      <w:pPr>
        <w:spacing w:after="0" w:line="252" w:lineRule="exact"/>
        <w:rPr>
          <w:sz w:val="20"/>
          <w:szCs w:val="20"/>
          <w:color w:val="auto"/>
        </w:rPr>
      </w:pPr>
    </w:p>
    <w:p>
      <w:pPr>
        <w:ind w:left="424" w:hanging="424"/>
        <w:spacing w:after="0"/>
        <w:tabs>
          <w:tab w:leader="none" w:pos="4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Term Sheet, dated June 10, 2024, containing the terms governing the Notes, substantially in the form of Annex A to this Agreement.</w:t>
      </w:r>
    </w:p>
    <w:p>
      <w:pPr>
        <w:sectPr>
          <w:pgSz w:w="11900" w:h="16838" w:orient="portrait"/>
          <w:cols w:equalWidth="0" w:num="1">
            <w:col w:w="11024"/>
          </w:cols>
          <w:pgMar w:left="436" w:top="270" w:right="4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3</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Subsidiaries of the Company</w:t>
      </w:r>
    </w:p>
    <w:p>
      <w:pPr>
        <w:spacing w:after="0" w:line="252" w:lineRule="exact"/>
        <w:rPr>
          <w:sz w:val="20"/>
          <w:szCs w:val="20"/>
          <w:color w:val="auto"/>
        </w:rPr>
      </w:pPr>
    </w:p>
    <w:p>
      <w:pPr>
        <w:ind w:left="424" w:hanging="424"/>
        <w:spacing w:after="0"/>
        <w:tabs>
          <w:tab w:leader="none" w:pos="4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SSLP Lending, LLC</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LP Holding II, LLC</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Lending Partners Sub, LLC</w:t>
      </w:r>
    </w:p>
    <w:p>
      <w:pPr>
        <w:sectPr>
          <w:pgSz w:w="11900" w:h="16838" w:orient="portrait"/>
          <w:cols w:equalWidth="0" w:num="1">
            <w:col w:w="11024"/>
          </w:cols>
          <w:pgMar w:left="436" w:top="270" w:right="4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Form of Registration Rights Agreement</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b w:val="1"/>
          <w:bCs w:val="1"/>
          <w:color w:val="auto"/>
        </w:rPr>
        <w:t>REGISTRATION RIGHTS AGREEMENT</w:t>
      </w:r>
    </w:p>
    <w:p>
      <w:pPr>
        <w:spacing w:after="0" w:line="24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by and among</w:t>
      </w:r>
    </w:p>
    <w:p>
      <w:pPr>
        <w:spacing w:after="0" w:line="22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Sixth Street Lending Partners,</w:t>
      </w:r>
    </w:p>
    <w:p>
      <w:pPr>
        <w:spacing w:after="0" w:line="22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225"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color w:val="auto"/>
        </w:rPr>
        <w:t>Dated as of June 17, 2024</w:t>
      </w:r>
    </w:p>
    <w:p>
      <w:pPr>
        <w:sectPr>
          <w:pgSz w:w="11900" w:h="16838" w:orient="portrait"/>
          <w:cols w:equalWidth="0" w:num="1">
            <w:col w:w="10020"/>
          </w:cols>
          <w:pgMar w:left="1440" w:top="266" w:right="439" w:bottom="1440" w:gutter="0" w:footer="0" w:header="0"/>
        </w:sectPr>
      </w:pPr>
    </w:p>
    <w:bookmarkStart w:id="43" w:name="page44"/>
    <w:bookmarkEnd w:id="4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REGISTRATION RIGHTS AGREEMENT</w:t>
      </w:r>
    </w:p>
    <w:p>
      <w:pPr>
        <w:spacing w:after="0" w:line="225" w:lineRule="exact"/>
        <w:rPr>
          <w:sz w:val="20"/>
          <w:szCs w:val="20"/>
          <w:color w:val="auto"/>
        </w:rPr>
      </w:pPr>
    </w:p>
    <w:p>
      <w:pPr>
        <w:ind w:right="20" w:firstLine="440"/>
        <w:spacing w:after="0" w:line="262" w:lineRule="auto"/>
        <w:rPr>
          <w:sz w:val="20"/>
          <w:szCs w:val="20"/>
          <w:color w:val="auto"/>
        </w:rPr>
      </w:pPr>
      <w:r>
        <w:rPr>
          <w:rFonts w:ascii="Times New Roman" w:cs="Times New Roman" w:eastAsia="Times New Roman" w:hAnsi="Times New Roman"/>
          <w:sz w:val="18"/>
          <w:szCs w:val="18"/>
          <w:color w:val="auto"/>
        </w:rPr>
        <w:t>This Registration Rights Agreement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is made and entered into as of June 17, 2024, by and among Sixth Street Lending Partners, a Delaware statutory trust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BofA Securities, Inc., as the representative (the “</w:t>
      </w:r>
      <w:r>
        <w:rPr>
          <w:rFonts w:ascii="Times New Roman" w:cs="Times New Roman" w:eastAsia="Times New Roman" w:hAnsi="Times New Roman"/>
          <w:sz w:val="18"/>
          <w:szCs w:val="18"/>
          <w:b w:val="1"/>
          <w:bCs w:val="1"/>
          <w:i w:val="1"/>
          <w:iCs w:val="1"/>
          <w:color w:val="auto"/>
        </w:rPr>
        <w:t>Representative</w:t>
      </w:r>
      <w:r>
        <w:rPr>
          <w:rFonts w:ascii="Times New Roman" w:cs="Times New Roman" w:eastAsia="Times New Roman" w:hAnsi="Times New Roman"/>
          <w:sz w:val="18"/>
          <w:szCs w:val="18"/>
          <w:color w:val="auto"/>
        </w:rPr>
        <w:t>”) to the other several initial purchasers (collectively, the “</w:t>
      </w:r>
      <w:r>
        <w:rPr>
          <w:rFonts w:ascii="Times New Roman" w:cs="Times New Roman" w:eastAsia="Times New Roman" w:hAnsi="Times New Roman"/>
          <w:sz w:val="18"/>
          <w:szCs w:val="18"/>
          <w:b w:val="1"/>
          <w:bCs w:val="1"/>
          <w:i w:val="1"/>
          <w:iCs w:val="1"/>
          <w:color w:val="auto"/>
        </w:rPr>
        <w:t>Initial Purchasers</w:t>
      </w:r>
      <w:r>
        <w:rPr>
          <w:rFonts w:ascii="Times New Roman" w:cs="Times New Roman" w:eastAsia="Times New Roman" w:hAnsi="Times New Roman"/>
          <w:sz w:val="18"/>
          <w:szCs w:val="18"/>
          <w:color w:val="auto"/>
        </w:rPr>
        <w:t>”) of $150,000,000 aggregate principal amount of the Company’s 6.500% Notes due 2029 (the “</w:t>
      </w:r>
      <w:r>
        <w:rPr>
          <w:rFonts w:ascii="Times New Roman" w:cs="Times New Roman" w:eastAsia="Times New Roman" w:hAnsi="Times New Roman"/>
          <w:sz w:val="18"/>
          <w:szCs w:val="18"/>
          <w:b w:val="1"/>
          <w:bCs w:val="1"/>
          <w:i w:val="1"/>
          <w:iCs w:val="1"/>
          <w:color w:val="auto"/>
        </w:rPr>
        <w:t>Notes</w:t>
      </w:r>
      <w:r>
        <w:rPr>
          <w:rFonts w:ascii="Times New Roman" w:cs="Times New Roman" w:eastAsia="Times New Roman" w:hAnsi="Times New Roman"/>
          <w:sz w:val="18"/>
          <w:szCs w:val="18"/>
          <w:color w:val="auto"/>
        </w:rPr>
        <w:t>”) listed on Schedule 1 to the Purchase Agreement (as defined below).</w:t>
      </w:r>
    </w:p>
    <w:p>
      <w:pPr>
        <w:spacing w:after="0" w:line="176" w:lineRule="exact"/>
        <w:rPr>
          <w:sz w:val="20"/>
          <w:szCs w:val="20"/>
          <w:color w:val="auto"/>
        </w:rPr>
      </w:pPr>
    </w:p>
    <w:p>
      <w:pPr>
        <w:ind w:right="160" w:firstLine="440"/>
        <w:spacing w:after="0" w:line="259" w:lineRule="auto"/>
        <w:rPr>
          <w:sz w:val="20"/>
          <w:szCs w:val="20"/>
          <w:color w:val="auto"/>
        </w:rPr>
      </w:pPr>
      <w:r>
        <w:rPr>
          <w:rFonts w:ascii="Times New Roman" w:cs="Times New Roman" w:eastAsia="Times New Roman" w:hAnsi="Times New Roman"/>
          <w:sz w:val="18"/>
          <w:szCs w:val="18"/>
          <w:color w:val="auto"/>
        </w:rPr>
        <w:t>This Agreement is made pursuant to the Purchase Agreement, dated as of June 10, 2024 (the “</w:t>
      </w:r>
      <w:r>
        <w:rPr>
          <w:rFonts w:ascii="Times New Roman" w:cs="Times New Roman" w:eastAsia="Times New Roman" w:hAnsi="Times New Roman"/>
          <w:sz w:val="18"/>
          <w:szCs w:val="18"/>
          <w:b w:val="1"/>
          <w:bCs w:val="1"/>
          <w:i w:val="1"/>
          <w:iCs w:val="1"/>
          <w:color w:val="auto"/>
        </w:rPr>
        <w:t>Purchase Agreement</w:t>
      </w:r>
      <w:r>
        <w:rPr>
          <w:rFonts w:ascii="Times New Roman" w:cs="Times New Roman" w:eastAsia="Times New Roman" w:hAnsi="Times New Roman"/>
          <w:sz w:val="18"/>
          <w:szCs w:val="18"/>
          <w:color w:val="auto"/>
        </w:rPr>
        <w:t>”), among the Company and the Representative on behalf of the Initial Purchasers (i) for the benefit of the Initial Purchasers and (ii) for the benefit of the holders from time to time of the Registrable Notes, including the Initial Purchasers. In order to induce the Initial Purchasers to purchase the Notes, the Company has agreed to provide the registration rights set forth in this Agreement. The execution and delivery of this Agreement is a condition to the obligations of the Initial Purchasers as set forth in Section 7(l) of the Purchase Agreement. The parties hereby agree as follows:</w:t>
      </w:r>
    </w:p>
    <w:p>
      <w:pPr>
        <w:spacing w:after="0" w:line="2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 As used in this Agreement, the following capitalized terms shall have the following meanings:</w:t>
      </w:r>
    </w:p>
    <w:p>
      <w:pPr>
        <w:spacing w:after="0" w:line="11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Additional Interest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defined in Section 5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Advice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defined in the last paragraph of Section 6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defined in the preamble hereto.</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Broker-Dealer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Any broker or dealer registered under the Exchange Act.</w:t>
      </w:r>
    </w:p>
    <w:p>
      <w:pPr>
        <w:spacing w:after="0" w:line="225"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Business Day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Any day other than a Saturday, Sunday or U.S. federal holiday or a day on which banking institutions or trust companies located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New York, New York are authorized or obligated to be closed.</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U.S. Securities and Exchange Commission.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defined in the preamble hereto.</w:t>
      </w:r>
    </w:p>
    <w:p>
      <w:pPr>
        <w:spacing w:after="0" w:line="225"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Consummate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registered Exchange Offer shall be deemed “Consummated” for purposes of this Agreement upon the occurrence of (i) the filing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the Commission of the Exchange Offer Registration Statement relating to the Exchange Notes to be issued in the Exchange Offer and its becoming or being declared effective under the Securities Act, (ii) the maintenance of the continuous effectiveness of such Registration Statement, and the keeping of the Exchange Offer open, for a period not less than the minimum period required pursuant to Section 3(b) hereof, and (iii) the delivery by the Company to the Registrar under the Indenture of Exchange Notes in the same aggregate principal amount as the aggregate principal amount of Notes that were tendered by Holders thereof pursuant to the Exchange Offer.</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Controlling Person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defined in Section 8(a)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Securities Exchange Act of 1934, as amended, and the rules and regulations promulgated thereunder.</w:t>
      </w:r>
    </w:p>
    <w:p>
      <w:pPr>
        <w:sectPr>
          <w:pgSz w:w="11900" w:h="16838" w:orient="portrait"/>
          <w:cols w:equalWidth="0" w:num="1">
            <w:col w:w="10980"/>
          </w:cols>
          <w:pgMar w:left="440" w:top="266" w:right="479" w:bottom="1440" w:gutter="0" w:footer="0" w:header="0"/>
        </w:sectPr>
      </w:pPr>
    </w:p>
    <w:bookmarkStart w:id="44" w:name="page45"/>
    <w:bookmarkEnd w:id="44"/>
    <w:p>
      <w:pPr>
        <w:ind w:left="4"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Exchange Offer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registration by the Company under the Securities Act of the Exchange Notes pursuant to a Registration Statement pursuant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which the Company offers the Holders of all outstanding Registrable Notes the opportunity to exchange all such outstanding Registrable Notes held by such Holders for Exchange Notes in an aggregate principal amount equal to the aggregate principal amount of the Registrable Notes tendered in such exchange offer by such Holders.</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i w:val="1"/>
          <w:iCs w:val="1"/>
          <w:color w:val="auto"/>
        </w:rPr>
        <w:t>Exchange Offer Registration Statement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Registration Statement relating to the Exchange Offer, including the related Prospectus.</w:t>
      </w:r>
    </w:p>
    <w:p>
      <w:pPr>
        <w:spacing w:after="0" w:line="225" w:lineRule="exact"/>
        <w:rPr>
          <w:sz w:val="20"/>
          <w:szCs w:val="20"/>
          <w:color w:val="auto"/>
        </w:rPr>
      </w:pPr>
    </w:p>
    <w:p>
      <w:pPr>
        <w:ind w:left="4" w:right="54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Exchange Notes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6.500% Notes due 2029 of the same series under the Indenture as the Notes, to be issued to Holders in exchange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Registrable Notes pursuant to this Agreement.</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i w:val="1"/>
          <w:iCs w:val="1"/>
          <w:color w:val="auto"/>
        </w:rPr>
        <w:t>FINRA</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Financial Industry Regulatory Authority, Inc.</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i w:val="1"/>
          <w:iCs w:val="1"/>
          <w:color w:val="auto"/>
        </w:rPr>
        <w:t>Holder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defined in Section 2(b) hereof.</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i w:val="1"/>
          <w:iCs w:val="1"/>
          <w:color w:val="auto"/>
        </w:rPr>
        <w:t>Indemnified Holder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defined in Section 8(a) hereof.</w:t>
      </w:r>
    </w:p>
    <w:p>
      <w:pPr>
        <w:spacing w:after="0" w:line="225" w:lineRule="exact"/>
        <w:rPr>
          <w:sz w:val="20"/>
          <w:szCs w:val="20"/>
          <w:color w:val="auto"/>
        </w:rPr>
      </w:pPr>
    </w:p>
    <w:p>
      <w:pPr>
        <w:jc w:val="both"/>
        <w:ind w:left="4" w:firstLine="44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Indenture</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Base Indenture, dated as of March 11, 2024, as supplemented by the First Supplemental Indenture, dated as of March 11, 2024, as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further supplemented by the Second Supplemental Indenture, to be dated as of June 17, 2024, by and between the Company and the Trustee, pursuant to which the Notes are to be issued, as such Indenture may be amended or supplemented from time to time in accordance with the terms thereof.</w:t>
      </w:r>
    </w:p>
    <w:p>
      <w:pPr>
        <w:spacing w:after="0" w:line="15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i w:val="1"/>
          <w:iCs w:val="1"/>
          <w:color w:val="auto"/>
        </w:rPr>
        <w:t>Initial Placement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issuance and sale by the Company of the Notes to the Initial Purchasers pursuant to the Purchase Agreement.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i w:val="1"/>
          <w:iCs w:val="1"/>
          <w:color w:val="auto"/>
        </w:rPr>
        <w:t>Initial Purchasers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defined in the preamble hereto.</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i w:val="1"/>
          <w:iCs w:val="1"/>
          <w:color w:val="auto"/>
        </w:rPr>
        <w:t>Interest Payment Date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defined in the Indenture and the Notes.</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i w:val="1"/>
          <w:iCs w:val="1"/>
          <w:color w:val="auto"/>
        </w:rPr>
        <w:t>Notes</w:t>
      </w:r>
      <w:r>
        <w:rPr>
          <w:rFonts w:ascii="Times New Roman" w:cs="Times New Roman" w:eastAsia="Times New Roman" w:hAnsi="Times New Roman"/>
          <w:sz w:val="18"/>
          <w:szCs w:val="18"/>
          <w:color w:val="auto"/>
        </w:rPr>
        <w:t>: As defined in the preamble hereto.</w:t>
      </w:r>
    </w:p>
    <w:p>
      <w:pPr>
        <w:spacing w:after="0" w:line="225" w:lineRule="exact"/>
        <w:rPr>
          <w:sz w:val="20"/>
          <w:szCs w:val="20"/>
          <w:color w:val="auto"/>
        </w:rPr>
      </w:pPr>
    </w:p>
    <w:p>
      <w:pPr>
        <w:ind w:left="4" w:right="8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Any individual, corporation, limited liability company, partnership, joint venture, association, joint stock company, trust, unincorporated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organization, government or any agency or political subdivision thereof or any other entity.</w:t>
      </w:r>
    </w:p>
    <w:p>
      <w:pPr>
        <w:spacing w:after="0" w:line="155" w:lineRule="exact"/>
        <w:rPr>
          <w:sz w:val="20"/>
          <w:szCs w:val="20"/>
          <w:color w:val="auto"/>
        </w:rPr>
      </w:pPr>
    </w:p>
    <w:p>
      <w:pPr>
        <w:ind w:left="4" w:right="30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prospectus included in a Registration Statement, as amended or supplemented by any prospectus supplement and by all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amendments thereto, including post-effective amendments, and all material incorporated by reference into such Prospectus.</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i w:val="1"/>
          <w:iCs w:val="1"/>
          <w:color w:val="auto"/>
        </w:rPr>
        <w:t>Purchase Agreement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defined in the preamble hereto.</w:t>
      </w:r>
    </w:p>
    <w:p>
      <w:pPr>
        <w:spacing w:after="0" w:line="225" w:lineRule="exact"/>
        <w:rPr>
          <w:sz w:val="20"/>
          <w:szCs w:val="20"/>
          <w:color w:val="auto"/>
        </w:rPr>
      </w:pPr>
    </w:p>
    <w:p>
      <w:pPr>
        <w:jc w:val="both"/>
        <w:ind w:left="4" w:right="60" w:firstLine="440"/>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Registrable Notes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Each Note, until the earliest to occur of (a) the date on which such Note is exchanged in the Exchange Offer for an Exchange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Note entitled to be resold to the public by the Holder thereof without complying with the prospectus delivery requirements of the Securities Act, (b) the date on which such Note has been effectively registered under the Securities Act and disposed of in accordance with a Shelf Registration Statement,</w:t>
      </w:r>
    </w:p>
    <w:p>
      <w:pPr>
        <w:spacing w:after="0" w:line="1" w:lineRule="exact"/>
        <w:rPr>
          <w:sz w:val="20"/>
          <w:szCs w:val="20"/>
          <w:color w:val="auto"/>
        </w:rPr>
      </w:pPr>
    </w:p>
    <w:p>
      <w:pPr>
        <w:ind w:left="4" w:right="820" w:hanging="4"/>
        <w:spacing w:after="0" w:line="260" w:lineRule="auto"/>
        <w:tabs>
          <w:tab w:leader="none" w:pos="24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such Note is distributed by a Broker-Dealer pursuant to the “Plan of Distribution” contemplated by the Exchange Offer Registration Statement</w:t>
      </w:r>
    </w:p>
    <w:p>
      <w:pPr>
        <w:spacing w:after="0" w:line="11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64"/>
          </w:cols>
          <w:pgMar w:left="436" w:top="266" w:right="499" w:bottom="1440" w:gutter="0" w:footer="0" w:header="0"/>
        </w:sectPr>
      </w:pPr>
    </w:p>
    <w:bookmarkStart w:id="45" w:name="page46"/>
    <w:bookmarkEnd w:id="45"/>
    <w:p>
      <w:pPr>
        <w:ind w:right="1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(including delivery of the Prospectus contained therein), (d) the date on which such Note does not bear a restricted CUSIP number and is sold pursuant to Rule 144 under the Securities Act under circumstances in which any legend borne by such Note relating to restrictions on transferability thereof, under the Securities Act or otherwise, is removed by the Company or pursuant to the Indenture and (e) the date on which such Note ceases to be outstanding.</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Registration Default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defined in Section 5 hereof.</w:t>
      </w:r>
    </w:p>
    <w:p>
      <w:pPr>
        <w:spacing w:after="0" w:line="225"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Any registration statement of the Company relating to (a) an offering of Exchange Notes pursuant to an Exchange Offer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(b) the registration for resale of Registrable Notes pursuant to the Shelf Registration Statement, which is filed pursuant to the provisions of this Agreement, in each case, including the Prospectus included therein, all amendments and supplements thereto (including post-effective amendments) and all exhibits and material incorporated by reference therein.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Representative: </w:t>
      </w:r>
      <w:r>
        <w:rPr>
          <w:rFonts w:ascii="Times New Roman" w:cs="Times New Roman" w:eastAsia="Times New Roman" w:hAnsi="Times New Roman"/>
          <w:sz w:val="18"/>
          <w:szCs w:val="18"/>
          <w:color w:val="auto"/>
        </w:rPr>
        <w:t>As defined in the preamble hereto.</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Securities Act of 1933, as amended, and the rules and regulations promulgated thereunder.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Shelf Filing Deadline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defined in Section 4(a)(x)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Shelf Registration Statement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defined in Section 4(a)(x)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Suspension Period</w:t>
      </w:r>
      <w:r>
        <w:rPr>
          <w:rFonts w:ascii="Times New Roman" w:cs="Times New Roman" w:eastAsia="Times New Roman" w:hAnsi="Times New Roman"/>
          <w:sz w:val="18"/>
          <w:szCs w:val="18"/>
          <w:color w:val="auto"/>
        </w:rPr>
        <w:t>: As defined in the final paragraph of Section 4(a)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Trustee</w:t>
      </w:r>
      <w:r>
        <w:rPr>
          <w:rFonts w:ascii="Times New Roman" w:cs="Times New Roman" w:eastAsia="Times New Roman" w:hAnsi="Times New Roman"/>
          <w:sz w:val="18"/>
          <w:szCs w:val="18"/>
          <w:color w:val="auto"/>
        </w:rPr>
        <w:t>: U.S. Bank Trust Company, National Association.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Trust Indenture Act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Trust Indenture Act of 1939, as amended, and the rules and regulations promulgated thereunder.</w:t>
      </w:r>
    </w:p>
    <w:p>
      <w:pPr>
        <w:spacing w:after="0" w:line="225" w:lineRule="exact"/>
        <w:rPr>
          <w:sz w:val="20"/>
          <w:szCs w:val="20"/>
          <w:color w:val="auto"/>
        </w:rPr>
      </w:pPr>
    </w:p>
    <w:p>
      <w:pPr>
        <w:ind w:right="8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Underwritten Registration or Underwritten Offering</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registration in which securities of the Company are sold to an underwriter for reoffering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the public.</w:t>
      </w:r>
    </w:p>
    <w:p>
      <w:pPr>
        <w:spacing w:after="0" w:line="26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i w:val="1"/>
          <w:iCs w:val="1"/>
          <w:color w:val="auto"/>
        </w:rPr>
        <w:t>Notes Subject to this Agreement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80" w:hanging="244"/>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Registrable Notes</w:t>
      </w:r>
      <w:r>
        <w:rPr>
          <w:rFonts w:ascii="Times New Roman" w:cs="Times New Roman" w:eastAsia="Times New Roman" w:hAnsi="Times New Roman"/>
          <w:sz w:val="18"/>
          <w:szCs w:val="18"/>
          <w:color w:val="auto"/>
        </w:rPr>
        <w:t>. The securities entitled to the benefits of this Agreement are the Registrable Notes.</w:t>
      </w:r>
    </w:p>
    <w:p>
      <w:pPr>
        <w:spacing w:after="0" w:line="223" w:lineRule="exact"/>
        <w:rPr>
          <w:rFonts w:ascii="Times New Roman" w:cs="Times New Roman" w:eastAsia="Times New Roman" w:hAnsi="Times New Roman"/>
          <w:sz w:val="18"/>
          <w:szCs w:val="18"/>
          <w:color w:val="auto"/>
        </w:rPr>
      </w:pPr>
    </w:p>
    <w:p>
      <w:pPr>
        <w:ind w:right="660" w:firstLine="436"/>
        <w:spacing w:after="0" w:line="286" w:lineRule="auto"/>
        <w:tabs>
          <w:tab w:leader="none" w:pos="6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Holders of Registrable Notes</w:t>
      </w:r>
      <w:r>
        <w:rPr>
          <w:rFonts w:ascii="Times New Roman" w:cs="Times New Roman" w:eastAsia="Times New Roman" w:hAnsi="Times New Roman"/>
          <w:sz w:val="18"/>
          <w:szCs w:val="18"/>
          <w:color w:val="auto"/>
        </w:rPr>
        <w:t>. A Person is deemed to be a holder of Registrable Notes (each, a “</w:t>
      </w:r>
      <w:r>
        <w:rPr>
          <w:rFonts w:ascii="Times New Roman" w:cs="Times New Roman" w:eastAsia="Times New Roman" w:hAnsi="Times New Roman"/>
          <w:sz w:val="18"/>
          <w:szCs w:val="18"/>
          <w:b w:val="1"/>
          <w:bCs w:val="1"/>
          <w:i w:val="1"/>
          <w:iCs w:val="1"/>
          <w:color w:val="auto"/>
        </w:rPr>
        <w:t>Holder</w:t>
      </w:r>
      <w:r>
        <w:rPr>
          <w:rFonts w:ascii="Times New Roman" w:cs="Times New Roman" w:eastAsia="Times New Roman" w:hAnsi="Times New Roman"/>
          <w:sz w:val="18"/>
          <w:szCs w:val="18"/>
          <w:color w:val="auto"/>
        </w:rPr>
        <w:t>”) whenever such Person owns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Registrable Notes.</w:t>
      </w:r>
    </w:p>
    <w:p>
      <w:pPr>
        <w:spacing w:after="0" w:line="26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i w:val="1"/>
          <w:iCs w:val="1"/>
          <w:color w:val="auto"/>
        </w:rPr>
        <w:t>Registered Exchange Offer</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firstLine="436"/>
        <w:spacing w:after="0" w:line="256" w:lineRule="auto"/>
        <w:tabs>
          <w:tab w:leader="none" w:pos="68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Exchange Offer shall not be permissible under applicable law or Commission policy, the Company shall (i) use its commercially reasonable efforts to cause the Exchange Offer to be Consummated on the earliest practicable date after the Exchange Offer Registration Statement has become or been declared effective, but in no event later than March 11, 2025 and (ii) in connection with the foregoing, (A) file all pre-effective amendments to such Registration Statement as may be necessary in order to cause such Registration Statement to become or be declared effective, (B) if applicable, file a post-effective amendment to such Registration Statement pursuant to Rule 430A under the Securities Act and (C) cause all necessary filings in connection with the registration and qualification of the Exchange</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70" w:right="479" w:bottom="1440" w:gutter="0" w:footer="0" w:header="0"/>
        </w:sectPr>
      </w:pPr>
    </w:p>
    <w:bookmarkStart w:id="46" w:name="page47"/>
    <w:bookmarkEnd w:id="46"/>
    <w:p>
      <w:pPr>
        <w:ind w:right="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Notes to be made under the state securities or blue sky laws of such jurisdictions as are necessary to permit Consummation of the Exchange Offer. The Exchange Offer Registration Statement shall be on the appropriate form permitting registration of the Exchange Notes to be offered in exchange for the Registrable Notes and to permit resales of Notes held by Broker-Dealers as contemplated by Section 3(c) hereof. The Company shall use its commercially reasonable efforts to cause all Exchange Notes to have the same CUSIP number.</w:t>
      </w:r>
    </w:p>
    <w:p>
      <w:pPr>
        <w:spacing w:after="0" w:line="180" w:lineRule="exact"/>
        <w:rPr>
          <w:sz w:val="20"/>
          <w:szCs w:val="20"/>
          <w:color w:val="auto"/>
        </w:rPr>
      </w:pPr>
    </w:p>
    <w:p>
      <w:pPr>
        <w:jc w:val="both"/>
        <w:ind w:right="160" w:firstLine="436"/>
        <w:spacing w:after="0" w:line="258" w:lineRule="auto"/>
        <w:tabs>
          <w:tab w:leader="none" w:pos="6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use its commercially reasonable efforts to cause the Exchange Offer Registration Statement to be effective continuously and shall keep the Exchange Offer open for a period of not less than the minimum period required under applicable federal and state securities laws to Consummate the Exchange Offer;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in no event shall such period be less than 20 Business Days after the commencement of the Exchange Offer. The Company shall cause the Exchange Offer to comply with all applicable federal and state securities laws. No securities other than the Exchange Notes shall be included in the Exchange Offer Registration Statement.</w:t>
      </w:r>
    </w:p>
    <w:p>
      <w:pPr>
        <w:spacing w:after="0" w:line="183" w:lineRule="exact"/>
        <w:rPr>
          <w:rFonts w:ascii="Times New Roman" w:cs="Times New Roman" w:eastAsia="Times New Roman" w:hAnsi="Times New Roman"/>
          <w:sz w:val="18"/>
          <w:szCs w:val="18"/>
          <w:color w:val="auto"/>
        </w:rPr>
      </w:pPr>
    </w:p>
    <w:p>
      <w:pPr>
        <w:ind w:firstLine="436"/>
        <w:spacing w:after="0" w:line="254" w:lineRule="auto"/>
        <w:tabs>
          <w:tab w:leader="none" w:pos="68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indicate in a “Plan of Distribution” section contained in the Prospectus forming a part of the Exchange Offer Registration Statement that any Broker-Dealer who holds Notes that are Registrable Notes and that were acquired for its own account as a result of market-making activities or other trading activities (other than Registrable Notes acquired directly from the Company) may exchange such Notes pursuant to the Exchange Offer; however, such Broker-Dealer may be deemed to be an “underwriter” within the meaning of the Securities Act and must, therefore, deliver a prospectus meeting the requirements of the Securities Act in connection with any resales of the Exchange Notes received by such Broker-Dealer in the Exchange Offer, which prospectus delivery requirement may be satisfied by the delivery by such Broker-Dealer of the Prospectus contained in the Exchange Offer Registration Statement. Such “Plan of Distribution” section shall also contain all other information with respect to such resales by Broker-Dealers that the Commission may require in order to permit such resales pursuant thereto, but such “Plan of Distribution” shall not name any such Broker-Dealer or disclose the amount of Notes held by any such Broker-Dealer except to the extent required by the Commission.</w:t>
      </w:r>
    </w:p>
    <w:p>
      <w:pPr>
        <w:spacing w:after="0" w:line="188"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The Company shall use its commercially reasonable efforts to keep the Exchange Offer Registration Statement continuously effective, supplemented and amended as required by the provisions of Section 6(c) hereof to the extent necessary to ensure that it is available for resales of Notes acquired by Broker-Dealers for their own accounts as a result of market-making activities or other trading activities, and to ensure that it conforms with the requirements of this Agreement, the Securities Act and the policies, rules and regulations of the Commission as announced from time to time, for a period ending on the earlier of (i) 180 days from the date on which the Exchange Offer Registration Statement becomes or is declared effective and (ii) the date on which a Broker-Dealer is no longer required to deliver a prospectus in connection with market-making or other trading activities.</w:t>
      </w:r>
    </w:p>
    <w:p>
      <w:pPr>
        <w:spacing w:after="0" w:line="187"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The Company shall provide sufficient copies of the latest version of such Prospectus to Broker-Dealers promptly upon request at any time during such 180-day (or shorter as provided in the foregoing paragraph) period in order to facilitate such resales.</w:t>
      </w:r>
    </w:p>
    <w:p>
      <w:pPr>
        <w:spacing w:after="0" w:line="2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i w:val="1"/>
          <w:iCs w:val="1"/>
          <w:color w:val="auto"/>
        </w:rPr>
        <w:t>Shelf Registration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20" w:firstLine="436"/>
        <w:spacing w:after="0" w:line="261" w:lineRule="auto"/>
        <w:tabs>
          <w:tab w:leader="none" w:pos="68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Shelf Registration</w:t>
      </w:r>
      <w:r>
        <w:rPr>
          <w:rFonts w:ascii="Times New Roman" w:cs="Times New Roman" w:eastAsia="Times New Roman" w:hAnsi="Times New Roman"/>
          <w:sz w:val="18"/>
          <w:szCs w:val="18"/>
          <w:color w:val="auto"/>
        </w:rPr>
        <w:t>. If (i) the Company is not required to file an Exchange Offer Registration Statement or to consummate the Exchange Offer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because the Exchange Offer is not permitted by applicable law or Commission policy, (ii) for any reason the Exchange Offer is not Consummated by March 11, 2025, or (iii) with respect to any Holder of Registrable Notes (A) such Holder is prohibited by applicable law or Commission policy from participating in the Exchange Offer,</w:t>
      </w:r>
    </w:p>
    <w:p>
      <w:pPr>
        <w:spacing w:after="0" w:line="1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60"/>
          </w:cols>
          <w:pgMar w:left="440" w:top="270" w:right="499" w:bottom="1440" w:gutter="0" w:footer="0" w:header="0"/>
        </w:sectPr>
      </w:pPr>
    </w:p>
    <w:bookmarkStart w:id="47" w:name="page48"/>
    <w:bookmarkEnd w:id="47"/>
    <w:p>
      <w:pPr>
        <w:ind w:left="4" w:right="80" w:hanging="4"/>
        <w:spacing w:after="0" w:line="266" w:lineRule="auto"/>
        <w:tabs>
          <w:tab w:leader="none" w:pos="28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such Holder may not resell the Exchange Notes acquired by it in the Exchange Offer to the public without delivering a prospectus and the Prospectus contained in the Exchange Offer Registration Statement is not appropriate or available for such resales by such Holder or (C) such Holder is a Broker-Dealer and holds Notes acquired directly from the Company or one of its affiliates, then, upon such Holder’s request, the Company shall:</w:t>
      </w:r>
    </w:p>
    <w:p>
      <w:pPr>
        <w:spacing w:after="0" w:line="68" w:lineRule="exact"/>
        <w:rPr>
          <w:sz w:val="20"/>
          <w:szCs w:val="20"/>
          <w:color w:val="auto"/>
        </w:rPr>
      </w:pPr>
    </w:p>
    <w:p>
      <w:pPr>
        <w:ind w:left="444" w:right="100" w:firstLine="423"/>
        <w:spacing w:after="0" w:line="270" w:lineRule="auto"/>
        <w:rPr>
          <w:sz w:val="20"/>
          <w:szCs w:val="20"/>
          <w:color w:val="auto"/>
        </w:rPr>
      </w:pPr>
      <w:r>
        <w:rPr>
          <w:rFonts w:ascii="Times New Roman" w:cs="Times New Roman" w:eastAsia="Times New Roman" w:hAnsi="Times New Roman"/>
          <w:sz w:val="17"/>
          <w:szCs w:val="17"/>
          <w:color w:val="auto"/>
        </w:rPr>
        <w:t>(x)  cause to be filed a shelf registration statement pursuant to Rule 415 under the Securities Act, which may be an amendment to the Exchange Offer Registration Statement (in either event, the “</w:t>
      </w:r>
      <w:r>
        <w:rPr>
          <w:rFonts w:ascii="Times New Roman" w:cs="Times New Roman" w:eastAsia="Times New Roman" w:hAnsi="Times New Roman"/>
          <w:sz w:val="17"/>
          <w:szCs w:val="17"/>
          <w:b w:val="1"/>
          <w:bCs w:val="1"/>
          <w:i w:val="1"/>
          <w:iCs w:val="1"/>
          <w:color w:val="auto"/>
        </w:rPr>
        <w:t>Shelf Registration Statement</w:t>
      </w:r>
      <w:r>
        <w:rPr>
          <w:rFonts w:ascii="Times New Roman" w:cs="Times New Roman" w:eastAsia="Times New Roman" w:hAnsi="Times New Roman"/>
          <w:sz w:val="17"/>
          <w:szCs w:val="17"/>
          <w:color w:val="auto"/>
        </w:rPr>
        <w:t>”), as soon as practicable, but in no event later than the earliest to occur of (1) the 60th day after the date on which the Company determines that it is not required to file the Exchange Offer Registration Statement, (2) the 60th day after the date on which the Company receives notice from a Holder of Registrable Notes as contemplated by clause</w:t>
      </w:r>
    </w:p>
    <w:p>
      <w:pPr>
        <w:spacing w:after="0" w:line="3" w:lineRule="exact"/>
        <w:rPr>
          <w:sz w:val="20"/>
          <w:szCs w:val="20"/>
          <w:color w:val="auto"/>
        </w:rPr>
      </w:pPr>
    </w:p>
    <w:p>
      <w:pPr>
        <w:ind w:left="444" w:right="180" w:hanging="4"/>
        <w:spacing w:after="0" w:line="260" w:lineRule="auto"/>
        <w:tabs>
          <w:tab w:leader="none" w:pos="75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and (3) March 11, 2025 (the “</w:t>
      </w:r>
      <w:r>
        <w:rPr>
          <w:rFonts w:ascii="Times New Roman" w:cs="Times New Roman" w:eastAsia="Times New Roman" w:hAnsi="Times New Roman"/>
          <w:sz w:val="18"/>
          <w:szCs w:val="18"/>
          <w:b w:val="1"/>
          <w:bCs w:val="1"/>
          <w:i w:val="1"/>
          <w:iCs w:val="1"/>
          <w:color w:val="auto"/>
        </w:rPr>
        <w:t>Shelf Filing Deadline</w:t>
      </w:r>
      <w:r>
        <w:rPr>
          <w:rFonts w:ascii="Times New Roman" w:cs="Times New Roman" w:eastAsia="Times New Roman" w:hAnsi="Times New Roman"/>
          <w:sz w:val="18"/>
          <w:szCs w:val="18"/>
          <w:color w:val="auto"/>
        </w:rPr>
        <w:t>”), which Shelf Registration Statement shall provide for resales of all Registrable Notes the Holders of which shall have provided the information required pursuant to Section 4(b) hereof; and</w:t>
      </w:r>
    </w:p>
    <w:p>
      <w:pPr>
        <w:spacing w:after="0" w:line="73" w:lineRule="exact"/>
        <w:rPr>
          <w:sz w:val="20"/>
          <w:szCs w:val="20"/>
          <w:color w:val="auto"/>
        </w:rPr>
      </w:pPr>
    </w:p>
    <w:p>
      <w:pPr>
        <w:ind w:left="444" w:right="440" w:firstLine="423"/>
        <w:spacing w:after="0" w:line="266" w:lineRule="auto"/>
        <w:rPr>
          <w:sz w:val="20"/>
          <w:szCs w:val="20"/>
          <w:color w:val="auto"/>
        </w:rPr>
      </w:pPr>
      <w:r>
        <w:rPr>
          <w:rFonts w:ascii="Times New Roman" w:cs="Times New Roman" w:eastAsia="Times New Roman" w:hAnsi="Times New Roman"/>
          <w:sz w:val="18"/>
          <w:szCs w:val="18"/>
          <w:color w:val="auto"/>
        </w:rPr>
        <w:t>(y)  use its commercially reasonable efforts to cause such Shelf Registration Statement to become or be declared effective by the Commission at the earliest possible time, but in no event later that the 120th day after the Shelf Filing Deadline (or if such 120th day is not a Business Day, the next succeeding Business Day).</w:t>
      </w:r>
    </w:p>
    <w:p>
      <w:pPr>
        <w:spacing w:after="0" w:line="176" w:lineRule="exact"/>
        <w:rPr>
          <w:sz w:val="20"/>
          <w:szCs w:val="20"/>
          <w:color w:val="auto"/>
        </w:rPr>
      </w:pPr>
    </w:p>
    <w:p>
      <w:pPr>
        <w:ind w:left="4" w:right="180" w:firstLine="440"/>
        <w:spacing w:after="0" w:line="256" w:lineRule="auto"/>
        <w:rPr>
          <w:sz w:val="20"/>
          <w:szCs w:val="20"/>
          <w:color w:val="auto"/>
        </w:rPr>
      </w:pPr>
      <w:r>
        <w:rPr>
          <w:rFonts w:ascii="Times New Roman" w:cs="Times New Roman" w:eastAsia="Times New Roman" w:hAnsi="Times New Roman"/>
          <w:sz w:val="18"/>
          <w:szCs w:val="18"/>
          <w:color w:val="auto"/>
        </w:rPr>
        <w:t>The Company shall use its commercially reasonable efforts to keep such Shelf Registration Statement continuously effective, supplemented and amended as required by the provisions of Sections 6(b) and (c) hereof to the extent necessary to ensure that it is available for resales of Registrable Notes entitled to the benefit of this Section 4(a), and to ensure that it conforms with the requirements of this Agreement, the Securities Act and the policies, rules and regulations of the Commission as announced from time to time, for a period of at least one year following the effective date of such Shelf Registration Statement (or shorter period that will terminate when all the Notes covered by such Shelf Registration Statement have been sold pursuant to such Shelf Registration Statement or are otherwise no longer Registrable Notes).</w:t>
      </w:r>
    </w:p>
    <w:p>
      <w:pPr>
        <w:spacing w:after="0" w:line="183"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Notwithstanding the foregoing, the Company may suspend the offering and sale under the Shelf Registration Statement (the “</w:t>
      </w:r>
      <w:r>
        <w:rPr>
          <w:rFonts w:ascii="Times New Roman" w:cs="Times New Roman" w:eastAsia="Times New Roman" w:hAnsi="Times New Roman"/>
          <w:sz w:val="18"/>
          <w:szCs w:val="18"/>
          <w:b w:val="1"/>
          <w:bCs w:val="1"/>
          <w:i w:val="1"/>
          <w:iCs w:val="1"/>
          <w:color w:val="auto"/>
        </w:rPr>
        <w:t>Suspension Period</w:t>
      </w:r>
      <w:r>
        <w:rPr>
          <w:rFonts w:ascii="Times New Roman" w:cs="Times New Roman" w:eastAsia="Times New Roman" w:hAnsi="Times New Roman"/>
          <w:sz w:val="18"/>
          <w:szCs w:val="18"/>
          <w:color w:val="auto"/>
        </w:rPr>
        <w:t xml:space="preserve">”) for a period or periods if (i) the board of trustees reasonably determines that the continued use of such Shelf Registration Statement would (A) require the Company to make a public disclosure of material non-public information, which disclosure in the good faith judgment of the board of trustees of the Company (1) would be required to be made in such Shelf Registration Statement so that such Shelf Registration Statement would not be materially misleading and (2) would not be required to be made at such time but for the continued use of such Shelf Registration Statement or (B) would in the good faith and judgment of the board of trustees of the Company be expected to have a material adverse effect on the Company or its business or on the Company’s ability to effect a planned or proposed acquisition, disposition, financing, reorganization, recapitalization or similar transaction and (ii) the Company notifies the underwriters, if any, and the Holders of Registrable Notes within five days after the board of trustees makes the relevant determination set forth in clause (i);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period or periods of suspension under clause (i) above shall not exceed, in the aggregate, 60 days in any twelve-month period during which the Shelf Registration Statement is required to be effective.</w:t>
      </w:r>
    </w:p>
    <w:p>
      <w:pPr>
        <w:spacing w:after="0" w:line="187" w:lineRule="exact"/>
        <w:rPr>
          <w:sz w:val="20"/>
          <w:szCs w:val="20"/>
          <w:color w:val="auto"/>
        </w:rPr>
      </w:pPr>
    </w:p>
    <w:p>
      <w:pPr>
        <w:ind w:left="4" w:right="20" w:firstLine="436"/>
        <w:spacing w:after="0" w:line="315" w:lineRule="auto"/>
        <w:tabs>
          <w:tab w:leader="none" w:pos="699"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Provision by Holders of Certain Information in Connection with the Shelf Registration Statement</w:t>
      </w:r>
      <w:r>
        <w:rPr>
          <w:rFonts w:ascii="Times New Roman" w:cs="Times New Roman" w:eastAsia="Times New Roman" w:hAnsi="Times New Roman"/>
          <w:sz w:val="17"/>
          <w:szCs w:val="17"/>
          <w:color w:val="auto"/>
        </w:rPr>
        <w:t>. No Holder of Registrable Notes may include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any of its Registrable Notes in any Shelf Registration Statement pursuant to this Agreement unless and until such Holder furnishes to the Company</w:t>
      </w:r>
    </w:p>
    <w:p>
      <w:pPr>
        <w:spacing w:after="0" w:line="6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4"/>
          </w:cols>
          <w:pgMar w:left="436" w:top="270" w:right="459" w:bottom="1440" w:gutter="0" w:footer="0" w:header="0"/>
        </w:sectPr>
      </w:pPr>
    </w:p>
    <w:bookmarkStart w:id="48" w:name="page49"/>
    <w:bookmarkEnd w:id="48"/>
    <w:p>
      <w:pPr>
        <w:ind w:right="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writing, within 10 Business Days after receipt of a request therefor, such information as the Company may reasonably request for use in connection with any Shelf Registration Statement or Prospectus or preliminary Prospectus included therein or amendment or supplement thereto. Each Holder as to which any Shelf Registration Statement is being effected agrees to furnish promptly to the Company all information required to be disclosed in order to make the information previously furnished to the Company by such Holder not materially misleading.</w:t>
      </w:r>
    </w:p>
    <w:p>
      <w:pPr>
        <w:spacing w:after="0" w:line="178" w:lineRule="exact"/>
        <w:rPr>
          <w:sz w:val="20"/>
          <w:szCs w:val="20"/>
          <w:color w:val="auto"/>
        </w:rPr>
      </w:pPr>
    </w:p>
    <w:p>
      <w:pPr>
        <w:ind w:right="80"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i w:val="1"/>
          <w:iCs w:val="1"/>
          <w:color w:val="auto"/>
        </w:rPr>
        <w:t>Additional Interest</w:t>
      </w:r>
      <w:r>
        <w:rPr>
          <w:rFonts w:ascii="Times New Roman" w:cs="Times New Roman" w:eastAsia="Times New Roman" w:hAnsi="Times New Roman"/>
          <w:sz w:val="18"/>
          <w:szCs w:val="18"/>
          <w:color w:val="auto"/>
        </w:rPr>
        <w:t>. If (i) unless the Exchange Offer shall not be permissible under applicable law or Commission policy, the Exchange Offer Registration Statement has not been Consummated on or prior to March 11, 2025, (ii) in the event the Company is required to file a Shelf Registration Statement pursuant to Section 4(a) hereof, (A) the Shelf Registration Statement is not filed by the Shelf Filing Deadline or (B) the Shelf Registration Statement has not become or been declared effective by the Commission on or prior to the 120th day after the Shelf Filing Deadline (or if such 120th day is not a Business Day, the next succeeding Business Day) or (iii) any Registration Statement required by this Agreement is filed and declared effective but shall thereafter cease to be effective or fail to be usable for its intended purpose without being immediately succeeded by a post-effective amendment to such Registration Statement that cures such failure and that is itself immediately declared effective (each such event referred to in clauses (i) through (iii), a “</w:t>
      </w:r>
      <w:r>
        <w:rPr>
          <w:rFonts w:ascii="Times New Roman" w:cs="Times New Roman" w:eastAsia="Times New Roman" w:hAnsi="Times New Roman"/>
          <w:sz w:val="18"/>
          <w:szCs w:val="18"/>
          <w:b w:val="1"/>
          <w:bCs w:val="1"/>
          <w:i w:val="1"/>
          <w:iCs w:val="1"/>
          <w:color w:val="auto"/>
        </w:rPr>
        <w:t>Registration Default</w:t>
      </w:r>
      <w:r>
        <w:rPr>
          <w:rFonts w:ascii="Times New Roman" w:cs="Times New Roman" w:eastAsia="Times New Roman" w:hAnsi="Times New Roman"/>
          <w:sz w:val="18"/>
          <w:szCs w:val="18"/>
          <w:color w:val="auto"/>
        </w:rPr>
        <w:t>”) then, with respect to the first 90-day period immediately following the occurrence of such Registration Default, the interest rate on the Registrable Notes will be increased by 0.25% per annum and will increase by an additional 0.25% per annum on the principal amount of Notes with respect to each subsequent 90-day period, up to a maximum of additional interest of 0.50% per annum (“</w:t>
      </w:r>
      <w:r>
        <w:rPr>
          <w:rFonts w:ascii="Times New Roman" w:cs="Times New Roman" w:eastAsia="Times New Roman" w:hAnsi="Times New Roman"/>
          <w:sz w:val="18"/>
          <w:szCs w:val="18"/>
          <w:b w:val="1"/>
          <w:bCs w:val="1"/>
          <w:i w:val="1"/>
          <w:iCs w:val="1"/>
          <w:color w:val="auto"/>
        </w:rPr>
        <w:t>Additional Interest</w:t>
      </w:r>
      <w:r>
        <w:rPr>
          <w:rFonts w:ascii="Times New Roman" w:cs="Times New Roman" w:eastAsia="Times New Roman" w:hAnsi="Times New Roman"/>
          <w:sz w:val="18"/>
          <w:szCs w:val="18"/>
          <w:color w:val="auto"/>
        </w:rPr>
        <w:t xml:space="preserve">”). Any amounts of Additional Interest due pursuant to this Section 5 will be paid in cash on the relevant Interest Payment Date to Holders of record on the relevant regular record dates. Following the cure of all Registration Defaults relating to any particular Registrable Notes, the interest rate borne by the relevant Registrable Notes will be reduced to the original interest rate borne by such Registrable Notes;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after any such reduction in interest rate, a different Registration Default occurs, the interest rate borne by the relevant Registrable Notes shall again be increased pursuant to the foregoing provisions.</w:t>
      </w:r>
    </w:p>
    <w:p>
      <w:pPr>
        <w:spacing w:after="0" w:line="198" w:lineRule="exact"/>
        <w:rPr>
          <w:sz w:val="20"/>
          <w:szCs w:val="20"/>
          <w:color w:val="auto"/>
        </w:rPr>
      </w:pPr>
    </w:p>
    <w:p>
      <w:pPr>
        <w:ind w:right="20" w:firstLine="440"/>
        <w:spacing w:after="0" w:line="312" w:lineRule="auto"/>
        <w:rPr>
          <w:sz w:val="20"/>
          <w:szCs w:val="20"/>
          <w:color w:val="auto"/>
        </w:rPr>
      </w:pPr>
      <w:r>
        <w:rPr>
          <w:rFonts w:ascii="Times New Roman" w:cs="Times New Roman" w:eastAsia="Times New Roman" w:hAnsi="Times New Roman"/>
          <w:sz w:val="17"/>
          <w:szCs w:val="17"/>
          <w:color w:val="auto"/>
        </w:rPr>
        <w:t>All obligations of the Company set forth in the preceding paragraph that are outstanding with respect to any Registrable Note at the time such security ceases to be a Registrable Note shall survive until such time as all such obligations with respect to such security shall have been satisfied in full.</w:t>
      </w:r>
    </w:p>
    <w:p>
      <w:pPr>
        <w:spacing w:after="0" w:line="140"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Notwithstanding the foregoing, (i) the amount of Additional Interest payable shall not increase because more than one Registration Default has occurred and is pending at any given time and (ii) a Holder of Registrable Notes that has not provided the information required pursuant to Section 4(b) hereof within the time period set forth therein shall not be entitled to Additional Interest with respect to a Registration Default that pertains to the relevant Shelf Registration Statement.</w:t>
      </w:r>
    </w:p>
    <w:p>
      <w:pPr>
        <w:spacing w:after="0" w:line="2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i w:val="1"/>
          <w:iCs w:val="1"/>
          <w:color w:val="auto"/>
        </w:rPr>
        <w:t>Registration Procedures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36"/>
        <w:spacing w:after="0" w:line="267" w:lineRule="auto"/>
        <w:tabs>
          <w:tab w:leader="none" w:pos="68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Exchange Offer Registration Statement</w:t>
      </w:r>
      <w:r>
        <w:rPr>
          <w:rFonts w:ascii="Times New Roman" w:cs="Times New Roman" w:eastAsia="Times New Roman" w:hAnsi="Times New Roman"/>
          <w:sz w:val="18"/>
          <w:szCs w:val="18"/>
          <w:color w:val="auto"/>
        </w:rPr>
        <w:t>. In connection with the Exchange Offer, the Company shall comply with all of the applicable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provisions of Section 6(c) hereof, shall use its commercially reasonable efforts to effect such exchange to permit the sale of Registrable Notes being sold in accordance with the intended method or methods of distribution thereof, and shall comply with all of the following provision:</w:t>
      </w:r>
    </w:p>
    <w:p>
      <w:pPr>
        <w:spacing w:after="0" w:line="67" w:lineRule="exact"/>
        <w:rPr>
          <w:rFonts w:ascii="Times New Roman" w:cs="Times New Roman" w:eastAsia="Times New Roman" w:hAnsi="Times New Roman"/>
          <w:sz w:val="18"/>
          <w:szCs w:val="18"/>
          <w:color w:val="auto"/>
        </w:rPr>
      </w:pPr>
    </w:p>
    <w:p>
      <w:pPr>
        <w:ind w:left="440" w:right="120" w:firstLine="419"/>
        <w:spacing w:after="0" w:line="282" w:lineRule="auto"/>
        <w:tabs>
          <w:tab w:leader="none" w:pos="107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condition to its participation in the Exchange Offer pursuant to the terms of this Agreement, each Holder of Registrable Notes shall furnish, upon the request of the Company, prior to the Consummation thereof, a written representation to the Company (which may be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49" w:name="page50"/>
    <w:bookmarkEnd w:id="49"/>
    <w:p>
      <w:pPr>
        <w:jc w:val="both"/>
        <w:ind w:left="440" w:right="100"/>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contained in the letter of transmittal contemplated by the Exchange Offer Registration Statement) to the effect that (A) it is not an affiliate of the Company, (B) it is not engaged in, and does not intend to engage in, and has no arrangement or understanding with any Person to participate in, a distribution of the Exchange Notes to be issued in the Exchange Offer, (C) it is acquiring the Exchange Notes in its ordinary course of business,</w:t>
      </w:r>
    </w:p>
    <w:p>
      <w:pPr>
        <w:spacing w:after="0" w:line="2" w:lineRule="exact"/>
        <w:rPr>
          <w:sz w:val="20"/>
          <w:szCs w:val="20"/>
          <w:color w:val="auto"/>
        </w:rPr>
      </w:pPr>
    </w:p>
    <w:p>
      <w:pPr>
        <w:ind w:left="440" w:right="60" w:hanging="4"/>
        <w:spacing w:after="0" w:line="251" w:lineRule="auto"/>
        <w:tabs>
          <w:tab w:leader="none" w:pos="7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it is a Broker-Dealer that holds Notes that were acquired for its own account as a result of market-making activities or other trading activities (other than Notes acquired directly from the Company or any of its affiliates), it will deliver a prospectus meeting the requirements of the Securities Act in connection with any resales of the Exchange Notes received by it in the Exchange Offer, and (E) if it is a Broker-Dealer, that it did not purchase the Notes to be exchanged in the Exchange Offer from the Company or any of its affiliates. In addition, all such Holders of Registrable Notes shall otherwise cooperate in the Company’s preparations for the Exchange Offer. Each Holder hereby acknowledges and agrees that any Broker-Dealer and any such Holder using the Exchange Offer to participate in a distribution of the securities to be acquired in the Exchange Offer (1) could not under Commission policy as in effect on the date of this Agreement rely on the position of the Commission enunciated in </w:t>
      </w:r>
      <w:r>
        <w:rPr>
          <w:rFonts w:ascii="Times New Roman" w:cs="Times New Roman" w:eastAsia="Times New Roman" w:hAnsi="Times New Roman"/>
          <w:sz w:val="18"/>
          <w:szCs w:val="18"/>
          <w:u w:val="single" w:color="auto"/>
          <w:color w:val="auto"/>
        </w:rPr>
        <w:t>Morgan Stanley and Co., Inc.</w:t>
      </w:r>
      <w:r>
        <w:rPr>
          <w:rFonts w:ascii="Times New Roman" w:cs="Times New Roman" w:eastAsia="Times New Roman" w:hAnsi="Times New Roman"/>
          <w:sz w:val="18"/>
          <w:szCs w:val="18"/>
          <w:color w:val="auto"/>
        </w:rPr>
        <w:t xml:space="preserve"> (available June 5, 1991) and </w:t>
      </w:r>
      <w:r>
        <w:rPr>
          <w:rFonts w:ascii="Times New Roman" w:cs="Times New Roman" w:eastAsia="Times New Roman" w:hAnsi="Times New Roman"/>
          <w:sz w:val="18"/>
          <w:szCs w:val="18"/>
          <w:u w:val="single" w:color="auto"/>
          <w:color w:val="auto"/>
        </w:rPr>
        <w:t>Exxon Capital Holdings Corporation</w:t>
      </w:r>
      <w:r>
        <w:rPr>
          <w:rFonts w:ascii="Times New Roman" w:cs="Times New Roman" w:eastAsia="Times New Roman" w:hAnsi="Times New Roman"/>
          <w:sz w:val="18"/>
          <w:szCs w:val="18"/>
          <w:color w:val="auto"/>
        </w:rPr>
        <w:t xml:space="preserve"> (available May 13, 1988), as interpreted in the Commission’s letter to Shearman &amp; Sterling dated July 2, 1993, and similar no-action letters (which may include any no-action letter obtained pursuant to clause (i) above), and (2) must comply with the registration and prospectus delivery requirements of the Securities Act in connection with a secondary resale transaction and that such a secondary resale transaction should be covered by an effective registration statement containing the selling security holder information required by Item 507 or 508, as applicable, of Regulation S-K if the resales are of Exchange Notes obtained by such Holder in exchange for Notes acquired by such Holder directly from the Company.</w:t>
      </w:r>
    </w:p>
    <w:p>
      <w:pPr>
        <w:spacing w:after="0" w:line="190" w:lineRule="exact"/>
        <w:rPr>
          <w:sz w:val="20"/>
          <w:szCs w:val="20"/>
          <w:color w:val="auto"/>
        </w:rPr>
      </w:pPr>
    </w:p>
    <w:p>
      <w:pPr>
        <w:ind w:right="60" w:firstLine="436"/>
        <w:spacing w:after="0" w:line="277" w:lineRule="auto"/>
        <w:tabs>
          <w:tab w:leader="none" w:pos="695"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Shelf Registration Statement</w:t>
      </w:r>
      <w:r>
        <w:rPr>
          <w:rFonts w:ascii="Times New Roman" w:cs="Times New Roman" w:eastAsia="Times New Roman" w:hAnsi="Times New Roman"/>
          <w:sz w:val="17"/>
          <w:szCs w:val="17"/>
          <w:color w:val="auto"/>
        </w:rPr>
        <w:t>. In connection with the Shelf Registration Statement, the Company shall comply with all the provisions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Section 6(c) hereof and shall use its commercially reasonable efforts to effect such registration to permit the sale of the Registrable Notes being sold in accordance with the intended method or methods of distribution thereof, and pursuant thereto the Company will as expeditiously as is commercially reasonable prepare and file with the Commission a Shelf Registration Statement relating to the registration on any appropriate form under the Securities Act, which form shall be available for the sale of the Registrable Notes in accordance with the intended method or methods of distribution thereof.</w:t>
      </w:r>
    </w:p>
    <w:p>
      <w:pPr>
        <w:spacing w:after="0" w:line="167" w:lineRule="exact"/>
        <w:rPr>
          <w:rFonts w:ascii="Times New Roman" w:cs="Times New Roman" w:eastAsia="Times New Roman" w:hAnsi="Times New Roman"/>
          <w:sz w:val="17"/>
          <w:szCs w:val="17"/>
          <w:color w:val="auto"/>
        </w:rPr>
      </w:pPr>
    </w:p>
    <w:p>
      <w:pPr>
        <w:ind w:right="20" w:firstLine="436"/>
        <w:spacing w:after="0" w:line="267" w:lineRule="auto"/>
        <w:tabs>
          <w:tab w:leader="none" w:pos="68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 Provisions</w:t>
      </w:r>
      <w:r>
        <w:rPr>
          <w:rFonts w:ascii="Times New Roman" w:cs="Times New Roman" w:eastAsia="Times New Roman" w:hAnsi="Times New Roman"/>
          <w:sz w:val="18"/>
          <w:szCs w:val="18"/>
          <w:color w:val="auto"/>
        </w:rPr>
        <w:t>. In connection with any Registration Statement and any Prospectus required by this Agreement to permit the sale or resale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Registrable Notes (including, without limitation, any Registration Statement and the related Prospectus required to permit resales of Notes by Broker-Dealers), the Company shall:</w:t>
      </w:r>
    </w:p>
    <w:p>
      <w:pPr>
        <w:spacing w:after="0" w:line="67" w:lineRule="exact"/>
        <w:rPr>
          <w:rFonts w:ascii="Times New Roman" w:cs="Times New Roman" w:eastAsia="Times New Roman" w:hAnsi="Times New Roman"/>
          <w:sz w:val="18"/>
          <w:szCs w:val="18"/>
          <w:color w:val="auto"/>
        </w:rPr>
      </w:pPr>
    </w:p>
    <w:p>
      <w:pPr>
        <w:ind w:left="440" w:right="380" w:firstLine="419"/>
        <w:spacing w:after="0" w:line="282" w:lineRule="auto"/>
        <w:tabs>
          <w:tab w:leader="none" w:pos="1078"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its commercially reasonable efforts to keep such Registration Statement continuously effective during the period required by this Agreement and provide all requisite financial statements;</w:t>
      </w:r>
    </w:p>
    <w:p>
      <w:pPr>
        <w:spacing w:after="0" w:line="53" w:lineRule="exact"/>
        <w:rPr>
          <w:rFonts w:ascii="Times New Roman" w:cs="Times New Roman" w:eastAsia="Times New Roman" w:hAnsi="Times New Roman"/>
          <w:sz w:val="18"/>
          <w:szCs w:val="18"/>
          <w:color w:val="auto"/>
        </w:rPr>
      </w:pPr>
    </w:p>
    <w:p>
      <w:pPr>
        <w:ind w:left="440" w:firstLine="419"/>
        <w:spacing w:after="0" w:line="256" w:lineRule="auto"/>
        <w:tabs>
          <w:tab w:leader="none" w:pos="1128"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any event that would cause any such Registration Statement or the Prospectus contained therein (A) to contain a material misstatement or omission or (B) not to be effective and usable for resale of Registrable Notes during the period required by this Agreement, the Company shall file promptly an appropriate amendment to such Registration Statement, in the case of clause (A), correcting any such misstatement or omission, and, in the case of either clause (A) or (B), use its commercially reasonable efforts to cause such amendment to become or be declared effective and such Registration Statement and the related Prospectus to become usable for their intended purpose(s) as soon as practicable thereafter;</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50" w:name="page51"/>
    <w:bookmarkEnd w:id="50"/>
    <w:p>
      <w:pPr>
        <w:ind w:left="4" w:right="20" w:firstLine="419"/>
        <w:spacing w:after="0" w:line="254" w:lineRule="auto"/>
        <w:tabs>
          <w:tab w:leader="none" w:pos="741"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prepare and file with the Commission such amendments and post-effective amendments to the applicable Registration Statement as may be necessary to keep the Registration Statement effective for the applicable period set forth in Section 3 or 4 hereof, as applicable, or such shorter period as will terminate when all Registrable Notes covered by such Registration Statement have been sold; cause the Prospectus to be supplemented by any required Prospectus supplement, and as so supplemented to be filed pursuant to Rules 424 or 497 under the Securities Act, and to comply fully with the applicable provisions of Rules 424, 430A and 497 under the Securities Act in a timely manner; and comply with the provisions of the Securities Act with respect to the disposition of all securities covered by such Registration Statement during the applicable period in accordance with the intended method or methods of distribution by the sellers thereof set forth in such Registration Statement or supplement to the Prospectus;</w:t>
      </w:r>
    </w:p>
    <w:p>
      <w:pPr>
        <w:spacing w:after="0" w:line="83" w:lineRule="exact"/>
        <w:rPr>
          <w:rFonts w:ascii="Times New Roman" w:cs="Times New Roman" w:eastAsia="Times New Roman" w:hAnsi="Times New Roman"/>
          <w:sz w:val="18"/>
          <w:szCs w:val="18"/>
          <w:color w:val="auto"/>
        </w:rPr>
      </w:pPr>
    </w:p>
    <w:p>
      <w:pPr>
        <w:ind w:left="724" w:hanging="301"/>
        <w:spacing w:after="0"/>
        <w:tabs>
          <w:tab w:leader="none" w:pos="72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advise the underwriter(s), if any, and selling Holders promptly and, if requested by such Persons, to confirm such advice in writing,</w:t>
      </w:r>
    </w:p>
    <w:p>
      <w:pPr>
        <w:spacing w:after="0" w:line="27" w:lineRule="exact"/>
        <w:rPr>
          <w:rFonts w:ascii="Times New Roman" w:cs="Times New Roman" w:eastAsia="Times New Roman" w:hAnsi="Times New Roman"/>
          <w:sz w:val="18"/>
          <w:szCs w:val="18"/>
          <w:color w:val="auto"/>
        </w:rPr>
      </w:pPr>
    </w:p>
    <w:p>
      <w:pPr>
        <w:ind w:left="4" w:right="100" w:hanging="4"/>
        <w:spacing w:after="0" w:line="265" w:lineRule="auto"/>
        <w:tabs>
          <w:tab w:leader="none" w:pos="298"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 the Prospectus or any Prospectus supplement or post-effective amendment has been filed, and, with respect to any Registration Statement or any post-effective amendment thereto, when the same has become or been declared effective, (B) of any request by the Commission for amendments to the Registration Statement or amendments or supplements to the Prospectus or for additional information relating thereto,</w:t>
      </w:r>
    </w:p>
    <w:p>
      <w:pPr>
        <w:ind w:left="4" w:hanging="4"/>
        <w:spacing w:after="0" w:line="251" w:lineRule="auto"/>
        <w:tabs>
          <w:tab w:leader="none" w:pos="28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issuance by the Commission of any stop order suspending the effectiveness of the Registration Statement under the Securities Act or of the suspension by any state securities commission of the qualification of the Registrable Notes for offering or sale in any jurisdiction, or the initiation of any proceeding for any of the preceding purposes, (D) of the existence of any fact or the happening of any event that makes any statement of a material fact made in the Registration Statement, the Prospectus, any amendment or supplement thereto, or any document incorporated by reference therein untrue, or that requires the making of any additions to or changes in the Registration Statement or the Prospectus in order to make the statements therein not misleading. If at any time the Commission shall issue any stop order suspending the effectiveness of the Registration Statement, or any state securities commission or other regulatory authority shall issue an order suspending the qualification or exemption from qualification of the Registrable Notes under state securities or blue sky laws, the Company shall use its commercially reasonable efforts to obtain the withdrawal or lifting of such order at the earliest possible time;</w:t>
      </w:r>
    </w:p>
    <w:p>
      <w:pPr>
        <w:spacing w:after="0" w:line="85" w:lineRule="exact"/>
        <w:rPr>
          <w:rFonts w:ascii="Times New Roman" w:cs="Times New Roman" w:eastAsia="Times New Roman" w:hAnsi="Times New Roman"/>
          <w:sz w:val="18"/>
          <w:szCs w:val="18"/>
          <w:color w:val="auto"/>
        </w:rPr>
      </w:pPr>
    </w:p>
    <w:p>
      <w:pPr>
        <w:ind w:left="4" w:right="20" w:firstLine="419"/>
        <w:spacing w:after="0" w:line="253" w:lineRule="auto"/>
        <w:tabs>
          <w:tab w:leader="none" w:pos="681"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without charge to the Initial Purchasers, each selling Holder named in any Registration Statement that has requested such copies, if any, and each of the underwriter(s), if any, before filing with the Commission, copies of any Registration Statement or any Prospectus included therein or any amendments or supplements to any such Registration Statement or Prospectus (other than any documents that will be incorporated by reference in such Registration Statement or Prospectus), which documents will be subject to the review and comment of such requesting Holders and underwriter(s) in connection with such sale, if any, for a period of at least five Business Days, and the Company will not file any such Registration Statement or Prospectus or any amendment or supplement to any such Registration Statement or Prospectus to which the Initial Purchasers of Registrable Notes covered by such Registration Statement or the underwriter(s), if any, shall reasonably object in writing within five Business Days after the receipt thereof (such objection to be deemed timely made upon confirmation of facsimile transmission within such period). The objection of the Initial Purchasers or underwriter, if any, shall be deemed to be reasonable if such Registration Statement, amendment, Prospectus or supplement, as applicable, as proposed to be filed, contains a material misstatement or omission;</w:t>
      </w:r>
    </w:p>
    <w:p>
      <w:pPr>
        <w:spacing w:after="0" w:line="127"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564"/>
          </w:cols>
          <w:pgMar w:left="876" w:top="270" w:right="459" w:bottom="1440" w:gutter="0" w:footer="0" w:header="0"/>
        </w:sectPr>
      </w:pPr>
    </w:p>
    <w:bookmarkStart w:id="51" w:name="page52"/>
    <w:bookmarkEnd w:id="51"/>
    <w:p>
      <w:pPr>
        <w:ind w:left="720" w:hanging="301"/>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make the Company’s representatives reasonably available to the Initial Purchasers for customary due diligence matters;</w:t>
      </w:r>
    </w:p>
    <w:p>
      <w:pPr>
        <w:spacing w:after="0" w:line="117" w:lineRule="exact"/>
        <w:rPr>
          <w:rFonts w:ascii="Times New Roman" w:cs="Times New Roman" w:eastAsia="Times New Roman" w:hAnsi="Times New Roman"/>
          <w:sz w:val="18"/>
          <w:szCs w:val="18"/>
          <w:color w:val="auto"/>
        </w:rPr>
      </w:pPr>
    </w:p>
    <w:p>
      <w:pPr>
        <w:ind w:firstLine="419"/>
        <w:spacing w:after="0" w:line="255" w:lineRule="auto"/>
        <w:tabs>
          <w:tab w:leader="none" w:pos="77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available at reasonable times for inspection by the Initial Purchasers, any Holder, the managing underwriter(s), if any, participating in any disposition pursuant to such Registration Statement and any attorney or accountant retained by the Initial Purchasers, Holder or any of the underwriter(s), in each case subject to confidentiality agreements in form and substance customarily entered into by the Initial Purchasers or underwriters, all financial and other records, pertinent corporate documents and properties of the Company and cause the Company’s officers, trustees and employees to supply all information reasonably requested by any such Holder, underwriter, attorney or accountant in connection with such Registration Statement or any post-effective amendment thereto subsequent to the filing thereof and prior to its effectiveness and to participate in meetings with investors to the extent reasonably requested by the managing underwriter(s), if any;</w:t>
      </w:r>
    </w:p>
    <w:p>
      <w:pPr>
        <w:spacing w:after="0" w:line="80" w:lineRule="exact"/>
        <w:rPr>
          <w:rFonts w:ascii="Times New Roman" w:cs="Times New Roman" w:eastAsia="Times New Roman" w:hAnsi="Times New Roman"/>
          <w:sz w:val="18"/>
          <w:szCs w:val="18"/>
          <w:color w:val="auto"/>
        </w:rPr>
      </w:pPr>
    </w:p>
    <w:p>
      <w:pPr>
        <w:ind w:right="80" w:firstLine="419"/>
        <w:spacing w:after="0" w:line="255" w:lineRule="auto"/>
        <w:tabs>
          <w:tab w:leader="none" w:pos="82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requested by any selling Holders listed as selling securityholders in any Registration Statement or the underwriter(s), if any, promptly incorporate in any Registration Statement or Prospectus, pursuant to a supplement or post-effective amendment if necessary, such information as such selling Holders and underwriter(s), if any, may reasonably request to have included therein, including, without limitation, information relating to the “Plan of Distribution” of the Registrable Notes, information with respect to the principal amount of Registrable Notes being sold to such underwriter(s), the purchase price being paid therefor and any other terms of the offering of the Registrable Notes to be sold in such offering; and make all required filings of such Prospectus supplement or post-effective amendment as soon as practicable after the Company is notified of the matters to be incorporated in such Prospectus supplement or post-effective amendment;</w:t>
      </w:r>
    </w:p>
    <w:p>
      <w:pPr>
        <w:spacing w:after="0" w:line="80" w:lineRule="exact"/>
        <w:rPr>
          <w:rFonts w:ascii="Times New Roman" w:cs="Times New Roman" w:eastAsia="Times New Roman" w:hAnsi="Times New Roman"/>
          <w:sz w:val="18"/>
          <w:szCs w:val="18"/>
          <w:color w:val="auto"/>
        </w:rPr>
      </w:pPr>
    </w:p>
    <w:p>
      <w:pPr>
        <w:ind w:right="160" w:firstLine="419"/>
        <w:spacing w:after="0" w:line="261" w:lineRule="auto"/>
        <w:tabs>
          <w:tab w:leader="none" w:pos="72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to the Initial Purchasers, each selling Holder and each of the underwriter(s), if any, without charge, at least one copy of the Registration Statement, as first filed with the Commission, and of each amendment thereto, including financial statements and schedules, if requested, all documents incorporated by reference therein and all exhibits (including exhibits incorporated therein by reference), unless, in each case, publicly available;</w:t>
      </w:r>
    </w:p>
    <w:p>
      <w:pPr>
        <w:spacing w:after="0" w:line="71" w:lineRule="exact"/>
        <w:rPr>
          <w:rFonts w:ascii="Times New Roman" w:cs="Times New Roman" w:eastAsia="Times New Roman" w:hAnsi="Times New Roman"/>
          <w:sz w:val="18"/>
          <w:szCs w:val="18"/>
          <w:color w:val="auto"/>
        </w:rPr>
      </w:pPr>
    </w:p>
    <w:p>
      <w:pPr>
        <w:ind w:right="180" w:firstLine="419"/>
        <w:spacing w:after="0" w:line="261" w:lineRule="auto"/>
        <w:tabs>
          <w:tab w:leader="none" w:pos="67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to each selling Holder and each of the underwriter(s), if any, without charge, as many copies of the Prospectus (including each preliminary prospectus) and any amendment or supplement thereto as such Persons reasonably may request; the Company hereby consent to the use of the Prospectus and any amendment or supplement thereto by each of the selling Holders and each of the underwriter(s), if any, in connection with the offering and the sale of the Registrable Notes covered by the Prospectus or any amendment or supplement thereto;</w:t>
      </w:r>
    </w:p>
    <w:p>
      <w:pPr>
        <w:spacing w:after="0" w:line="11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560"/>
          </w:cols>
          <w:pgMar w:left="880" w:top="270" w:right="459" w:bottom="1440" w:gutter="0" w:footer="0" w:header="0"/>
        </w:sectPr>
      </w:pPr>
    </w:p>
    <w:bookmarkStart w:id="52" w:name="page53"/>
    <w:bookmarkEnd w:id="52"/>
    <w:p>
      <w:pPr>
        <w:ind w:right="240" w:firstLine="419"/>
        <w:spacing w:after="0" w:line="289" w:lineRule="auto"/>
        <w:tabs>
          <w:tab w:leader="none" w:pos="728"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connection with an underwritten offering pursuant to a Shelf Registration Statement, enter into such agreements (including an underwriting agreement), and make such representations and warranties, and take all such other commercially reasonable actions in connection therewith in order to expedite or facilitate the disposition of the Registrable Notes. In furtherance of the foregoing, the Company shall:</w:t>
      </w:r>
    </w:p>
    <w:p>
      <w:pPr>
        <w:spacing w:after="0" w:line="49" w:lineRule="exact"/>
        <w:rPr>
          <w:rFonts w:ascii="Times New Roman" w:cs="Times New Roman" w:eastAsia="Times New Roman" w:hAnsi="Times New Roman"/>
          <w:sz w:val="17"/>
          <w:szCs w:val="17"/>
          <w:color w:val="auto"/>
        </w:rPr>
      </w:pPr>
    </w:p>
    <w:p>
      <w:pPr>
        <w:ind w:left="540" w:right="60" w:firstLine="408"/>
        <w:spacing w:after="0" w:line="266" w:lineRule="auto"/>
        <w:tabs>
          <w:tab w:leader="none" w:pos="1236"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to the Initial Purchasers, each selling Holder and each underwriter in such substance and scope as they may reasonably request and as are customarily made by issuers to underwriters in primary underwritten offerings, upon the date of the effectiveness of the Shelf Registration Statement:</w:t>
      </w:r>
    </w:p>
    <w:p>
      <w:pPr>
        <w:spacing w:after="0" w:line="67" w:lineRule="exact"/>
        <w:rPr>
          <w:rFonts w:ascii="Times New Roman" w:cs="Times New Roman" w:eastAsia="Times New Roman" w:hAnsi="Times New Roman"/>
          <w:sz w:val="18"/>
          <w:szCs w:val="18"/>
          <w:color w:val="auto"/>
        </w:rPr>
      </w:pPr>
    </w:p>
    <w:p>
      <w:pPr>
        <w:ind w:left="980" w:right="200" w:firstLine="391"/>
        <w:spacing w:after="0" w:line="312" w:lineRule="auto"/>
        <w:tabs>
          <w:tab w:leader="none" w:pos="1618" w:val="left"/>
        </w:tabs>
        <w:numPr>
          <w:ilvl w:val="2"/>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certificate, dated the effectiveness of the Shelf Registration Statement, signed by (y) the Chief Executive Officer, the President or any Vice President and (z) a principal financial or accounting officer of the Company, confirming customary matters;</w:t>
      </w:r>
    </w:p>
    <w:p>
      <w:pPr>
        <w:spacing w:after="0" w:line="31" w:lineRule="exact"/>
        <w:rPr>
          <w:rFonts w:ascii="Times New Roman" w:cs="Times New Roman" w:eastAsia="Times New Roman" w:hAnsi="Times New Roman"/>
          <w:sz w:val="17"/>
          <w:szCs w:val="17"/>
          <w:color w:val="auto"/>
        </w:rPr>
      </w:pPr>
    </w:p>
    <w:p>
      <w:pPr>
        <w:ind w:left="980" w:firstLine="391"/>
        <w:spacing w:after="0" w:line="282" w:lineRule="auto"/>
        <w:tabs>
          <w:tab w:leader="none" w:pos="1618"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requested by a majority of selling Holders, an opinion, dated the date of effectiveness of the Shelf Registration Statement, of counsel for the Company, covering the matters customarily covered in opinions requested in underwritten offerings;</w:t>
      </w:r>
    </w:p>
    <w:p>
      <w:pPr>
        <w:spacing w:after="0" w:line="53" w:lineRule="exact"/>
        <w:rPr>
          <w:rFonts w:ascii="Times New Roman" w:cs="Times New Roman" w:eastAsia="Times New Roman" w:hAnsi="Times New Roman"/>
          <w:sz w:val="18"/>
          <w:szCs w:val="18"/>
          <w:color w:val="auto"/>
        </w:rPr>
      </w:pPr>
    </w:p>
    <w:p>
      <w:pPr>
        <w:ind w:left="980" w:right="280" w:firstLine="391"/>
        <w:spacing w:after="0" w:line="266" w:lineRule="auto"/>
        <w:tabs>
          <w:tab w:leader="none" w:pos="1618"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customary comfort letter, dated the date of effectiveness of the Shelf Registration Statement, from the Company’s independent accountants, in the customary form and covering matters of the type customarily requested to be covered in comfort letters by underwriters in connection with primary underwritten offerings;</w:t>
      </w:r>
    </w:p>
    <w:p>
      <w:pPr>
        <w:spacing w:after="0" w:line="67" w:lineRule="exact"/>
        <w:rPr>
          <w:rFonts w:ascii="Times New Roman" w:cs="Times New Roman" w:eastAsia="Times New Roman" w:hAnsi="Times New Roman"/>
          <w:sz w:val="18"/>
          <w:szCs w:val="18"/>
          <w:color w:val="auto"/>
        </w:rPr>
      </w:pPr>
    </w:p>
    <w:p>
      <w:pPr>
        <w:ind w:left="540" w:right="100" w:firstLine="408"/>
        <w:spacing w:after="0" w:line="282" w:lineRule="auto"/>
        <w:tabs>
          <w:tab w:leader="none" w:pos="1226"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 forth in full or incorporate by reference in the underwriting agreement, if any, the indemnification provisions and procedures of Section 8 hereof with respect to all parties to be indemnified pursuant to said Section; and</w:t>
      </w:r>
    </w:p>
    <w:p>
      <w:pPr>
        <w:spacing w:after="0" w:line="53" w:lineRule="exact"/>
        <w:rPr>
          <w:rFonts w:ascii="Times New Roman" w:cs="Times New Roman" w:eastAsia="Times New Roman" w:hAnsi="Times New Roman"/>
          <w:sz w:val="18"/>
          <w:szCs w:val="18"/>
          <w:color w:val="auto"/>
        </w:rPr>
      </w:pPr>
    </w:p>
    <w:p>
      <w:pPr>
        <w:ind w:left="540" w:right="40" w:firstLine="408"/>
        <w:spacing w:after="0" w:line="266" w:lineRule="auto"/>
        <w:tabs>
          <w:tab w:leader="none" w:pos="1226"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such other documents and certificates as may be reasonably requested by such parties to evidence compliance with Section 6(c)(xi)(A) hereof and with any customary conditions contained in the underwriting agreement or other agreement entered into by the Company pursuant to this Section 6(c)(xi), if any.</w:t>
      </w:r>
    </w:p>
    <w:p>
      <w:pPr>
        <w:spacing w:after="0" w:line="68" w:lineRule="exact"/>
        <w:rPr>
          <w:sz w:val="20"/>
          <w:szCs w:val="20"/>
          <w:color w:val="auto"/>
        </w:rPr>
      </w:pPr>
    </w:p>
    <w:p>
      <w:pPr>
        <w:ind w:right="60" w:firstLine="423"/>
        <w:spacing w:after="0" w:line="266" w:lineRule="auto"/>
        <w:rPr>
          <w:sz w:val="20"/>
          <w:szCs w:val="20"/>
          <w:color w:val="auto"/>
        </w:rPr>
      </w:pPr>
      <w:r>
        <w:rPr>
          <w:rFonts w:ascii="Times New Roman" w:cs="Times New Roman" w:eastAsia="Times New Roman" w:hAnsi="Times New Roman"/>
          <w:sz w:val="18"/>
          <w:szCs w:val="18"/>
          <w:color w:val="auto"/>
        </w:rPr>
        <w:t>If at any time the representations and warranties of the Company contemplated in Section 6(c)(xi)(A)(1) hereof cease to be true and correct, the Company shall so advise the Initial Purchasers and the underwriter(s), if any, and each selling Holder promptly and, if requested by such Persons, shall confirm such advice in writing;</w:t>
      </w:r>
    </w:p>
    <w:p>
      <w:pPr>
        <w:spacing w:after="0" w:line="68" w:lineRule="exact"/>
        <w:rPr>
          <w:sz w:val="20"/>
          <w:szCs w:val="20"/>
          <w:color w:val="auto"/>
        </w:rPr>
      </w:pPr>
    </w:p>
    <w:p>
      <w:pPr>
        <w:ind w:firstLine="419"/>
        <w:spacing w:after="0" w:line="255" w:lineRule="auto"/>
        <w:tabs>
          <w:tab w:leader="none" w:pos="77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prior to any public offering of Registrable Notes, cooperate with the selling Holders, the underwriter(s), if any, and their respective counsel in connection with the registration and qualification of the Registrable Notes under the state securities or blue sky laws of such jurisdictions as the selling Holders or underwriter(s), if any, may request and do any and all other acts or things necessary or advisable to enable the disposition in such jurisdictions of the Registrable Notes covered by the Shelf Registration Statement;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Company shall not be required to register or qualify as a foreign corporation where it is not then so qualified or to take any action that would subject it to the service of process in suits or to taxation, other than as to matters and transactions relating to the Registration Statement, in any jurisdiction where it is not then so subject;</w:t>
      </w:r>
    </w:p>
    <w:p>
      <w:pPr>
        <w:spacing w:after="0" w:line="80" w:lineRule="exact"/>
        <w:rPr>
          <w:rFonts w:ascii="Times New Roman" w:cs="Times New Roman" w:eastAsia="Times New Roman" w:hAnsi="Times New Roman"/>
          <w:sz w:val="18"/>
          <w:szCs w:val="18"/>
          <w:color w:val="auto"/>
        </w:rPr>
      </w:pPr>
    </w:p>
    <w:p>
      <w:pPr>
        <w:ind w:right="60" w:firstLine="419"/>
        <w:spacing w:after="0" w:line="256" w:lineRule="auto"/>
        <w:tabs>
          <w:tab w:leader="none" w:pos="82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Shelf Registration Statement, shall issue, upon the request of any Holder of Notes covered by the Shelf Registration Statement and only in connection with any valid sale of Notes by such Holder pursuant to such registration statement (and provided that such Holder delivers such certificates or opinions reasonably requested by the Company in connection with such sale), Exchange Notes having an aggregate principal amount equal to the aggregate principal amount of Notes surrendered to the Company by such Holder in exchange therefor or being sold by such Holder; such Exchange Notes to be registered in the name of such Holder or in the name of the purchaser(s) of such Exchange Notes, as the case may be; in return, the Notes held by such Holder shall be surrendered to the Company for cancellation;</w:t>
      </w:r>
    </w:p>
    <w:p>
      <w:pPr>
        <w:spacing w:after="0" w:line="120"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540"/>
          </w:cols>
          <w:pgMar w:left="880" w:top="270" w:right="479" w:bottom="1440" w:gutter="0" w:footer="0" w:header="0"/>
        </w:sectPr>
      </w:pPr>
    </w:p>
    <w:bookmarkStart w:id="53" w:name="page54"/>
    <w:bookmarkEnd w:id="53"/>
    <w:p>
      <w:pPr>
        <w:ind w:firstLine="419"/>
        <w:spacing w:after="0" w:line="258" w:lineRule="auto"/>
        <w:tabs>
          <w:tab w:leader="none" w:pos="81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case of a Shelf Registration Statement, and subject to the forms of the Indenture, cooperate with the selling Holders and the underwriter(s), if any, to facilitate the timely preparation and delivery of certificates or book-entry receipts, as applicable, representing Registrable Notes to be sold and not bearing any restrictive legends; and enable such Registrable Notes or such book-entry receipts, as applicable, to be in such denominations and registered in such names as the Holders or the underwriter(s), if any, may request at least two Business Days prior to any sale of Registrable Notes made by such Holders or underwriter(s);</w:t>
      </w:r>
    </w:p>
    <w:p>
      <w:pPr>
        <w:spacing w:after="0" w:line="75" w:lineRule="exact"/>
        <w:rPr>
          <w:rFonts w:ascii="Times New Roman" w:cs="Times New Roman" w:eastAsia="Times New Roman" w:hAnsi="Times New Roman"/>
          <w:sz w:val="18"/>
          <w:szCs w:val="18"/>
          <w:color w:val="auto"/>
        </w:rPr>
      </w:pPr>
    </w:p>
    <w:p>
      <w:pPr>
        <w:jc w:val="both"/>
        <w:ind w:right="220" w:firstLine="419"/>
        <w:spacing w:after="0" w:line="266" w:lineRule="auto"/>
        <w:tabs>
          <w:tab w:leader="none" w:pos="76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its commercially reasonable efforts to cause the Registrable Notes covered by the Registration Statement to be registered with or approved by such other governmental agencies or authorities as may be necessary to enable the seller or sellers thereof or the underwriter(s), if any, to consummate the disposition of such Registrable Notes, subject to the proviso contained in Section 6(c)(xii) hereof;</w:t>
      </w:r>
    </w:p>
    <w:p>
      <w:pPr>
        <w:spacing w:after="0" w:line="67" w:lineRule="exact"/>
        <w:rPr>
          <w:rFonts w:ascii="Times New Roman" w:cs="Times New Roman" w:eastAsia="Times New Roman" w:hAnsi="Times New Roman"/>
          <w:sz w:val="18"/>
          <w:szCs w:val="18"/>
          <w:color w:val="auto"/>
        </w:rPr>
      </w:pPr>
    </w:p>
    <w:p>
      <w:pPr>
        <w:ind w:right="100" w:firstLine="419"/>
        <w:spacing w:after="0" w:line="261" w:lineRule="auto"/>
        <w:tabs>
          <w:tab w:leader="none" w:pos="81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fact or event contemplated by Section 6(c)(iv)(D) hereof shall exist or have occurred, prepare a supplement or post-effective amendment to the Registration Statement or related Prospectus or any document incorporated therein by reference or file any other required document so that, as thereafter delivered to the purchasers of Registrable Notes, the Prospectus will not contain an untrue statement of a material fact or omit to state any material fact necessary in order to make the statements therein not misleading;</w:t>
      </w:r>
    </w:p>
    <w:p>
      <w:pPr>
        <w:spacing w:after="0" w:line="71" w:lineRule="exact"/>
        <w:rPr>
          <w:rFonts w:ascii="Times New Roman" w:cs="Times New Roman" w:eastAsia="Times New Roman" w:hAnsi="Times New Roman"/>
          <w:sz w:val="18"/>
          <w:szCs w:val="18"/>
          <w:color w:val="auto"/>
        </w:rPr>
      </w:pPr>
    </w:p>
    <w:p>
      <w:pPr>
        <w:ind w:right="20" w:firstLine="419"/>
        <w:spacing w:after="0" w:line="261" w:lineRule="auto"/>
        <w:tabs>
          <w:tab w:leader="none" w:pos="86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later than the effective date of the Registration Statement covering such Exchange Notes, provide that the CUSIP and ISIN numbers for all Exchange Notes shall be the same unrestricted CUSIP and ISIN numbers as borne by the Existing Notes and provide the Trustee under the Indenture with printed certificates for such Exchange Notes which are in a form eligible for deposit with the Depository Trust Company and take all other action necessary to ensure that all such Exchange Notes are eligible for deposit with the Depository Trust Company;</w:t>
      </w:r>
    </w:p>
    <w:p>
      <w:pPr>
        <w:spacing w:after="0" w:line="71" w:lineRule="exact"/>
        <w:rPr>
          <w:rFonts w:ascii="Times New Roman" w:cs="Times New Roman" w:eastAsia="Times New Roman" w:hAnsi="Times New Roman"/>
          <w:sz w:val="18"/>
          <w:szCs w:val="18"/>
          <w:color w:val="auto"/>
        </w:rPr>
      </w:pPr>
    </w:p>
    <w:p>
      <w:pPr>
        <w:jc w:val="both"/>
        <w:ind w:right="20" w:firstLine="419"/>
        <w:spacing w:after="0" w:line="266" w:lineRule="auto"/>
        <w:tabs>
          <w:tab w:leader="none" w:pos="91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cooperate and assist in any filings required to be made with the FINRA and in the performance of any due diligence investigation by any underwriter (including any “qualified independent underwriter”) that is required to be retained in accordance with the rules and regulations of the FINRA;</w:t>
      </w:r>
    </w:p>
    <w:p>
      <w:pPr>
        <w:spacing w:after="0" w:line="67" w:lineRule="exact"/>
        <w:rPr>
          <w:rFonts w:ascii="Times New Roman" w:cs="Times New Roman" w:eastAsia="Times New Roman" w:hAnsi="Times New Roman"/>
          <w:sz w:val="18"/>
          <w:szCs w:val="18"/>
          <w:color w:val="auto"/>
        </w:rPr>
      </w:pPr>
    </w:p>
    <w:p>
      <w:pPr>
        <w:ind w:right="80" w:firstLine="419"/>
        <w:spacing w:after="0" w:line="256" w:lineRule="auto"/>
        <w:tabs>
          <w:tab w:leader="none" w:pos="81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use its commercially reasonable efforts to comply with all applicable rules and regulations of the Commission, and make generally available to its security holders, as soon as practicable, a consolidated earnings statement meeting the requirements of Rule 158 under the Securities Act (which need not be audited) for the twelve-month period (A) commencing at the end of any fiscal quarter in which Registrable Notes are sold to underwriters in a firm commitment or commercially reasonable efforts Underwritten Offering or (B) if not sold to underwriters in such an offering, beginning with the first month of the Company’s first fiscal quarter commencing after the effective date of the Registration Statement; and</w:t>
      </w:r>
    </w:p>
    <w:p>
      <w:pPr>
        <w:spacing w:after="0" w:line="79" w:lineRule="exact"/>
        <w:rPr>
          <w:rFonts w:ascii="Times New Roman" w:cs="Times New Roman" w:eastAsia="Times New Roman" w:hAnsi="Times New Roman"/>
          <w:sz w:val="18"/>
          <w:szCs w:val="18"/>
          <w:color w:val="auto"/>
        </w:rPr>
      </w:pPr>
    </w:p>
    <w:p>
      <w:pPr>
        <w:ind w:right="120" w:firstLine="419"/>
        <w:spacing w:after="0" w:line="256" w:lineRule="auto"/>
        <w:tabs>
          <w:tab w:leader="none" w:pos="76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the Indenture to continue to be qualified under the Trust Indenture Act as of, and not later than the effective date of the first Registration Statement required by this Agreement, and, in connection therewith, cooperate with the Trustee and the Holders of Exchange Notes to effect such changes to the Indenture as may be required for such Indenture to remain so qualified in accordance with the terms of the Trust Indenture Act; and to execute and use its commercially reasonable efforts to cause the Trustee to execute, all documents that may be required to effect such changes and all other forms and documents required to be filed with the Commission to enable such Indenture to be so qualified in a timely manner.</w:t>
      </w:r>
    </w:p>
    <w:p>
      <w:pPr>
        <w:spacing w:after="0" w:line="120"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520"/>
          </w:cols>
          <w:pgMar w:left="880" w:top="270" w:right="499" w:bottom="1440" w:gutter="0" w:footer="0" w:header="0"/>
        </w:sectPr>
      </w:pPr>
    </w:p>
    <w:bookmarkStart w:id="54" w:name="page55"/>
    <w:bookmarkEnd w:id="54"/>
    <w:p>
      <w:pPr>
        <w:ind w:left="4" w:right="20" w:firstLine="440"/>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Holder agrees by acquisition of a Registrable Note that, upon receipt of any notice from the Company of the existence of any fact of the kind described in Section 6(c)(iv)(D) hereof or any Suspension Period, such Holder will forthwith discontinue disposition of Registrable Notes pursuant to the applicable Registration Statement until such Holder’s receipt of the copies of the supplemented or amended Prospectus contemplated by Section 6(c)</w:t>
      </w:r>
    </w:p>
    <w:p>
      <w:pPr>
        <w:spacing w:after="0" w:line="2" w:lineRule="exact"/>
        <w:rPr>
          <w:sz w:val="20"/>
          <w:szCs w:val="20"/>
          <w:color w:val="auto"/>
        </w:rPr>
      </w:pPr>
    </w:p>
    <w:p>
      <w:pPr>
        <w:ind w:left="4" w:right="20" w:hanging="4"/>
        <w:spacing w:after="0" w:line="251" w:lineRule="auto"/>
        <w:tabs>
          <w:tab w:leader="none" w:pos="39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hereof, or until it is advised in writing (the “</w:t>
      </w:r>
      <w:r>
        <w:rPr>
          <w:rFonts w:ascii="Times New Roman" w:cs="Times New Roman" w:eastAsia="Times New Roman" w:hAnsi="Times New Roman"/>
          <w:sz w:val="18"/>
          <w:szCs w:val="18"/>
          <w:b w:val="1"/>
          <w:bCs w:val="1"/>
          <w:i w:val="1"/>
          <w:iCs w:val="1"/>
          <w:color w:val="auto"/>
        </w:rPr>
        <w:t>Advice</w:t>
      </w:r>
      <w:r>
        <w:rPr>
          <w:rFonts w:ascii="Times New Roman" w:cs="Times New Roman" w:eastAsia="Times New Roman" w:hAnsi="Times New Roman"/>
          <w:sz w:val="18"/>
          <w:szCs w:val="18"/>
          <w:color w:val="auto"/>
        </w:rPr>
        <w:t xml:space="preserve">”) by the Company that the use of the Prospectus may be resumed, and has received copies of any additional or supplemental filings that are incorporated by reference in the Prospectus. If so directed by the Company, each Holder will deliver to the Company (at the Company’s expense) all copies, other than permanent file copies then in such Holder’s possession, of the Prospectus covering such Registrable Notes that was current at the time of receipt of such notice. In the event the Company shall give any such notice, the time period regarding the effectiveness of such Registration Statement set forth in Section 3 or 4 hereof, as applicable, shall be extended by the number of days during the period from and including the date of the giving of such notice pursuant to Section 6(c)(iv)(D) hereof or notice of any Suspension Period to and including the date when each selling Holder covered by such Registration Statement shall have received the copies of the supplemented or amended Prospectus contemplated by Section 6(c)(xvi) hereof or shall have received the Advice;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no such extension shall be taken into account in determining whether Additional Interest is due pursuant to Section 5 hereof or the amount of such Additional Interest, it being agreed that the Company’s option to suspend use of a Registration Statement pursuant to this paragraph shall be treated as a Registration Default for purposes of Section 5 hereof.</w:t>
      </w:r>
    </w:p>
    <w:p>
      <w:pPr>
        <w:spacing w:after="0" w:line="190"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i w:val="1"/>
          <w:iCs w:val="1"/>
          <w:color w:val="auto"/>
        </w:rPr>
        <w:t>Registration Expenses</w:t>
      </w:r>
      <w:r>
        <w:rPr>
          <w:rFonts w:ascii="Times New Roman" w:cs="Times New Roman" w:eastAsia="Times New Roman" w:hAnsi="Times New Roman"/>
          <w:sz w:val="18"/>
          <w:szCs w:val="18"/>
          <w:color w:val="auto"/>
        </w:rPr>
        <w:t>. All expenses incident to the Company’s performance of or compliance with this Agreement will be borne by the Company regardless of whether a Registration Statement becomes or is declared effective, including, without limitation: (i) all registration and filing fees and expenses (including filings made by the Initial Purchasers or Holder with the FINRA (and, if applicable, the fees and expenses of any “qualified independent underwriter” and its counsel that may be required by the rules and regulations of the FINRA)); (ii) all fees and expenses of compliance with federal securities and state securities or blue sky laws; (iii) all expenses of printing (including printing certificates for the Exchange Notes to be issued in the Exchange Offer and printing of Prospectuses), messenger and delivery services and telephone; (iv) all fees and disbursements of counsel for the Company; (v) application and filing fees in connection with listing the Notes on a securities exchange or automated quotation system pursuant to the requirements thereof; and (vi) all fees and disbursements of independent certified public accountants of the Company (including the expenses of any special audit and comfort letters required by or incident to such performance).</w:t>
      </w:r>
    </w:p>
    <w:p>
      <w:pPr>
        <w:spacing w:after="0" w:line="190" w:lineRule="exact"/>
        <w:rPr>
          <w:sz w:val="20"/>
          <w:szCs w:val="20"/>
          <w:color w:val="auto"/>
        </w:rPr>
      </w:pPr>
    </w:p>
    <w:p>
      <w:pPr>
        <w:ind w:left="4" w:right="100" w:firstLine="440"/>
        <w:spacing w:after="0" w:line="266" w:lineRule="auto"/>
        <w:rPr>
          <w:sz w:val="20"/>
          <w:szCs w:val="20"/>
          <w:color w:val="auto"/>
        </w:rPr>
      </w:pPr>
      <w:r>
        <w:rPr>
          <w:rFonts w:ascii="Times New Roman" w:cs="Times New Roman" w:eastAsia="Times New Roman" w:hAnsi="Times New Roman"/>
          <w:sz w:val="18"/>
          <w:szCs w:val="18"/>
          <w:color w:val="auto"/>
        </w:rPr>
        <w:t>The Company will, in any event, bear its internal expenses (including, without limitation, all salaries and expenses of its officers and employees performing legal or accounting duties), the expenses of any annual audit and the fees and expenses of any Person, including special experts, retained by the Company.</w:t>
      </w:r>
    </w:p>
    <w:p>
      <w:pPr>
        <w:spacing w:after="0" w:line="28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i w:val="1"/>
          <w:iCs w:val="1"/>
          <w:color w:val="auto"/>
        </w:rPr>
        <w:t>Indemnification</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left="4" w:right="60" w:firstLine="436"/>
        <w:spacing w:after="0" w:line="256" w:lineRule="auto"/>
        <w:tabs>
          <w:tab w:leader="none" w:pos="68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indemnify and hold harmless (i) each Holder and (ii) each Person, if any, who controls (within the meaning of Section 15 of the Securities Act or Section 20 of the Exchange Act) any Holder (any of the Persons referred to in this clause (ii) being hereinafter referred to as a “</w:t>
      </w:r>
      <w:r>
        <w:rPr>
          <w:rFonts w:ascii="Times New Roman" w:cs="Times New Roman" w:eastAsia="Times New Roman" w:hAnsi="Times New Roman"/>
          <w:sz w:val="18"/>
          <w:szCs w:val="18"/>
          <w:b w:val="1"/>
          <w:bCs w:val="1"/>
          <w:i w:val="1"/>
          <w:iCs w:val="1"/>
          <w:color w:val="auto"/>
        </w:rPr>
        <w:t>Controlling Person</w:t>
      </w:r>
      <w:r>
        <w:rPr>
          <w:rFonts w:ascii="Times New Roman" w:cs="Times New Roman" w:eastAsia="Times New Roman" w:hAnsi="Times New Roman"/>
          <w:sz w:val="18"/>
          <w:szCs w:val="18"/>
          <w:color w:val="auto"/>
        </w:rPr>
        <w:t>”) and (iii) the respective officers, trustees, partners, employees, representatives and agents of any Holder or any Controlling Person (any Person referred to in clause (i), (ii) or (iii) may hereinafter be referred to as an “</w:t>
      </w:r>
      <w:r>
        <w:rPr>
          <w:rFonts w:ascii="Times New Roman" w:cs="Times New Roman" w:eastAsia="Times New Roman" w:hAnsi="Times New Roman"/>
          <w:sz w:val="18"/>
          <w:szCs w:val="18"/>
          <w:b w:val="1"/>
          <w:bCs w:val="1"/>
          <w:i w:val="1"/>
          <w:iCs w:val="1"/>
          <w:color w:val="auto"/>
        </w:rPr>
        <w:t>Indemnified Holder</w:t>
      </w:r>
      <w:r>
        <w:rPr>
          <w:rFonts w:ascii="Times New Roman" w:cs="Times New Roman" w:eastAsia="Times New Roman" w:hAnsi="Times New Roman"/>
          <w:sz w:val="18"/>
          <w:szCs w:val="18"/>
          <w:color w:val="auto"/>
        </w:rPr>
        <w:t>”), to the fullest extent lawful, from and against any and all losses, claims, damages, liabilities, judgments, actions and expenses (including, without limitation, and as incurred, reimbursement of all reasonable costs of investigating, preparing, pursuing, settling,</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4"/>
          </w:cols>
          <w:pgMar w:left="436" w:top="270" w:right="459" w:bottom="1440" w:gutter="0" w:footer="0" w:header="0"/>
        </w:sectPr>
      </w:pPr>
    </w:p>
    <w:bookmarkStart w:id="55" w:name="page56"/>
    <w:bookmarkEnd w:id="55"/>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compromising, paying or defending any claim or action, or any investigation or proceeding by any governmental agency or body, commenced or threatened, including the reasonable and documented fees and expenses of counsel to any Indemnified Holder), joint or several, directly or indirectly caused by, related to, based upon, arising out of or in connection with any untrue statement or alleged untrue statement of a material fact contained in any Registration Statement or Prospectus (or any amendment or supplement thereto), or any omission or alleged omission to state therein a material fact required to be stated therein or necessary to make the statements therein (in the case of any Prospectus, in the light of the circumstances under which they were made), not misleading, except insofar as such losses, claims, damages, liabilities or expenses are caused by an untrue statement or omission or alleged untrue statement or omission that is made in reliance upon and in conformity with information relating to any of the Holders furnished in writing to the Company by or on behalf of any of the Holders expressly for use therein. This indemnity agreement shall be in addition to any liability which the Company may otherwise have.</w:t>
      </w:r>
    </w:p>
    <w:p>
      <w:pPr>
        <w:spacing w:after="0" w:line="188"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In case any action or proceeding (including any governmental or regulatory investigation or proceeding) shall be brought or asserted against any of the Indemnified Holders with respect to which indemnity may be sought against the Company, such Indemnified Holder (or the Indemnified Holder controlled by such Controlling Person) shall promptly notify the Company in writing;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failure to give such notice shall not relieve any of the Company of its obligations pursuant to this Agreement unless and to the extent the Company did not otherwise learn of such action and such failure results in the forfeiture by the Company of substantial rights and defenses. Such Indemnified Holder shall have the right to employ its own counsel in any such action and the reasonable and documented fees and expenses of such counsel shall be paid, as incurred, by the Company (regardless of whether it is ultimately determined that an Indemnified Holder is not entitled to indemnification hereunder). The Company shall not, in connection with any one such action or proceeding or separate but substantially similar or related actions or proceedings in the same jurisdiction arising out of the same general allegations or circumstances, be liable for the reasonable and documented fees and expenses of more than one separate firm of attorneys (in addition to one local counsel for all indemnified parties taken as a whole in each jurisdiction reasonably required and, in the event of an actual conflict, one additional counsel in each relevant jurisdiction for the affected indemnified parties similarly situated taken as a whole) at any time for such Indemnified Holders, which firm shall be designated by the Holders. The Company shall be liable for any settlement of any such action or proceeding effected with the Company’s prior written consent, which consent shall not be unreasonably withheld or delayed, and the Company agrees to indemnify and hold harmless any Indemnified Holder from and against any loss, claim, damage, liability or expense by reason of any settlement of any action effected with the written consent of the Company. The Company shall not, without the prior written consent of each Indemnified Holder, settle or compromise or consent to the entry of judgment in or otherwise seek to terminate any pending or threatened action, claim, litigation or proceeding in respect of which indemnification or contribution may be sought hereunder (whether or not any Indemnified Holder is a party thereto), unless such settlement, compromise, consent or termination (i) includes a complete and unconditional release of each Indemnified Holder from all liability arising out of such action, claim, litigation or proceeding and (ii) does not include a statement as to or an admission of fault, culpability or a failure to act, by or on behalf of any Indemnified Holder.</w:t>
      </w:r>
    </w:p>
    <w:p>
      <w:pPr>
        <w:spacing w:after="0" w:line="189" w:lineRule="exact"/>
        <w:rPr>
          <w:sz w:val="20"/>
          <w:szCs w:val="20"/>
          <w:color w:val="auto"/>
        </w:rPr>
      </w:pPr>
    </w:p>
    <w:p>
      <w:pPr>
        <w:ind w:right="140" w:firstLine="436"/>
        <w:spacing w:after="0" w:line="258" w:lineRule="auto"/>
        <w:tabs>
          <w:tab w:leader="none" w:pos="69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Holder of Registrable Notes agrees, severally and not jointly, to indemnify and hold harmless the Company and its trustees and officers who sign a Registration Statement, and any Person controlling (within the meaning of Section 15 of the Securities Act or Section 20 of the Exchange Act) the Company and its officers, trustees, partners, employees, representatives and agents, to the same extent as the foregoing indemnity from the Company to each of the Indemnified Holders, but only with respect to claims and actions based on information relating to such Holder furnished in writing by or on behalf of</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80"/>
          </w:cols>
          <w:pgMar w:left="440" w:top="270" w:right="479" w:bottom="1440" w:gutter="0" w:footer="0" w:header="0"/>
        </w:sectPr>
      </w:pPr>
    </w:p>
    <w:bookmarkStart w:id="56" w:name="page57"/>
    <w:bookmarkEnd w:id="56"/>
    <w:p>
      <w:pPr>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such Holder expressly for use in any Registration Statement. In case any action or proceeding shall be brought against the Company or its trustees or officers or any such Controlling Person in respect of which indemnity may be sought against a Holder of Registrable Notes, such Holder shall have the rights and duties given to the Company, and the Company and its trustees and officers and such Controlling Person shall have the rights and duties given to each Holder by the preceding paragraph. This indemnity agreement shall be in addition to any liability which Holders may otherwise have.</w:t>
      </w:r>
    </w:p>
    <w:p>
      <w:pPr>
        <w:spacing w:after="0" w:line="180" w:lineRule="exact"/>
        <w:rPr>
          <w:sz w:val="20"/>
          <w:szCs w:val="20"/>
          <w:color w:val="auto"/>
        </w:rPr>
      </w:pPr>
    </w:p>
    <w:p>
      <w:pPr>
        <w:ind w:firstLine="436"/>
        <w:spacing w:after="0" w:line="252" w:lineRule="auto"/>
        <w:tabs>
          <w:tab w:leader="none" w:pos="68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indemnification provided for in this Section 8 is unavailable to an indemnified party under Section 8(a) or (b) hereof (other than by reason of exceptions provided in those Sections) in respect of any losses, claims, damages, liabilities, judgments, actions or expenses referred to therein, then each applicable indemnifying party, in lieu of indemnifying such indemnified party, shall contribute to the amount paid or payable by such indemnified party as a result of such losses, claims, damages, liabilities, judgments, actions or expenses in such proportion as is appropriate to reflect the relative benefits received by the Company, on the one hand, and the Holders, on the other hand, from the Initial Placement (which in the case of the Company shall be deemed to be equal to the total gross proceeds to the Company from the Initial Placement), the amount of Additional Interest which did not become payable as a result of the filing of the Registration Statement resulting in such losses, claims, damages, liabilities, judgments, actions or expenses, and such Registration Statement, or if such allocation is not permitted by applicable law, the relative fault of the Company, on the one hand, and the Holders, on the other hand, in connection with the statements or omissions which resulted in such losses, claims, damages, liabilities or expenses, as well as any other relevant equitable considerations. The relative fault of the Company, on the one hand, and of the Indemnified Holder, on the other hand, shall be determined by reference to, among other things, whether the untrue or alleged untrue statement of a material fact or the omission or alleged omission to state a material fact relates to information supplied by the Company, on the one hand, or the Indemnified Holders, on the other hand, and the parties’ relative intent, knowledge, access to information and opportunity to correct or prevent such statement or omission. The amount paid or payable by a party as a result of the losses, claims, damages, liabilities and expenses referred to above shall be deemed to include, subject to the limitations set forth in the second paragraph of Section 8(a) hereof, any legal or other fees or expenses reasonably incurred by such party in connection with investigating or defending any action or claim.</w:t>
      </w:r>
    </w:p>
    <w:p>
      <w:pPr>
        <w:spacing w:after="0" w:line="195" w:lineRule="exact"/>
        <w:rPr>
          <w:sz w:val="20"/>
          <w:szCs w:val="20"/>
          <w:color w:val="auto"/>
        </w:rPr>
      </w:pPr>
    </w:p>
    <w:p>
      <w:pPr>
        <w:ind w:right="20" w:firstLine="440"/>
        <w:spacing w:after="0" w:line="269" w:lineRule="auto"/>
        <w:rPr>
          <w:sz w:val="20"/>
          <w:szCs w:val="20"/>
          <w:color w:val="auto"/>
        </w:rPr>
      </w:pPr>
      <w:r>
        <w:rPr>
          <w:rFonts w:ascii="Times New Roman" w:cs="Times New Roman" w:eastAsia="Times New Roman" w:hAnsi="Times New Roman"/>
          <w:sz w:val="17"/>
          <w:szCs w:val="17"/>
          <w:color w:val="auto"/>
        </w:rPr>
        <w:t>The Company and each Holder of Registrable Notes agrees that it would not be just and equitable if contribution pursuant to this Section 8(c) were determined by pro rata allocation (even if the Holders were treated as one entity for such purpose) or by any other method of allocation which does not take account of the equitable considerations referred to in the immediately preceding paragraph. The amount paid or payable by an indemnified party as a result of the losses, claims, damages, liabilities or expenses referred to in the immediately preceding paragraph shall be deemed to include, subject to the limitations set forth above, any legal or other expenses reasonably incurred by such indemnified party in connection with investigating or defending any such action or claim. Notwithstanding the provisions of this Section 8, none of the Holders (and its related Indemnified Holders) shall be required to contribute, in the aggregate, any amount in excess of the amount by which the total discount received by such Holder with respect to the Notes exceeds the amount of any damages which such Holder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Holders’ obligations to contribute pursuant to this Section 8(c) are several in proportion to the respective principal amount of Notes held by each of the Holders hereunder and not joint.</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70" w:right="459" w:bottom="1440" w:gutter="0" w:footer="0" w:header="0"/>
        </w:sectPr>
      </w:pPr>
    </w:p>
    <w:bookmarkStart w:id="57" w:name="page58"/>
    <w:bookmarkEnd w:id="57"/>
    <w:p>
      <w:pPr>
        <w:ind w:right="100" w:firstLine="440"/>
        <w:spacing w:after="0" w:line="28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9. </w:t>
      </w:r>
      <w:r>
        <w:rPr>
          <w:rFonts w:ascii="Times New Roman" w:cs="Times New Roman" w:eastAsia="Times New Roman" w:hAnsi="Times New Roman"/>
          <w:sz w:val="17"/>
          <w:szCs w:val="17"/>
          <w:i w:val="1"/>
          <w:iCs w:val="1"/>
          <w:color w:val="auto"/>
        </w:rPr>
        <w:t>Rule 144A</w:t>
      </w:r>
      <w:r>
        <w:rPr>
          <w:rFonts w:ascii="Times New Roman" w:cs="Times New Roman" w:eastAsia="Times New Roman" w:hAnsi="Times New Roman"/>
          <w:sz w:val="17"/>
          <w:szCs w:val="17"/>
          <w:color w:val="auto"/>
        </w:rPr>
        <w:t>. The Company hereby agrees with each Holder, for so long as any Registrable Notes remain outstanding, to make available to any Holder or beneficial owner of Registrable Notes in connection with any sale thereof and any prospective purchaser of such Registrable Notes from such Holder or beneficial owner, the information required by Rule 144A(d)(4) under the Securities Act in order to permit resales of such Registrable Notes pursuant to Rule 144A under the Securities Act, unless the Company is then subject to Section 13 or 15(d) of the Exchange Act.</w:t>
      </w:r>
    </w:p>
    <w:p>
      <w:pPr>
        <w:spacing w:after="0" w:line="164" w:lineRule="exact"/>
        <w:rPr>
          <w:sz w:val="20"/>
          <w:szCs w:val="20"/>
          <w:color w:val="auto"/>
        </w:rPr>
      </w:pPr>
    </w:p>
    <w:p>
      <w:pPr>
        <w:ind w:right="2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i w:val="1"/>
          <w:iCs w:val="1"/>
          <w:color w:val="auto"/>
        </w:rPr>
        <w:t>Participation in Underwritten Registrations</w:t>
      </w:r>
      <w:r>
        <w:rPr>
          <w:rFonts w:ascii="Times New Roman" w:cs="Times New Roman" w:eastAsia="Times New Roman" w:hAnsi="Times New Roman"/>
          <w:sz w:val="18"/>
          <w:szCs w:val="18"/>
          <w:color w:val="auto"/>
        </w:rPr>
        <w:t>. No Holder may participate in any Underwritten Registration hereunder unless such Holder (a) agrees to sell such Holder’s Registrable Notes on the basis provided in any underwriting arrangements approved by the Persons entitled hereunder to approve such arrangements and (b) completes and executes all reasonable questionnaires, powers of attorney, indemnities, underwriting agreements, lock-up letters and other documents required under the terms of such underwriting arrangements.</w:t>
      </w:r>
    </w:p>
    <w:p>
      <w:pPr>
        <w:spacing w:after="0" w:line="180"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i w:val="1"/>
          <w:iCs w:val="1"/>
          <w:color w:val="auto"/>
        </w:rPr>
        <w:t>Selection of Underwriters</w:t>
      </w:r>
      <w:r>
        <w:rPr>
          <w:rFonts w:ascii="Times New Roman" w:cs="Times New Roman" w:eastAsia="Times New Roman" w:hAnsi="Times New Roman"/>
          <w:sz w:val="18"/>
          <w:szCs w:val="18"/>
          <w:color w:val="auto"/>
        </w:rPr>
        <w:t xml:space="preserve">. If requested by the Holders of a majority in aggregate principal amount of the Registrable Notes covered by the Shelf Registration Statement, the Holders of Registrable Notes covered by the Shelf Registration Statement who desire to do so may sell such Registrable Notes in an Underwritten Offering. In such Underwritten Offering, the investment banker(s) and managing underwriter(s) that will administer such offering will be selected by the Holders of a majority in aggregate principal amount of the Registrable Notes included in such offering;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such investment banker(s) and managing underwriter(s) must be reasonably satisfactory to the Company.</w:t>
      </w:r>
    </w:p>
    <w:p>
      <w:pPr>
        <w:spacing w:after="0" w:line="29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i w:val="1"/>
          <w:iCs w:val="1"/>
          <w:color w:val="auto"/>
        </w:rPr>
        <w:t>Miscellaneous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right="380" w:firstLine="436"/>
        <w:spacing w:after="0" w:line="267" w:lineRule="auto"/>
        <w:tabs>
          <w:tab w:leader="none" w:pos="68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Remedies</w:t>
      </w:r>
      <w:r>
        <w:rPr>
          <w:rFonts w:ascii="Times New Roman" w:cs="Times New Roman" w:eastAsia="Times New Roman" w:hAnsi="Times New Roman"/>
          <w:sz w:val="18"/>
          <w:szCs w:val="18"/>
          <w:color w:val="auto"/>
        </w:rPr>
        <w:t>. The Company hereby agrees that monetary damages would not be adequate compensation for any loss incurred by reason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breach by it of the provisions of this Agreement and hereby agrees to waive the defense in any action for specific performance that a remedy at law would be adequate.</w:t>
      </w:r>
    </w:p>
    <w:p>
      <w:pPr>
        <w:spacing w:after="0" w:line="173" w:lineRule="exact"/>
        <w:rPr>
          <w:rFonts w:ascii="Times New Roman" w:cs="Times New Roman" w:eastAsia="Times New Roman" w:hAnsi="Times New Roman"/>
          <w:sz w:val="18"/>
          <w:szCs w:val="18"/>
          <w:color w:val="auto"/>
        </w:rPr>
      </w:pPr>
    </w:p>
    <w:p>
      <w:pPr>
        <w:ind w:right="500" w:firstLine="436"/>
        <w:spacing w:after="0" w:line="261" w:lineRule="auto"/>
        <w:tabs>
          <w:tab w:leader="none" w:pos="69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Inconsistent Agreements</w:t>
      </w:r>
      <w:r>
        <w:rPr>
          <w:rFonts w:ascii="Times New Roman" w:cs="Times New Roman" w:eastAsia="Times New Roman" w:hAnsi="Times New Roman"/>
          <w:sz w:val="18"/>
          <w:szCs w:val="18"/>
          <w:color w:val="auto"/>
        </w:rPr>
        <w:t>. The Company will not on or after the date of this Agreement enter into any agreement with respect to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that is inconsistent with the rights granted to the Holders in this Agreement or otherwise conflicts with the provisions hereof. The rights granted to the Holders hereunder do not in any way conflict with and are not inconsistent with the rights granted to the holders of the Company’s securities under any agreement in effect on the date hereof.</w:t>
      </w:r>
    </w:p>
    <w:p>
      <w:pPr>
        <w:spacing w:after="0" w:line="179" w:lineRule="exact"/>
        <w:rPr>
          <w:rFonts w:ascii="Times New Roman" w:cs="Times New Roman" w:eastAsia="Times New Roman" w:hAnsi="Times New Roman"/>
          <w:sz w:val="18"/>
          <w:szCs w:val="18"/>
          <w:color w:val="auto"/>
        </w:rPr>
      </w:pPr>
    </w:p>
    <w:p>
      <w:pPr>
        <w:ind w:right="180" w:firstLine="436"/>
        <w:spacing w:after="0" w:line="284" w:lineRule="auto"/>
        <w:tabs>
          <w:tab w:leader="none" w:pos="68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Adjustments Affecting the Notes</w:t>
      </w:r>
      <w:r>
        <w:rPr>
          <w:rFonts w:ascii="Times New Roman" w:cs="Times New Roman" w:eastAsia="Times New Roman" w:hAnsi="Times New Roman"/>
          <w:sz w:val="18"/>
          <w:szCs w:val="18"/>
          <w:color w:val="auto"/>
        </w:rPr>
        <w:t>. The Company will not take any action, or permit any change to occur, with respect to the Registrable Notes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would materially and adversely affect the ability of the Holders to Consummate any Exchange Offer.</w:t>
      </w:r>
    </w:p>
    <w:p>
      <w:pPr>
        <w:spacing w:after="0" w:line="158" w:lineRule="exact"/>
        <w:rPr>
          <w:rFonts w:ascii="Times New Roman" w:cs="Times New Roman" w:eastAsia="Times New Roman" w:hAnsi="Times New Roman"/>
          <w:sz w:val="18"/>
          <w:szCs w:val="18"/>
          <w:color w:val="auto"/>
        </w:rPr>
      </w:pPr>
    </w:p>
    <w:p>
      <w:pPr>
        <w:ind w:right="20" w:firstLine="436"/>
        <w:spacing w:after="0" w:line="254" w:lineRule="auto"/>
        <w:tabs>
          <w:tab w:leader="none" w:pos="69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Amendments and Waivers</w:t>
      </w:r>
      <w:r>
        <w:rPr>
          <w:rFonts w:ascii="Times New Roman" w:cs="Times New Roman" w:eastAsia="Times New Roman" w:hAnsi="Times New Roman"/>
          <w:sz w:val="18"/>
          <w:szCs w:val="18"/>
          <w:color w:val="auto"/>
        </w:rPr>
        <w:t>. The provisions of this Agreement may not be amended, modified or supplemented, and waivers or consents to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departures from the provisions hereof may not be given unless the Company have (i) in the case of Section 5 hereof and this Section 12(d)(i), obtained the written consent of Holders of all outstanding Registrable Notes and (ii) in the case of all other provisions hereof, obtained the written consent of Holders of a majority of the outstanding principal amount of Registrable Notes (excluding any Registrable Notes held by the Company or its Affiliates). Notwithstanding the foregoing, a waiver or consent to departure from the provisions hereof that relates exclusively to the rights of Holders whose securities are being tendered pursuant to the Exchange Offer and that does not affect directly or indirectly the rights of other Holders whose securities are not being tendered pursuant to such Exchange Offer may be given by the Holders of a majority of the outstanding principal amount of Registrable Notes being tendered or registered;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with respect to any matter that directly or indirectly affects the rights of the Initial Purchasers hereunder, the Company shall obtain the written consent of the Initial Purchasers with respect to which such amendment, qualification, supplement, waiver, consent or departure is to be effective.</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80"/>
          </w:cols>
          <w:pgMar w:left="440" w:top="268" w:right="479" w:bottom="1440" w:gutter="0" w:footer="0" w:header="0"/>
        </w:sectPr>
      </w:pPr>
    </w:p>
    <w:bookmarkStart w:id="58" w:name="page59"/>
    <w:bookmarkEnd w:id="58"/>
    <w:p>
      <w:pPr>
        <w:ind w:right="120" w:firstLine="436"/>
        <w:spacing w:after="0" w:line="284" w:lineRule="auto"/>
        <w:tabs>
          <w:tab w:leader="none" w:pos="68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Notices</w:t>
      </w:r>
      <w:r>
        <w:rPr>
          <w:rFonts w:ascii="Times New Roman" w:cs="Times New Roman" w:eastAsia="Times New Roman" w:hAnsi="Times New Roman"/>
          <w:sz w:val="18"/>
          <w:szCs w:val="18"/>
          <w:color w:val="auto"/>
        </w:rPr>
        <w:t>. All notices and other communications provided for or permitted hereunder shall be made in writing by hand-delivery, first-class mail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(registered or certified, return receipt requested), or air courier guaranteeing overnight delivery:</w:t>
      </w:r>
    </w:p>
    <w:p>
      <w:pPr>
        <w:spacing w:after="0" w:line="160"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to a Holder, at the address set forth on the records of the Registrar under the Indenture, with a copy to the Registrar under the Indenture;</w:t>
      </w:r>
    </w:p>
    <w:p>
      <w:pPr>
        <w:spacing w:after="0" w:line="128" w:lineRule="exact"/>
        <w:rPr>
          <w:rFonts w:ascii="Times New Roman" w:cs="Times New Roman" w:eastAsia="Times New Roman" w:hAnsi="Times New Roman"/>
          <w:sz w:val="17"/>
          <w:szCs w:val="17"/>
          <w:color w:val="auto"/>
        </w:rPr>
      </w:pPr>
    </w:p>
    <w:p>
      <w:pPr>
        <w:ind w:left="1120" w:hanging="261"/>
        <w:spacing w:after="0"/>
        <w:tabs>
          <w:tab w:leader="none" w:pos="112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Company:</w:t>
      </w:r>
    </w:p>
    <w:p>
      <w:pPr>
        <w:spacing w:after="0" w:line="11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Sixth Street Lending Partners</w:t>
      </w:r>
    </w:p>
    <w:p>
      <w:pPr>
        <w:spacing w:after="0" w:line="2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2100 McKinney Avenue, Suite 1500</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Dallas, TX 75201</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Attention: Ian Simmonds</w:t>
      </w:r>
    </w:p>
    <w:p>
      <w:pPr>
        <w:spacing w:after="0" w:line="9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With a copy to:</w:t>
      </w:r>
    </w:p>
    <w:p>
      <w:pPr>
        <w:spacing w:after="0" w:line="11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Simpson Thacher &amp; Bartlett LLP</w:t>
      </w:r>
    </w:p>
    <w:p>
      <w:pPr>
        <w:spacing w:after="0" w:line="2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900 G Street, NW</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Washington, D.C. 20001</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Attention: Steven Grigoriou</w:t>
      </w:r>
    </w:p>
    <w:p>
      <w:pPr>
        <w:spacing w:after="0" w:line="207" w:lineRule="exact"/>
        <w:rPr>
          <w:sz w:val="20"/>
          <w:szCs w:val="20"/>
          <w:color w:val="auto"/>
        </w:rPr>
      </w:pPr>
    </w:p>
    <w:p>
      <w:pPr>
        <w:ind w:right="620" w:firstLine="440"/>
        <w:spacing w:after="0" w:line="266" w:lineRule="auto"/>
        <w:rPr>
          <w:sz w:val="20"/>
          <w:szCs w:val="20"/>
          <w:color w:val="auto"/>
        </w:rPr>
      </w:pPr>
      <w:r>
        <w:rPr>
          <w:rFonts w:ascii="Times New Roman" w:cs="Times New Roman" w:eastAsia="Times New Roman" w:hAnsi="Times New Roman"/>
          <w:sz w:val="18"/>
          <w:szCs w:val="18"/>
          <w:color w:val="auto"/>
        </w:rPr>
        <w:t>All such notices and communications shall be deemed to have been duly given: at the time delivered by hand, if personally delivered; five Business Days after being deposited in the mail, postage prepaid, if mailed; and on the next Business Day, if timely delivered to an air courier guaranteeing overnight delivery.</w:t>
      </w:r>
    </w:p>
    <w:p>
      <w:pPr>
        <w:spacing w:after="0" w:line="176"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Copies of all such notices, demands or other communications shall be concurrently delivered by the Person giving the same to the Trustee at the address specified in the Indenture.</w:t>
      </w:r>
    </w:p>
    <w:p>
      <w:pPr>
        <w:spacing w:after="0" w:line="160" w:lineRule="exact"/>
        <w:rPr>
          <w:sz w:val="20"/>
          <w:szCs w:val="20"/>
          <w:color w:val="auto"/>
        </w:rPr>
      </w:pPr>
    </w:p>
    <w:p>
      <w:pPr>
        <w:jc w:val="both"/>
        <w:ind w:right="320" w:firstLine="436"/>
        <w:spacing w:after="0" w:line="261" w:lineRule="auto"/>
        <w:tabs>
          <w:tab w:leader="none" w:pos="66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Successors and Assigns</w:t>
      </w:r>
      <w:r>
        <w:rPr>
          <w:rFonts w:ascii="Times New Roman" w:cs="Times New Roman" w:eastAsia="Times New Roman" w:hAnsi="Times New Roman"/>
          <w:sz w:val="18"/>
          <w:szCs w:val="18"/>
          <w:color w:val="auto"/>
        </w:rPr>
        <w:t>. This Agreement shall inure to the benefit of and be binding upon the successors and assigns of each of the parties,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including, without limitation, and without the need for an express assignment, subsequent Holders of Registrable Notes;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this Agreement shall not inure to the benefit of or be binding upon a successor or assign of a Holder unless and to the extent such successor or assign acquired Registrable Notes from such Holder.</w:t>
      </w:r>
    </w:p>
    <w:p>
      <w:pPr>
        <w:spacing w:after="0" w:line="179" w:lineRule="exact"/>
        <w:rPr>
          <w:rFonts w:ascii="Times New Roman" w:cs="Times New Roman" w:eastAsia="Times New Roman" w:hAnsi="Times New Roman"/>
          <w:sz w:val="18"/>
          <w:szCs w:val="18"/>
          <w:color w:val="auto"/>
        </w:rPr>
      </w:pPr>
    </w:p>
    <w:p>
      <w:pPr>
        <w:ind w:right="420" w:firstLine="436"/>
        <w:spacing w:after="0" w:line="267" w:lineRule="auto"/>
        <w:tabs>
          <w:tab w:leader="none" w:pos="69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Counterparts</w:t>
      </w:r>
      <w:r>
        <w:rPr>
          <w:rFonts w:ascii="Times New Roman" w:cs="Times New Roman" w:eastAsia="Times New Roman" w:hAnsi="Times New Roman"/>
          <w:sz w:val="18"/>
          <w:szCs w:val="18"/>
          <w:color w:val="auto"/>
        </w:rPr>
        <w:t>. This Agreement may be executed in any number of counterparts (including by facsimile or other method of electronic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transmission) and by the parties hereto in separate counterparts, each of which when so executed shall be deemed to be an original and all of which taken together shall constitute one and the same agreement.</w:t>
      </w:r>
    </w:p>
    <w:p>
      <w:pPr>
        <w:spacing w:after="0" w:line="173"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Headings</w:t>
      </w:r>
      <w:r>
        <w:rPr>
          <w:rFonts w:ascii="Times New Roman" w:cs="Times New Roman" w:eastAsia="Times New Roman" w:hAnsi="Times New Roman"/>
          <w:sz w:val="18"/>
          <w:szCs w:val="18"/>
          <w:color w:val="auto"/>
        </w:rPr>
        <w:t>. The headings in this Agreement are for convenience of reference only and shall not limit or otherwise affect the meaning hereof.</w:t>
      </w:r>
    </w:p>
    <w:p>
      <w:pPr>
        <w:spacing w:after="0" w:line="225" w:lineRule="exact"/>
        <w:rPr>
          <w:rFonts w:ascii="Times New Roman" w:cs="Times New Roman" w:eastAsia="Times New Roman" w:hAnsi="Times New Roman"/>
          <w:sz w:val="18"/>
          <w:szCs w:val="18"/>
          <w:color w:val="auto"/>
        </w:rPr>
      </w:pPr>
    </w:p>
    <w:p>
      <w:pPr>
        <w:ind w:right="160" w:firstLine="436"/>
        <w:spacing w:after="0" w:line="284"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Governing Law</w:t>
      </w:r>
      <w:r>
        <w:rPr>
          <w:rFonts w:ascii="Times New Roman" w:cs="Times New Roman" w:eastAsia="Times New Roman" w:hAnsi="Times New Roman"/>
          <w:sz w:val="18"/>
          <w:szCs w:val="18"/>
          <w:color w:val="auto"/>
        </w:rPr>
        <w:t>. THIS AGREEMENT SHALL BE GOVERNED BY AND CONSTRUED IN ACCORDANCE WITH THE LAWS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 OF NEW YORK, WITHOUT REGARD TO THE CONFLICTS OF LAW RULES THEREOF.</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68" w:right="459" w:bottom="1440" w:gutter="0" w:footer="0" w:header="0"/>
        </w:sectPr>
      </w:pPr>
    </w:p>
    <w:bookmarkStart w:id="59" w:name="page60"/>
    <w:bookmarkEnd w:id="59"/>
    <w:p>
      <w:pPr>
        <w:ind w:left="-120" w:right="200" w:firstLine="436"/>
        <w:spacing w:after="0" w:line="267" w:lineRule="auto"/>
        <w:tabs>
          <w:tab w:leader="none" w:pos="53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Severability</w:t>
      </w:r>
      <w:r>
        <w:rPr>
          <w:rFonts w:ascii="Times New Roman" w:cs="Times New Roman" w:eastAsia="Times New Roman" w:hAnsi="Times New Roman"/>
          <w:sz w:val="18"/>
          <w:szCs w:val="18"/>
          <w:color w:val="auto"/>
        </w:rPr>
        <w:t>. In the event that any one or more of the provisions contained herein, or the application thereof in any circumstance, is held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invalid, illegal or unenforceable, the validity, legality and enforceability of any such provision in every other respect and of the remaining provisions contained herein shall not be affected or impaired thereby.</w:t>
      </w:r>
    </w:p>
    <w:p>
      <w:pPr>
        <w:spacing w:after="0" w:line="173" w:lineRule="exact"/>
        <w:rPr>
          <w:rFonts w:ascii="Times New Roman" w:cs="Times New Roman" w:eastAsia="Times New Roman" w:hAnsi="Times New Roman"/>
          <w:sz w:val="18"/>
          <w:szCs w:val="18"/>
          <w:color w:val="auto"/>
        </w:rPr>
      </w:pPr>
    </w:p>
    <w:p>
      <w:pPr>
        <w:ind w:left="-120" w:firstLine="436"/>
        <w:spacing w:after="0" w:line="258" w:lineRule="auto"/>
        <w:tabs>
          <w:tab w:leader="none" w:pos="57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Entire Agreement</w:t>
      </w:r>
      <w:r>
        <w:rPr>
          <w:rFonts w:ascii="Times New Roman" w:cs="Times New Roman" w:eastAsia="Times New Roman" w:hAnsi="Times New Roman"/>
          <w:sz w:val="18"/>
          <w:szCs w:val="18"/>
          <w:color w:val="auto"/>
        </w:rPr>
        <w:t>. This Agreement is intended by the parties as a final expression of their agreement and intended to be a complete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exclusive statement of the agreement and understanding of the parties hereto in respect of the subject matter contained herein. There are no restrictions, promises, warranties or undertakings, other than those set forth or referred to herein with respect to the registration rights granted by the Company with respect to the Registrable Notes. This Agreement supersedes all prior agreements and understandings between the parties with respect to such subject matter.</w:t>
      </w:r>
    </w:p>
    <w:p>
      <w:pPr>
        <w:spacing w:after="0" w:line="183" w:lineRule="exact"/>
        <w:rPr>
          <w:rFonts w:ascii="Times New Roman" w:cs="Times New Roman" w:eastAsia="Times New Roman" w:hAnsi="Times New Roman"/>
          <w:sz w:val="18"/>
          <w:szCs w:val="18"/>
          <w:color w:val="auto"/>
        </w:rPr>
      </w:pPr>
    </w:p>
    <w:p>
      <w:pPr>
        <w:jc w:val="both"/>
        <w:ind w:left="-120" w:right="20" w:firstLine="436"/>
        <w:spacing w:after="0" w:line="267" w:lineRule="auto"/>
        <w:tabs>
          <w:tab w:leader="none" w:pos="53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Third Party Beneficiaries</w:t>
      </w:r>
      <w:r>
        <w:rPr>
          <w:rFonts w:ascii="Times New Roman" w:cs="Times New Roman" w:eastAsia="Times New Roman" w:hAnsi="Times New Roman"/>
          <w:sz w:val="18"/>
          <w:szCs w:val="18"/>
          <w:color w:val="auto"/>
        </w:rPr>
        <w:t>. Each Holder shall be a third party beneficiary to the agreements made hereunder between the Company, on the one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hand, and the Initial Purchasers, on the other hand, and shall have the right to enforce such agreements directly to the extent it deems such enforcement necessary or advisable to protect its rights or the rights of other Holders hereunder.</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Pages Follow]</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780"/>
          </w:cols>
          <w:pgMar w:left="560" w:top="268" w:right="5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executed this Agreement as of the date first written above.</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color w:val="auto"/>
        </w:rPr>
        <w:t>SIXTH STREET LENDING PARTNERS</w:t>
      </w:r>
    </w:p>
    <w:p>
      <w:pPr>
        <w:spacing w:after="0" w:line="23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4252595</wp:posOffset>
            </wp:positionH>
            <wp:positionV relativeFrom="paragraph">
              <wp:posOffset>17145</wp:posOffset>
            </wp:positionV>
            <wp:extent cx="245999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9579"/>
          </w:cols>
          <w:pgMar w:left="880" w:top="270" w:right="1440" w:bottom="1440" w:gutter="0" w:footer="0" w:header="0"/>
        </w:sectPr>
      </w:pPr>
    </w:p>
    <w:bookmarkStart w:id="61" w:name="page62"/>
    <w:bookmarkEnd w:id="61"/>
    <w:p>
      <w:pPr>
        <w:ind w:left="44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foregoing Registration Rights Agreement is hereby confirmed and accepted as of the date first above written:</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17145</wp:posOffset>
            </wp:positionV>
            <wp:extent cx="243459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43459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0019"/>
          </w:cols>
          <w:pgMar w:left="440" w:top="270" w:right="1440"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Sixth Street Lending Partners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$150,000,000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6.500% Notes due 2029</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PRICING TERM SHEET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10, 2024</w:t>
      </w:r>
    </w:p>
    <w:p>
      <w:pPr>
        <w:spacing w:after="0" w:line="207" w:lineRule="exact"/>
        <w:rPr>
          <w:sz w:val="20"/>
          <w:szCs w:val="20"/>
          <w:color w:val="auto"/>
        </w:rPr>
      </w:pPr>
    </w:p>
    <w:p>
      <w:pPr>
        <w:ind w:right="200" w:firstLine="440"/>
        <w:spacing w:after="0" w:line="258" w:lineRule="auto"/>
        <w:rPr>
          <w:sz w:val="20"/>
          <w:szCs w:val="20"/>
          <w:color w:val="auto"/>
        </w:rPr>
      </w:pPr>
      <w:r>
        <w:rPr>
          <w:rFonts w:ascii="Times New Roman" w:cs="Times New Roman" w:eastAsia="Times New Roman" w:hAnsi="Times New Roman"/>
          <w:sz w:val="18"/>
          <w:szCs w:val="18"/>
          <w:color w:val="auto"/>
        </w:rPr>
        <w:t>The following sets forth the final terms of the 6.500% Notes due 2029 and should only be read together with the preliminary offering memorandum, dated June 10, 2024 (the “Preliminary Offering Memorandum”), and supersedes the information in the Preliminary Offering Memorandum to the extent inconsistent with the information in the Preliminary Offering Memorandum. In all other respects, this pricing term sheet is qualified in its entirety by reference to the Preliminary Offering Memorandum. Terms used herein but not defined herein shall have the respective meanings as set forth in the Preliminary Offering Memorandum. All references to dollar amounts are references to U.S. dollars.</w:t>
      </w:r>
    </w:p>
    <w:p>
      <w:pPr>
        <w:spacing w:after="0" w:line="18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March 11, 2024, the Issuer issued $600,000,000 in aggregate principal amount of its 6.500% Notes due 2029 (the “Existing Notes”) pursuant to an indenture dated March 11, 2029 (the “Base Indenture”), as supplemented by the First Supplemental Indenture dated as of March 11, 2029 (the “First Supplemental Indenture”). We will issue the notes offered hereby under the Base Indenture, as supplemented by the First Supplemental Indenture, and as further supplemented by the Second Supplemental Indenture, to be dated as of June 17, 2024 (the “Second Supplemental Indenture” and together with the Base Indenture and the First Supplemental Indenture, the “Indenture”) between the Issuer and U.S. Bank Trust Company, National Association, as trustee (the “Trustee”). The securities offered hereby (the “New Notes”) are being issued as “Additional Notes” under the Indenture. The Existing Notes and the New Notes are collectively referred to in this Pricing Term Sheet as the “Notes.”</w:t>
      </w:r>
    </w:p>
    <w:p>
      <w:pPr>
        <w:sectPr>
          <w:pgSz w:w="11900" w:h="16838" w:orient="portrait"/>
          <w:cols w:equalWidth="0" w:num="1">
            <w:col w:w="11020"/>
          </w:cols>
          <w:pgMar w:left="440" w:top="266" w:right="439" w:bottom="1440" w:gutter="0" w:footer="0" w:header="0"/>
        </w:sect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Issuer:</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Sixth Street Lending Partners (the “Issuer”)</w:t>
      </w:r>
    </w:p>
    <w:p>
      <w:pPr>
        <w:spacing w:after="0" w:line="88" w:lineRule="exact"/>
        <w:rPr>
          <w:sz w:val="20"/>
          <w:szCs w:val="20"/>
          <w:color w:val="auto"/>
        </w:rPr>
      </w:pPr>
    </w:p>
    <w:p>
      <w:pPr>
        <w:sectPr>
          <w:pgSz w:w="11900" w:h="16838" w:orient="portrait"/>
          <w:cols w:equalWidth="0" w:num="2">
            <w:col w:w="2480" w:space="720"/>
            <w:col w:w="7820"/>
          </w:cols>
          <w:pgMar w:left="440" w:top="266"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Security: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6.500% Notes due 2029</w:t>
      </w:r>
    </w:p>
    <w:p>
      <w:pPr>
        <w:spacing w:after="0" w:line="88" w:lineRule="exact"/>
        <w:rPr>
          <w:sz w:val="20"/>
          <w:szCs w:val="20"/>
          <w:color w:val="auto"/>
        </w:rPr>
      </w:pPr>
    </w:p>
    <w:p>
      <w:pPr>
        <w:sectPr>
          <w:pgSz w:w="11900" w:h="16838" w:orient="portrait"/>
          <w:cols w:equalWidth="0" w:num="2">
            <w:col w:w="2480" w:space="720"/>
            <w:col w:w="7820"/>
          </w:cols>
          <w:pgMar w:left="440" w:top="266"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Ratings (Moody’s/Fitch)*: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Baa3 (Stable)/BBB- (Stable)</w:t>
      </w:r>
    </w:p>
    <w:p>
      <w:pPr>
        <w:spacing w:after="0" w:line="88" w:lineRule="exact"/>
        <w:rPr>
          <w:sz w:val="20"/>
          <w:szCs w:val="20"/>
          <w:color w:val="auto"/>
        </w:rPr>
      </w:pPr>
    </w:p>
    <w:p>
      <w:pPr>
        <w:sectPr>
          <w:pgSz w:w="11900" w:h="16838" w:orient="portrait"/>
          <w:cols w:equalWidth="0" w:num="2">
            <w:col w:w="2480" w:space="720"/>
            <w:col w:w="7820"/>
          </w:cols>
          <w:pgMar w:left="440" w:top="266"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Aggregate Principal Amount Offered: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$150,000,000</w:t>
      </w:r>
    </w:p>
    <w:p>
      <w:pPr>
        <w:spacing w:after="0" w:line="88" w:lineRule="exact"/>
        <w:rPr>
          <w:sz w:val="20"/>
          <w:szCs w:val="20"/>
          <w:color w:val="auto"/>
        </w:rPr>
      </w:pPr>
    </w:p>
    <w:p>
      <w:pPr>
        <w:sectPr>
          <w:pgSz w:w="11900" w:h="16838" w:orient="portrait"/>
          <w:cols w:equalWidth="0" w:num="2">
            <w:col w:w="2720" w:space="480"/>
            <w:col w:w="7820"/>
          </w:cols>
          <w:pgMar w:left="440" w:top="266" w:right="439" w:bottom="1440" w:gutter="0" w:footer="0" w:header="0"/>
          <w:type w:val="continuous"/>
        </w:sectPr>
      </w:pPr>
    </w:p>
    <w:p>
      <w:pPr>
        <w:ind w:right="220"/>
        <w:spacing w:after="0" w:line="306" w:lineRule="auto"/>
        <w:rPr>
          <w:sz w:val="20"/>
          <w:szCs w:val="20"/>
          <w:color w:val="auto"/>
        </w:rPr>
      </w:pPr>
      <w:r>
        <w:rPr>
          <w:rFonts w:ascii="Times New Roman" w:cs="Times New Roman" w:eastAsia="Times New Roman" w:hAnsi="Times New Roman"/>
          <w:sz w:val="17"/>
          <w:szCs w:val="17"/>
          <w:color w:val="auto"/>
        </w:rPr>
        <w:t>Aggregate Principal Amount Outstanding After this Offering</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$750,000,000</w:t>
      </w:r>
    </w:p>
    <w:p>
      <w:pPr>
        <w:spacing w:after="0" w:line="87" w:lineRule="exact"/>
        <w:rPr>
          <w:sz w:val="20"/>
          <w:szCs w:val="20"/>
          <w:color w:val="auto"/>
        </w:rPr>
      </w:pPr>
    </w:p>
    <w:p>
      <w:pPr>
        <w:sectPr>
          <w:pgSz w:w="11900" w:h="16838" w:orient="portrait"/>
          <w:cols w:equalWidth="0" w:num="2">
            <w:col w:w="2480" w:space="720"/>
            <w:col w:w="7820"/>
          </w:cols>
          <w:pgMar w:left="440" w:top="266"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Maturity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March 11, 2029, unless earlier repurchased or redeemed</w:t>
      </w:r>
    </w:p>
    <w:p>
      <w:pPr>
        <w:spacing w:after="0" w:line="88" w:lineRule="exact"/>
        <w:rPr>
          <w:sz w:val="20"/>
          <w:szCs w:val="20"/>
          <w:color w:val="auto"/>
        </w:rPr>
      </w:pPr>
    </w:p>
    <w:p>
      <w:pPr>
        <w:sectPr>
          <w:pgSz w:w="11900" w:h="16838" w:orient="portrait"/>
          <w:cols w:equalWidth="0" w:num="2">
            <w:col w:w="2480" w:space="720"/>
            <w:col w:w="7820"/>
          </w:cols>
          <w:pgMar w:left="440" w:top="266"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Trade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June 10, 2024</w:t>
      </w:r>
    </w:p>
    <w:p>
      <w:pPr>
        <w:spacing w:after="0" w:line="88" w:lineRule="exact"/>
        <w:rPr>
          <w:sz w:val="20"/>
          <w:szCs w:val="20"/>
          <w:color w:val="auto"/>
        </w:rPr>
      </w:pPr>
    </w:p>
    <w:p>
      <w:pPr>
        <w:sectPr>
          <w:pgSz w:w="11900" w:h="16838" w:orient="portrait"/>
          <w:cols w:equalWidth="0" w:num="2">
            <w:col w:w="2480" w:space="720"/>
            <w:col w:w="7820"/>
          </w:cols>
          <w:pgMar w:left="440" w:top="266"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Issue Price:</w:t>
      </w:r>
    </w:p>
    <w:p>
      <w:pPr>
        <w:spacing w:after="0" w:line="20" w:lineRule="exact"/>
        <w:rPr>
          <w:sz w:val="20"/>
          <w:szCs w:val="20"/>
          <w:color w:val="auto"/>
        </w:rPr>
      </w:pPr>
      <w:r>
        <w:rPr>
          <w:sz w:val="20"/>
          <w:szCs w:val="20"/>
          <w:color w:val="auto"/>
        </w:rPr>
        <w:br w:type="column"/>
      </w:r>
    </w:p>
    <w:p>
      <w:pPr>
        <w:ind w:right="600"/>
        <w:spacing w:after="0" w:line="282" w:lineRule="auto"/>
        <w:rPr>
          <w:sz w:val="20"/>
          <w:szCs w:val="20"/>
          <w:color w:val="auto"/>
        </w:rPr>
      </w:pPr>
      <w:r>
        <w:rPr>
          <w:rFonts w:ascii="Times New Roman" w:cs="Times New Roman" w:eastAsia="Times New Roman" w:hAnsi="Times New Roman"/>
          <w:sz w:val="18"/>
          <w:szCs w:val="18"/>
          <w:color w:val="auto"/>
        </w:rPr>
        <w:t>The Notes will be issued at a price of 99.842% of their principal amount, plus accrued interest, from March 11, 2024 to the date of delivery of the New Notes.</w:t>
      </w:r>
    </w:p>
    <w:p>
      <w:pPr>
        <w:spacing w:after="0" w:line="13" w:lineRule="exact"/>
        <w:rPr>
          <w:sz w:val="20"/>
          <w:szCs w:val="20"/>
          <w:color w:val="auto"/>
        </w:rPr>
      </w:pPr>
    </w:p>
    <w:p>
      <w:pPr>
        <w:sectPr>
          <w:pgSz w:w="11900" w:h="16838" w:orient="portrait"/>
          <w:cols w:equalWidth="0" w:num="2">
            <w:col w:w="2480" w:space="720"/>
            <w:col w:w="7820"/>
          </w:cols>
          <w:pgMar w:left="440" w:top="266"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Aggregate Accrued Interest:</w:t>
      </w:r>
    </w:p>
    <w:p>
      <w:pPr>
        <w:spacing w:after="0" w:line="20" w:lineRule="exact"/>
        <w:rPr>
          <w:sz w:val="20"/>
          <w:szCs w:val="20"/>
          <w:color w:val="auto"/>
        </w:rPr>
      </w:pPr>
      <w:r>
        <w:rPr>
          <w:sz w:val="20"/>
          <w:szCs w:val="20"/>
          <w:color w:val="auto"/>
        </w:rPr>
        <w:br w:type="column"/>
      </w:r>
    </w:p>
    <w:p>
      <w:pPr>
        <w:ind w:right="400"/>
        <w:spacing w:after="0" w:line="282" w:lineRule="auto"/>
        <w:rPr>
          <w:sz w:val="20"/>
          <w:szCs w:val="20"/>
          <w:color w:val="auto"/>
        </w:rPr>
      </w:pPr>
      <w:r>
        <w:rPr>
          <w:rFonts w:ascii="Times New Roman" w:cs="Times New Roman" w:eastAsia="Times New Roman" w:hAnsi="Times New Roman"/>
          <w:sz w:val="18"/>
          <w:szCs w:val="18"/>
          <w:color w:val="auto"/>
        </w:rPr>
        <w:t>$2,600,000 of accrued interest from March 11, 2024 up to, but not including, the date of delivery of the New Notes</w:t>
      </w:r>
    </w:p>
    <w:p>
      <w:pPr>
        <w:spacing w:after="0" w:line="13" w:lineRule="exact"/>
        <w:rPr>
          <w:sz w:val="20"/>
          <w:szCs w:val="20"/>
          <w:color w:val="auto"/>
        </w:rPr>
      </w:pPr>
    </w:p>
    <w:p>
      <w:pPr>
        <w:sectPr>
          <w:pgSz w:w="11900" w:h="16838" w:orient="portrait"/>
          <w:cols w:equalWidth="0" w:num="2">
            <w:col w:w="2480" w:space="720"/>
            <w:col w:w="7820"/>
          </w:cols>
          <w:pgMar w:left="440" w:top="266"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Coupon (Interest Rate):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6.500%</w:t>
      </w:r>
    </w:p>
    <w:p>
      <w:pPr>
        <w:spacing w:after="0" w:line="77" w:lineRule="exact"/>
        <w:rPr>
          <w:sz w:val="20"/>
          <w:szCs w:val="20"/>
          <w:color w:val="auto"/>
        </w:rPr>
      </w:pPr>
    </w:p>
    <w:p>
      <w:pPr>
        <w:sectPr>
          <w:pgSz w:w="11900" w:h="16838" w:orient="portrait"/>
          <w:cols w:equalWidth="0" w:num="2">
            <w:col w:w="2480" w:space="720"/>
            <w:col w:w="7820"/>
          </w:cols>
          <w:pgMar w:left="440" w:top="266"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Yield to Maturity: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6.536%</w:t>
      </w:r>
    </w:p>
    <w:p>
      <w:pPr>
        <w:spacing w:after="0" w:line="77" w:lineRule="exact"/>
        <w:rPr>
          <w:sz w:val="20"/>
          <w:szCs w:val="20"/>
          <w:color w:val="auto"/>
        </w:rPr>
      </w:pPr>
    </w:p>
    <w:p>
      <w:pPr>
        <w:sectPr>
          <w:pgSz w:w="11900" w:h="16838" w:orient="portrait"/>
          <w:cols w:equalWidth="0" w:num="2">
            <w:col w:w="2480" w:space="720"/>
            <w:col w:w="7820"/>
          </w:cols>
          <w:pgMar w:left="440" w:top="266"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Spread to Benchmark Treasury: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T+205 bps</w:t>
      </w:r>
    </w:p>
    <w:p>
      <w:pPr>
        <w:spacing w:after="0" w:line="77" w:lineRule="exact"/>
        <w:rPr>
          <w:sz w:val="20"/>
          <w:szCs w:val="20"/>
          <w:color w:val="auto"/>
        </w:rPr>
      </w:pPr>
    </w:p>
    <w:p>
      <w:pPr>
        <w:sectPr>
          <w:pgSz w:w="11900" w:h="16838" w:orient="portrait"/>
          <w:cols w:equalWidth="0" w:num="2">
            <w:col w:w="2480" w:space="720"/>
            <w:col w:w="7820"/>
          </w:cols>
          <w:pgMar w:left="440" w:top="266"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Benchmark Treasury: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4.500% due May 31, 2029</w:t>
      </w:r>
    </w:p>
    <w:p>
      <w:pPr>
        <w:spacing w:after="0" w:line="88" w:lineRule="exact"/>
        <w:rPr>
          <w:sz w:val="20"/>
          <w:szCs w:val="20"/>
          <w:color w:val="auto"/>
        </w:rPr>
      </w:pPr>
    </w:p>
    <w:p>
      <w:pPr>
        <w:sectPr>
          <w:pgSz w:w="11900" w:h="16838" w:orient="portrait"/>
          <w:cols w:equalWidth="0" w:num="2">
            <w:col w:w="2480" w:space="720"/>
            <w:col w:w="7820"/>
          </w:cols>
          <w:pgMar w:left="440" w:top="266"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Benchmark Treasury Price and Yield: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100-02 / 4.486%</w:t>
      </w:r>
    </w:p>
    <w:p>
      <w:pPr>
        <w:spacing w:after="0" w:line="88" w:lineRule="exact"/>
        <w:rPr>
          <w:sz w:val="20"/>
          <w:szCs w:val="20"/>
          <w:color w:val="auto"/>
        </w:rPr>
      </w:pPr>
    </w:p>
    <w:p>
      <w:pPr>
        <w:sectPr>
          <w:pgSz w:w="11900" w:h="16838" w:orient="portrait"/>
          <w:cols w:equalWidth="0" w:num="2">
            <w:col w:w="2700" w:space="500"/>
            <w:col w:w="7820"/>
          </w:cols>
          <w:pgMar w:left="440" w:top="266"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Interest Payment Dates: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March 11 and September 11, commencing September 11, 2024</w:t>
      </w:r>
    </w:p>
    <w:p>
      <w:pPr>
        <w:sectPr>
          <w:pgSz w:w="11900" w:h="16838" w:orient="portrait"/>
          <w:cols w:equalWidth="0" w:num="2">
            <w:col w:w="2480" w:space="720"/>
            <w:col w:w="7820"/>
          </w:cols>
          <w:pgMar w:left="440" w:top="266" w:right="439" w:bottom="1440" w:gutter="0" w:footer="0" w:header="0"/>
          <w:type w:val="continuous"/>
        </w:sectPr>
      </w:pPr>
    </w:p>
    <w:bookmarkStart w:id="63" w:name="page64"/>
    <w:bookmarkEnd w:id="63"/>
    <w:tbl>
      <w:tblPr>
        <w:tblLayout w:type="fixed"/>
        <w:tblInd w:w="4" w:type="dxa"/>
        <w:tblCellMar>
          <w:top w:w="0" w:type="dxa"/>
          <w:left w:w="0" w:type="dxa"/>
          <w:bottom w:w="0" w:type="dxa"/>
          <w:right w:w="0" w:type="dxa"/>
        </w:tblCellMar>
      </w:tblP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Optional Redemption:</w:t>
            </w:r>
          </w:p>
        </w:tc>
        <w:tc>
          <w:tcPr>
            <w:tcW w:w="82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w w:val="99"/>
              </w:rPr>
              <w:t>Prior to February 11, 2029 (the “Par Call Date”), equal to the greater of the following amounts, plus, in each</w:t>
            </w:r>
          </w:p>
        </w:tc>
      </w:tr>
      <w:tr>
        <w:trPr>
          <w:trHeight w:val="234"/>
        </w:trPr>
        <w:tc>
          <w:tcPr>
            <w:tcW w:w="2740" w:type="dxa"/>
            <w:vAlign w:val="bottom"/>
          </w:tcPr>
          <w:p>
            <w:pPr>
              <w:spacing w:after="0"/>
              <w:rPr>
                <w:sz w:val="20"/>
                <w:szCs w:val="20"/>
                <w:color w:val="auto"/>
              </w:rPr>
            </w:pPr>
          </w:p>
        </w:tc>
        <w:tc>
          <w:tcPr>
            <w:tcW w:w="82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case, accrued and unpaid interest thereon to the redemption date:</w:t>
            </w:r>
          </w:p>
        </w:tc>
      </w:tr>
      <w:tr>
        <w:trPr>
          <w:trHeight w:val="319"/>
        </w:trPr>
        <w:tc>
          <w:tcPr>
            <w:tcW w:w="2740" w:type="dxa"/>
            <w:vAlign w:val="bottom"/>
          </w:tcPr>
          <w:p>
            <w:pPr>
              <w:spacing w:after="0"/>
              <w:rPr>
                <w:sz w:val="24"/>
                <w:szCs w:val="24"/>
                <w:color w:val="auto"/>
              </w:rPr>
            </w:pPr>
          </w:p>
        </w:tc>
        <w:tc>
          <w:tcPr>
            <w:tcW w:w="720" w:type="dxa"/>
            <w:vAlign w:val="bottom"/>
          </w:tcPr>
          <w:p>
            <w:pPr>
              <w:ind w:left="540"/>
              <w:spacing w:after="0"/>
              <w:rPr>
                <w:sz w:val="20"/>
                <w:szCs w:val="20"/>
                <w:color w:val="auto"/>
              </w:rPr>
            </w:pPr>
            <w:r>
              <w:rPr>
                <w:rFonts w:ascii="Times New Roman" w:cs="Times New Roman" w:eastAsia="Times New Roman" w:hAnsi="Times New Roman"/>
                <w:sz w:val="16"/>
                <w:szCs w:val="16"/>
                <w:color w:val="auto"/>
                <w:w w:val="73"/>
              </w:rPr>
              <w:t>• </w:t>
            </w:r>
          </w:p>
        </w:tc>
        <w:tc>
          <w:tcPr>
            <w:tcW w:w="75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 (a) the sum of the present values of the remaining scheduled payments of principal and interest thereon,</w:t>
            </w:r>
          </w:p>
        </w:tc>
      </w:tr>
      <w:tr>
        <w:trPr>
          <w:trHeight w:val="216"/>
        </w:trPr>
        <w:tc>
          <w:tcPr>
            <w:tcW w:w="2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54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discounted to the redemption date (assuming the Notes matured on the Par Call Date) on a semi-annual</w:t>
            </w:r>
          </w:p>
        </w:tc>
      </w:tr>
      <w:tr>
        <w:trPr>
          <w:trHeight w:val="216"/>
        </w:trPr>
        <w:tc>
          <w:tcPr>
            <w:tcW w:w="2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basis (assuming a 360-day year consisting of twelve 30-day months) at the Treasury Rate plus 40 basis</w:t>
            </w:r>
          </w:p>
        </w:tc>
      </w:tr>
      <w:tr>
        <w:trPr>
          <w:trHeight w:val="234"/>
        </w:trPr>
        <w:tc>
          <w:tcPr>
            <w:tcW w:w="27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points less (b) interest accrued to the date of redemption; and</w:t>
            </w:r>
          </w:p>
        </w:tc>
      </w:tr>
      <w:tr>
        <w:trPr>
          <w:trHeight w:val="338"/>
        </w:trPr>
        <w:tc>
          <w:tcPr>
            <w:tcW w:w="2740" w:type="dxa"/>
            <w:vAlign w:val="bottom"/>
          </w:tcPr>
          <w:p>
            <w:pPr>
              <w:spacing w:after="0"/>
              <w:rPr>
                <w:sz w:val="24"/>
                <w:szCs w:val="24"/>
                <w:color w:val="auto"/>
              </w:rPr>
            </w:pPr>
          </w:p>
        </w:tc>
        <w:tc>
          <w:tcPr>
            <w:tcW w:w="720" w:type="dxa"/>
            <w:vAlign w:val="bottom"/>
          </w:tcPr>
          <w:p>
            <w:pPr>
              <w:ind w:left="540"/>
              <w:spacing w:after="0"/>
              <w:rPr>
                <w:sz w:val="20"/>
                <w:szCs w:val="20"/>
                <w:color w:val="auto"/>
              </w:rPr>
            </w:pPr>
            <w:r>
              <w:rPr>
                <w:rFonts w:ascii="Times New Roman" w:cs="Times New Roman" w:eastAsia="Times New Roman" w:hAnsi="Times New Roman"/>
                <w:sz w:val="16"/>
                <w:szCs w:val="16"/>
                <w:color w:val="auto"/>
                <w:w w:val="73"/>
              </w:rPr>
              <w:t>• </w:t>
            </w:r>
          </w:p>
        </w:tc>
        <w:tc>
          <w:tcPr>
            <w:tcW w:w="7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 100% of the principal amount of the Notes to be redeemed;</w:t>
            </w:r>
          </w:p>
        </w:tc>
      </w:tr>
      <w:tr>
        <w:trPr>
          <w:trHeight w:val="319"/>
        </w:trPr>
        <w:tc>
          <w:tcPr>
            <w:tcW w:w="2740" w:type="dxa"/>
            <w:vAlign w:val="bottom"/>
          </w:tcPr>
          <w:p>
            <w:pPr>
              <w:spacing w:after="0"/>
              <w:rPr>
                <w:sz w:val="24"/>
                <w:szCs w:val="24"/>
                <w:color w:val="auto"/>
              </w:rPr>
            </w:pPr>
          </w:p>
        </w:tc>
        <w:tc>
          <w:tcPr>
            <w:tcW w:w="8260" w:type="dxa"/>
            <w:vAlign w:val="bottom"/>
            <w:gridSpan w:val="2"/>
          </w:tcPr>
          <w:p>
            <w:pPr>
              <w:ind w:left="460"/>
              <w:spacing w:after="0"/>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the Issuer redeems any Notes on or after the Par Call Date, the redemption price</w:t>
            </w:r>
          </w:p>
        </w:tc>
      </w:tr>
      <w:tr>
        <w:trPr>
          <w:trHeight w:val="216"/>
        </w:trPr>
        <w:tc>
          <w:tcPr>
            <w:tcW w:w="2740" w:type="dxa"/>
            <w:vAlign w:val="bottom"/>
          </w:tcPr>
          <w:p>
            <w:pPr>
              <w:spacing w:after="0"/>
              <w:rPr>
                <w:sz w:val="18"/>
                <w:szCs w:val="18"/>
                <w:color w:val="auto"/>
              </w:rPr>
            </w:pPr>
          </w:p>
        </w:tc>
        <w:tc>
          <w:tcPr>
            <w:tcW w:w="82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for the Notes will be equal to 100% of the principal amount of the Notes to be redeemed, plus accrued and</w:t>
            </w:r>
          </w:p>
        </w:tc>
      </w:tr>
      <w:tr>
        <w:trPr>
          <w:trHeight w:val="234"/>
        </w:trPr>
        <w:tc>
          <w:tcPr>
            <w:tcW w:w="2740" w:type="dxa"/>
            <w:vAlign w:val="bottom"/>
          </w:tcPr>
          <w:p>
            <w:pPr>
              <w:spacing w:after="0"/>
              <w:rPr>
                <w:sz w:val="20"/>
                <w:szCs w:val="20"/>
                <w:color w:val="auto"/>
              </w:rPr>
            </w:pPr>
          </w:p>
        </w:tc>
        <w:tc>
          <w:tcPr>
            <w:tcW w:w="82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unpaid interest thereon to the date of redemption.</w:t>
            </w:r>
          </w:p>
        </w:tc>
      </w:tr>
      <w:tr>
        <w:trPr>
          <w:trHeight w:val="279"/>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Change of Control:</w:t>
            </w:r>
          </w:p>
        </w:tc>
        <w:tc>
          <w:tcPr>
            <w:tcW w:w="82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Holders have the right to require the Issuer to repurchase the Notes at 100% of their principal amount plus</w:t>
            </w:r>
          </w:p>
        </w:tc>
      </w:tr>
      <w:tr>
        <w:trPr>
          <w:trHeight w:val="234"/>
        </w:trPr>
        <w:tc>
          <w:tcPr>
            <w:tcW w:w="2740" w:type="dxa"/>
            <w:vAlign w:val="bottom"/>
          </w:tcPr>
          <w:p>
            <w:pPr>
              <w:spacing w:after="0"/>
              <w:rPr>
                <w:sz w:val="20"/>
                <w:szCs w:val="20"/>
                <w:color w:val="auto"/>
              </w:rPr>
            </w:pPr>
          </w:p>
        </w:tc>
        <w:tc>
          <w:tcPr>
            <w:tcW w:w="82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accrued and unpaid interest, if any, in the event of a change of control repurchase event.</w:t>
            </w:r>
          </w:p>
        </w:tc>
      </w:tr>
      <w:tr>
        <w:trPr>
          <w:trHeight w:val="283"/>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Settlement Date**:</w:t>
            </w:r>
          </w:p>
        </w:tc>
        <w:tc>
          <w:tcPr>
            <w:tcW w:w="82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June 17, 2024 (T+5)</w:t>
            </w:r>
          </w:p>
        </w:tc>
      </w:tr>
      <w:tr>
        <w:trPr>
          <w:trHeight w:val="283"/>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Denomination:</w:t>
            </w:r>
          </w:p>
        </w:tc>
        <w:tc>
          <w:tcPr>
            <w:tcW w:w="82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$2,000 and integral multiples of $1,000 in excess thereof</w:t>
            </w:r>
          </w:p>
        </w:tc>
      </w:tr>
      <w:tr>
        <w:trPr>
          <w:trHeight w:val="284"/>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Distribution:</w:t>
            </w:r>
          </w:p>
        </w:tc>
        <w:tc>
          <w:tcPr>
            <w:tcW w:w="82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144A and Reg S with registration rights as set forth in the Preliminary Offering Memorandum.</w:t>
            </w:r>
          </w:p>
        </w:tc>
      </w:tr>
      <w:tr>
        <w:trPr>
          <w:trHeight w:val="265"/>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CUSIP / ISIN:</w:t>
            </w:r>
          </w:p>
        </w:tc>
        <w:tc>
          <w:tcPr>
            <w:tcW w:w="82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144A: 829932AA0 / US829932AA03</w:t>
            </w:r>
          </w:p>
        </w:tc>
      </w:tr>
      <w:tr>
        <w:trPr>
          <w:trHeight w:val="216"/>
        </w:trPr>
        <w:tc>
          <w:tcPr>
            <w:tcW w:w="2740" w:type="dxa"/>
            <w:vAlign w:val="bottom"/>
          </w:tcPr>
          <w:p>
            <w:pPr>
              <w:spacing w:after="0"/>
              <w:rPr>
                <w:sz w:val="18"/>
                <w:szCs w:val="18"/>
                <w:color w:val="auto"/>
              </w:rPr>
            </w:pPr>
          </w:p>
        </w:tc>
        <w:tc>
          <w:tcPr>
            <w:tcW w:w="82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Reg S: U82912AA1 / USU82912AA14</w:t>
            </w:r>
          </w:p>
        </w:tc>
      </w:tr>
      <w:tr>
        <w:trPr>
          <w:trHeight w:val="234"/>
        </w:trPr>
        <w:tc>
          <w:tcPr>
            <w:tcW w:w="2740" w:type="dxa"/>
            <w:vAlign w:val="bottom"/>
          </w:tcPr>
          <w:p>
            <w:pPr>
              <w:spacing w:after="0"/>
              <w:rPr>
                <w:sz w:val="20"/>
                <w:szCs w:val="20"/>
                <w:color w:val="auto"/>
              </w:rPr>
            </w:pPr>
          </w:p>
        </w:tc>
        <w:tc>
          <w:tcPr>
            <w:tcW w:w="82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Temporary Reg S for the 40-day distribution compliance period: U82912AB9 / USU82912AB96</w:t>
            </w:r>
          </w:p>
        </w:tc>
      </w:tr>
      <w:tr>
        <w:trPr>
          <w:trHeight w:val="279"/>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Joint Book-Running Managers:</w:t>
            </w:r>
          </w:p>
        </w:tc>
        <w:tc>
          <w:tcPr>
            <w:tcW w:w="82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BofA Securities, Inc.</w:t>
            </w:r>
          </w:p>
        </w:tc>
      </w:tr>
      <w:tr>
        <w:trPr>
          <w:trHeight w:val="216"/>
        </w:trPr>
        <w:tc>
          <w:tcPr>
            <w:tcW w:w="2740" w:type="dxa"/>
            <w:vAlign w:val="bottom"/>
          </w:tcPr>
          <w:p>
            <w:pPr>
              <w:spacing w:after="0"/>
              <w:rPr>
                <w:sz w:val="18"/>
                <w:szCs w:val="18"/>
                <w:color w:val="auto"/>
              </w:rPr>
            </w:pPr>
          </w:p>
        </w:tc>
        <w:tc>
          <w:tcPr>
            <w:tcW w:w="82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J.P. Morgan Securities LLC</w:t>
            </w:r>
          </w:p>
        </w:tc>
      </w:tr>
      <w:tr>
        <w:trPr>
          <w:trHeight w:val="216"/>
        </w:trPr>
        <w:tc>
          <w:tcPr>
            <w:tcW w:w="2740" w:type="dxa"/>
            <w:vAlign w:val="bottom"/>
          </w:tcPr>
          <w:p>
            <w:pPr>
              <w:spacing w:after="0"/>
              <w:rPr>
                <w:sz w:val="18"/>
                <w:szCs w:val="18"/>
                <w:color w:val="auto"/>
              </w:rPr>
            </w:pPr>
          </w:p>
        </w:tc>
        <w:tc>
          <w:tcPr>
            <w:tcW w:w="82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RBC Capital Markets, LLC</w:t>
            </w:r>
          </w:p>
        </w:tc>
      </w:tr>
      <w:tr>
        <w:trPr>
          <w:trHeight w:val="216"/>
        </w:trPr>
        <w:tc>
          <w:tcPr>
            <w:tcW w:w="2740" w:type="dxa"/>
            <w:vAlign w:val="bottom"/>
          </w:tcPr>
          <w:p>
            <w:pPr>
              <w:spacing w:after="0"/>
              <w:rPr>
                <w:sz w:val="18"/>
                <w:szCs w:val="18"/>
                <w:color w:val="auto"/>
              </w:rPr>
            </w:pPr>
          </w:p>
        </w:tc>
        <w:tc>
          <w:tcPr>
            <w:tcW w:w="82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SMBC Nikko Securities America, Inc.</w:t>
            </w:r>
          </w:p>
        </w:tc>
      </w:tr>
      <w:tr>
        <w:trPr>
          <w:trHeight w:val="216"/>
        </w:trPr>
        <w:tc>
          <w:tcPr>
            <w:tcW w:w="2740" w:type="dxa"/>
            <w:vAlign w:val="bottom"/>
          </w:tcPr>
          <w:p>
            <w:pPr>
              <w:spacing w:after="0"/>
              <w:rPr>
                <w:sz w:val="18"/>
                <w:szCs w:val="18"/>
                <w:color w:val="auto"/>
              </w:rPr>
            </w:pPr>
          </w:p>
        </w:tc>
        <w:tc>
          <w:tcPr>
            <w:tcW w:w="82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Barclays Capital Inc.</w:t>
            </w:r>
          </w:p>
        </w:tc>
      </w:tr>
      <w:tr>
        <w:trPr>
          <w:trHeight w:val="216"/>
        </w:trPr>
        <w:tc>
          <w:tcPr>
            <w:tcW w:w="2740" w:type="dxa"/>
            <w:vAlign w:val="bottom"/>
          </w:tcPr>
          <w:p>
            <w:pPr>
              <w:spacing w:after="0"/>
              <w:rPr>
                <w:sz w:val="18"/>
                <w:szCs w:val="18"/>
                <w:color w:val="auto"/>
              </w:rPr>
            </w:pPr>
          </w:p>
        </w:tc>
        <w:tc>
          <w:tcPr>
            <w:tcW w:w="82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Mizuho Securities USA LLC</w:t>
            </w:r>
          </w:p>
        </w:tc>
      </w:tr>
      <w:tr>
        <w:trPr>
          <w:trHeight w:val="216"/>
        </w:trPr>
        <w:tc>
          <w:tcPr>
            <w:tcW w:w="2740" w:type="dxa"/>
            <w:vAlign w:val="bottom"/>
          </w:tcPr>
          <w:p>
            <w:pPr>
              <w:spacing w:after="0"/>
              <w:rPr>
                <w:sz w:val="18"/>
                <w:szCs w:val="18"/>
                <w:color w:val="auto"/>
              </w:rPr>
            </w:pPr>
          </w:p>
        </w:tc>
        <w:tc>
          <w:tcPr>
            <w:tcW w:w="82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Truist Securities, Inc.</w:t>
            </w:r>
          </w:p>
        </w:tc>
      </w:tr>
      <w:tr>
        <w:trPr>
          <w:trHeight w:val="216"/>
        </w:trPr>
        <w:tc>
          <w:tcPr>
            <w:tcW w:w="2740" w:type="dxa"/>
            <w:vAlign w:val="bottom"/>
          </w:tcPr>
          <w:p>
            <w:pPr>
              <w:spacing w:after="0"/>
              <w:rPr>
                <w:sz w:val="18"/>
                <w:szCs w:val="18"/>
                <w:color w:val="auto"/>
              </w:rPr>
            </w:pPr>
          </w:p>
        </w:tc>
        <w:tc>
          <w:tcPr>
            <w:tcW w:w="82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Wells Fargo Securities, LLC</w:t>
            </w:r>
          </w:p>
        </w:tc>
      </w:tr>
      <w:tr>
        <w:trPr>
          <w:trHeight w:val="216"/>
        </w:trPr>
        <w:tc>
          <w:tcPr>
            <w:tcW w:w="2740" w:type="dxa"/>
            <w:vAlign w:val="bottom"/>
          </w:tcPr>
          <w:p>
            <w:pPr>
              <w:spacing w:after="0"/>
              <w:rPr>
                <w:sz w:val="18"/>
                <w:szCs w:val="18"/>
                <w:color w:val="auto"/>
              </w:rPr>
            </w:pPr>
          </w:p>
        </w:tc>
        <w:tc>
          <w:tcPr>
            <w:tcW w:w="82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BNP Paribas Securities Corp.</w:t>
            </w:r>
          </w:p>
        </w:tc>
      </w:tr>
      <w:tr>
        <w:trPr>
          <w:trHeight w:val="216"/>
        </w:trPr>
        <w:tc>
          <w:tcPr>
            <w:tcW w:w="2740" w:type="dxa"/>
            <w:vAlign w:val="bottom"/>
          </w:tcPr>
          <w:p>
            <w:pPr>
              <w:spacing w:after="0"/>
              <w:rPr>
                <w:sz w:val="18"/>
                <w:szCs w:val="18"/>
                <w:color w:val="auto"/>
              </w:rPr>
            </w:pPr>
          </w:p>
        </w:tc>
        <w:tc>
          <w:tcPr>
            <w:tcW w:w="82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Goldman Sachs &amp; Co. LLC</w:t>
            </w:r>
          </w:p>
        </w:tc>
      </w:tr>
      <w:tr>
        <w:trPr>
          <w:trHeight w:val="216"/>
        </w:trPr>
        <w:tc>
          <w:tcPr>
            <w:tcW w:w="2740" w:type="dxa"/>
            <w:vAlign w:val="bottom"/>
          </w:tcPr>
          <w:p>
            <w:pPr>
              <w:spacing w:after="0"/>
              <w:rPr>
                <w:sz w:val="18"/>
                <w:szCs w:val="18"/>
                <w:color w:val="auto"/>
              </w:rPr>
            </w:pPr>
          </w:p>
        </w:tc>
        <w:tc>
          <w:tcPr>
            <w:tcW w:w="82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HSBC Securities (USA) Inc.</w:t>
            </w:r>
          </w:p>
        </w:tc>
      </w:tr>
      <w:tr>
        <w:trPr>
          <w:trHeight w:val="216"/>
        </w:trPr>
        <w:tc>
          <w:tcPr>
            <w:tcW w:w="2740" w:type="dxa"/>
            <w:vAlign w:val="bottom"/>
          </w:tcPr>
          <w:p>
            <w:pPr>
              <w:spacing w:after="0"/>
              <w:rPr>
                <w:sz w:val="18"/>
                <w:szCs w:val="18"/>
                <w:color w:val="auto"/>
              </w:rPr>
            </w:pPr>
          </w:p>
        </w:tc>
        <w:tc>
          <w:tcPr>
            <w:tcW w:w="82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ING Financial Markets LLC</w:t>
            </w:r>
          </w:p>
        </w:tc>
      </w:tr>
      <w:tr>
        <w:trPr>
          <w:trHeight w:val="234"/>
        </w:trPr>
        <w:tc>
          <w:tcPr>
            <w:tcW w:w="2740" w:type="dxa"/>
            <w:vAlign w:val="bottom"/>
          </w:tcPr>
          <w:p>
            <w:pPr>
              <w:spacing w:after="0"/>
              <w:rPr>
                <w:sz w:val="20"/>
                <w:szCs w:val="20"/>
                <w:color w:val="auto"/>
              </w:rPr>
            </w:pPr>
          </w:p>
        </w:tc>
        <w:tc>
          <w:tcPr>
            <w:tcW w:w="82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Morgan Stanley &amp; Co. LLC</w:t>
            </w:r>
          </w:p>
        </w:tc>
      </w:tr>
      <w:tr>
        <w:trPr>
          <w:trHeight w:val="279"/>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Co-Managers:</w:t>
            </w:r>
          </w:p>
        </w:tc>
        <w:tc>
          <w:tcPr>
            <w:tcW w:w="82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Keefe, Bruyette &amp; Woods, Inc.</w:t>
            </w:r>
          </w:p>
        </w:tc>
      </w:tr>
      <w:tr>
        <w:trPr>
          <w:trHeight w:val="234"/>
        </w:trPr>
        <w:tc>
          <w:tcPr>
            <w:tcW w:w="2740" w:type="dxa"/>
            <w:vAlign w:val="bottom"/>
          </w:tcPr>
          <w:p>
            <w:pPr>
              <w:spacing w:after="0"/>
              <w:rPr>
                <w:sz w:val="20"/>
                <w:szCs w:val="20"/>
                <w:color w:val="auto"/>
              </w:rPr>
            </w:pPr>
          </w:p>
        </w:tc>
        <w:tc>
          <w:tcPr>
            <w:tcW w:w="82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R. Seelaus &amp; Co., LLC</w:t>
            </w:r>
          </w:p>
        </w:tc>
      </w:tr>
    </w:tbl>
    <w:p>
      <w:pPr>
        <w:spacing w:after="0" w:line="2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24" w:hanging="424"/>
        <w:spacing w:after="0"/>
        <w:tabs>
          <w:tab w:leader="none" w:pos="42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A securities rating is not a recommendation to buy, sell or hold securities and may be subject to revision or withdrawal at any time.</w:t>
      </w:r>
    </w:p>
    <w:p>
      <w:pPr>
        <w:spacing w:after="0" w:line="27" w:lineRule="exact"/>
        <w:rPr>
          <w:sz w:val="20"/>
          <w:szCs w:val="20"/>
          <w:color w:val="auto"/>
        </w:rPr>
      </w:pPr>
    </w:p>
    <w:p>
      <w:pPr>
        <w:ind w:left="424" w:right="60" w:hanging="424"/>
        <w:spacing w:after="0" w:line="252" w:lineRule="auto"/>
        <w:tabs>
          <w:tab w:leader="none" w:pos="42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expects that delivery of the Notes will be made to investors on or about June 17, 2024, which will be the fifth business day following the date hereof. Under Rule 15c6-1 under the Securities Exchange Act of 1934, as amended, trades in the secondary market are required to settle in one business day, unless the parties to any such trade expressly agree otherwise. Accordingly, purchasers who wish to trade Notes on the date hereof or the next business day will be required by virtue of the fact that the Notes initially settle in T+5, to specify an alternate settlement arrangement at the time of any such trade to prevent a failed settlement. Purchasers of the Notes who wish to trade the Notes on the date hereof or the next business day should consult their advisors.</w:t>
      </w:r>
    </w:p>
    <w:p>
      <w:pPr>
        <w:sectPr>
          <w:pgSz w:w="11900" w:h="16838" w:orient="portrait"/>
          <w:cols w:equalWidth="0" w:num="1">
            <w:col w:w="11004"/>
          </w:cols>
          <w:pgMar w:left="436" w:top="270" w:right="459" w:bottom="1440" w:gutter="0" w:footer="0" w:header="0"/>
        </w:sectPr>
      </w:pPr>
    </w:p>
    <w:bookmarkStart w:id="64" w:name="page65"/>
    <w:bookmarkEnd w:id="64"/>
    <w:p>
      <w:pPr>
        <w:ind w:right="40"/>
        <w:spacing w:after="0" w:line="26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Notes have not been registered under the Securities Act of 1933, as amended (the “Securities Act”), or any state securities laws. Unless they are registered, any Notes may be offered only in transactions exempt from or not subject to registration under the Securities Act, or any state securities laws. Accordingly, the Notes have been offered only to persons reasonably believed to be qualified institutional buyers as defined in Rule 144A under the Securities Act or to non-U.S. persons outside the United States under Regulation S under the Securities Act.</w:t>
      </w:r>
    </w:p>
    <w:p>
      <w:pPr>
        <w:spacing w:after="0" w:line="176" w:lineRule="exact"/>
        <w:rPr>
          <w:sz w:val="20"/>
          <w:szCs w:val="20"/>
          <w:color w:val="auto"/>
        </w:rPr>
      </w:pPr>
    </w:p>
    <w:p>
      <w:pPr>
        <w:ind w:right="640"/>
        <w:spacing w:after="0" w:line="317" w:lineRule="auto"/>
        <w:rPr>
          <w:sz w:val="20"/>
          <w:szCs w:val="20"/>
          <w:color w:val="auto"/>
        </w:rPr>
      </w:pPr>
      <w:r>
        <w:rPr>
          <w:rFonts w:ascii="Times New Roman" w:cs="Times New Roman" w:eastAsia="Times New Roman" w:hAnsi="Times New Roman"/>
          <w:sz w:val="17"/>
          <w:szCs w:val="17"/>
          <w:b w:val="1"/>
          <w:bCs w:val="1"/>
          <w:color w:val="auto"/>
        </w:rPr>
        <w:t>Investors are advised to carefully consider the investment objectives, risks, charges and expenses of the Issuer before investing. The Preliminary Offering Memorandum contains this and other information about the Issuer and should be read carefully before investing.</w:t>
      </w:r>
    </w:p>
    <w:p>
      <w:pPr>
        <w:spacing w:after="0" w:line="13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color w:val="auto"/>
        </w:rPr>
        <w:t>The information in the Preliminary Offering Memorandum and in this pricing term sheet is not complete and may be changed. The Preliminary Offering Memorandum and this pricing term sheet are not offers to sell any securities of the Issuer and are not soliciting an offer to buy such securities in any state or jurisdiction where such offer and sale is not permitted. The Issuer, any initial purchaser or any dealer participating in the offering will arrange to send you the Preliminary Offering Memorandum if you request it by calling BofA Securities, Inc. at 1-800-294-1322.</w:t>
      </w:r>
    </w:p>
    <w:sectPr>
      <w:pgSz w:w="11900" w:h="16838" w:orient="portrait"/>
      <w:cols w:equalWidth="0" w:num="1">
        <w:col w:w="11000"/>
      </w:cols>
      <w:pgMar w:left="440" w:top="266"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1)"/>
      <w:numFmt w:val="lowerRoman"/>
      <w:start w:val="1"/>
    </w:lvl>
  </w:abstractNum>
  <w:abstractNum w:abstractNumId="2">
    <w:nsid w:val="628C895D"/>
    <w:multiLevelType w:val="hybridMultilevel"/>
    <w:lvl w:ilvl="0">
      <w:lvlJc w:val="left"/>
      <w:lvlText w:val="(%1)"/>
      <w:numFmt w:val="lowerRoman"/>
      <w:start w:val="2"/>
    </w:lvl>
  </w:abstractNum>
  <w:abstractNum w:abstractNumId="3">
    <w:nsid w:val="333AB105"/>
    <w:multiLevelType w:val="hybridMultilevel"/>
    <w:lvl w:ilvl="0">
      <w:lvlJc w:val="left"/>
      <w:lvlText w:val="(%1)"/>
      <w:numFmt w:val="lowerRoman"/>
      <w:start w:val="1"/>
    </w:lvl>
  </w:abstractNum>
  <w:abstractNum w:abstractNumId="4">
    <w:nsid w:val="721DA317"/>
    <w:multiLevelType w:val="hybridMultilevel"/>
    <w:lvl w:ilvl="0">
      <w:lvlJc w:val="left"/>
      <w:lvlText w:val="(%1)"/>
      <w:numFmt w:val="lowerRoman"/>
      <w:start w:val="3"/>
    </w:lvl>
  </w:abstractNum>
  <w:abstractNum w:abstractNumId="5">
    <w:nsid w:val="2443A858"/>
    <w:multiLevelType w:val="hybridMultilevel"/>
    <w:lvl w:ilvl="0">
      <w:lvlJc w:val="left"/>
      <w:lvlText w:val="(%1)"/>
      <w:numFmt w:val="lowerRoman"/>
      <w:start w:val="1"/>
    </w:lvl>
  </w:abstractNum>
  <w:abstractNum w:abstractNumId="6">
    <w:nsid w:val="2D1D5AE9"/>
    <w:multiLevelType w:val="hybridMultilevel"/>
    <w:lvl w:ilvl="0">
      <w:lvlJc w:val="left"/>
      <w:lvlText w:val="(%1)"/>
      <w:numFmt w:val="lowerRoman"/>
      <w:start w:val="3"/>
    </w:lvl>
  </w:abstractNum>
  <w:abstractNum w:abstractNumId="7">
    <w:nsid w:val="6763845E"/>
    <w:multiLevelType w:val="hybridMultilevel"/>
    <w:lvl w:ilvl="0">
      <w:lvlJc w:val="left"/>
      <w:lvlText w:val="(%1)"/>
      <w:numFmt w:val="lowerRoman"/>
      <w:start w:val="3"/>
    </w:lvl>
  </w:abstractNum>
  <w:abstractNum w:abstractNumId="8">
    <w:nsid w:val="75A2A8D4"/>
    <w:multiLevelType w:val="hybridMultilevel"/>
    <w:lvl w:ilvl="0">
      <w:lvlJc w:val="left"/>
      <w:lvlText w:val="(%1)"/>
      <w:numFmt w:val="lowerRoman"/>
      <w:start w:val="1"/>
    </w:lvl>
  </w:abstractNum>
  <w:abstractNum w:abstractNumId="9">
    <w:nsid w:val="8EDBDAB"/>
    <w:multiLevelType w:val="hybridMultilevel"/>
    <w:lvl w:ilvl="0">
      <w:lvlJc w:val="left"/>
      <w:lvlText w:val="%1."/>
      <w:numFmt w:val="decimal"/>
      <w:start w:val="1"/>
    </w:lvl>
  </w:abstractNum>
  <w:abstractNum w:abstractNumId="10">
    <w:nsid w:val="79838CB2"/>
    <w:multiLevelType w:val="hybridMultilevel"/>
    <w:lvl w:ilvl="0">
      <w:lvlJc w:val="left"/>
      <w:lvlText w:val="%1."/>
      <w:numFmt w:val="decimal"/>
      <w:start w:val="1"/>
    </w:lvl>
  </w:abstractNum>
  <w:abstractNum w:abstractNumId="11">
    <w:nsid w:val="4353D0CD"/>
    <w:multiLevelType w:val="hybridMultilevel"/>
    <w:lvl w:ilvl="0">
      <w:lvlJc w:val="left"/>
      <w:lvlText w:val="(%1)"/>
      <w:numFmt w:val="lowerLetter"/>
      <w:start w:val="3"/>
    </w:lvl>
  </w:abstractNum>
  <w:abstractNum w:abstractNumId="12">
    <w:nsid w:val="B03E0C6"/>
    <w:multiLevelType w:val="hybridMultilevel"/>
    <w:lvl w:ilvl="0">
      <w:lvlJc w:val="left"/>
      <w:lvlText w:val="(%1)"/>
      <w:numFmt w:val="lowerLetter"/>
      <w:start w:val="1"/>
    </w:lvl>
  </w:abstractNum>
  <w:abstractNum w:abstractNumId="13">
    <w:nsid w:val="189A769B"/>
    <w:multiLevelType w:val="hybridMultilevel"/>
    <w:lvl w:ilvl="0">
      <w:lvlJc w:val="left"/>
      <w:lvlText w:val="(%1)"/>
      <w:numFmt w:val="lowerLetter"/>
      <w:start w:val="1"/>
    </w:lvl>
  </w:abstractNum>
  <w:abstractNum w:abstractNumId="14">
    <w:nsid w:val="54E49EB4"/>
    <w:multiLevelType w:val="hybridMultilevel"/>
    <w:lvl w:ilvl="0">
      <w:lvlJc w:val="left"/>
      <w:lvlText w:val="(%1)"/>
      <w:numFmt w:val="lowerLetter"/>
      <w:start w:val="2"/>
    </w:lvl>
  </w:abstractNum>
  <w:abstractNum w:abstractNumId="15">
    <w:nsid w:val="71F32454"/>
    <w:multiLevelType w:val="hybridMultilevel"/>
    <w:lvl w:ilvl="0">
      <w:lvlJc w:val="left"/>
      <w:lvlText w:val="(%1)"/>
      <w:numFmt w:val="lowerLetter"/>
      <w:start w:val="1"/>
    </w:lvl>
  </w:abstractNum>
  <w:abstractNum w:abstractNumId="16">
    <w:nsid w:val="2CA88611"/>
    <w:multiLevelType w:val="hybridMultilevel"/>
    <w:lvl w:ilvl="0">
      <w:lvlJc w:val="left"/>
      <w:lvlText w:val="(%1)"/>
      <w:numFmt w:val="upperLetter"/>
      <w:start w:val="2"/>
    </w:lvl>
  </w:abstractNum>
  <w:abstractNum w:abstractNumId="17">
    <w:nsid w:val="836C40E"/>
    <w:multiLevelType w:val="hybridMultilevel"/>
    <w:lvl w:ilvl="0">
      <w:lvlJc w:val="left"/>
      <w:lvlText w:val="(%1)"/>
      <w:numFmt w:val="lowerRoman"/>
      <w:start w:val="3"/>
    </w:lvl>
  </w:abstractNum>
  <w:abstractNum w:abstractNumId="18">
    <w:nsid w:val="2901D82"/>
    <w:multiLevelType w:val="hybridMultilevel"/>
    <w:lvl w:ilvl="0">
      <w:lvlJc w:val="left"/>
      <w:lvlText w:val="(%1)"/>
      <w:numFmt w:val="lowerLetter"/>
      <w:start w:val="2"/>
    </w:lvl>
  </w:abstractNum>
  <w:abstractNum w:abstractNumId="19">
    <w:nsid w:val="3A95F874"/>
    <w:multiLevelType w:val="hybridMultilevel"/>
    <w:lvl w:ilvl="0">
      <w:lvlJc w:val="left"/>
      <w:lvlText w:val="(%1)"/>
      <w:numFmt w:val="lowerLetter"/>
      <w:start w:val="1"/>
    </w:lvl>
    <w:lvl w:ilvl="1">
      <w:lvlJc w:val="left"/>
      <w:lvlText w:val="(%2)"/>
      <w:numFmt w:val="lowerLetter"/>
      <w:start w:val="9"/>
    </w:lvl>
  </w:abstractNum>
  <w:abstractNum w:abstractNumId="20">
    <w:nsid w:val="8138641"/>
    <w:multiLevelType w:val="hybridMultilevel"/>
    <w:lvl w:ilvl="0">
      <w:lvlJc w:val="left"/>
      <w:lvlText w:val="(%1)"/>
      <w:numFmt w:val="upperLetter"/>
      <w:start w:val="4"/>
    </w:lvl>
  </w:abstractNum>
  <w:abstractNum w:abstractNumId="21">
    <w:nsid w:val="1E7FF521"/>
    <w:multiLevelType w:val="hybridMultilevel"/>
    <w:lvl w:ilvl="0">
      <w:lvlJc w:val="left"/>
      <w:lvlText w:val="(%1)"/>
      <w:numFmt w:val="lowerLetter"/>
      <w:start w:val="2"/>
    </w:lvl>
    <w:lvl w:ilvl="1">
      <w:lvlJc w:val="left"/>
      <w:lvlText w:val="(%2)"/>
      <w:numFmt w:val="lowerRoman"/>
      <w:start w:val="1"/>
    </w:lvl>
  </w:abstractNum>
  <w:abstractNum w:abstractNumId="22">
    <w:nsid w:val="7C3DBD3D"/>
    <w:multiLevelType w:val="hybridMultilevel"/>
    <w:lvl w:ilvl="0">
      <w:lvlJc w:val="left"/>
      <w:lvlText w:val="%1"/>
      <w:numFmt w:val="upperLetter"/>
      <w:start w:val="1"/>
    </w:lvl>
    <w:lvl w:ilvl="1">
      <w:lvlJc w:val="left"/>
      <w:lvlText w:val="(%2)"/>
      <w:numFmt w:val="lowerRoman"/>
      <w:start w:val="3"/>
    </w:lvl>
  </w:abstractNum>
  <w:abstractNum w:abstractNumId="23">
    <w:nsid w:val="737B8DDC"/>
    <w:multiLevelType w:val="hybridMultilevel"/>
    <w:lvl w:ilvl="0">
      <w:lvlJc w:val="left"/>
      <w:lvlText w:val="(%1)"/>
      <w:numFmt w:val="upperLetter"/>
      <w:start w:val="1"/>
    </w:lvl>
    <w:lvl w:ilvl="1">
      <w:lvlJc w:val="left"/>
      <w:lvlText w:val="%2"/>
      <w:numFmt w:val="lowerRoman"/>
      <w:start w:val="1"/>
    </w:lvl>
  </w:abstractNum>
  <w:abstractNum w:abstractNumId="24">
    <w:nsid w:val="6CEAF087"/>
    <w:multiLevelType w:val="hybridMultilevel"/>
    <w:lvl w:ilvl="0">
      <w:lvlJc w:val="left"/>
      <w:lvlText w:val="(%1)"/>
      <w:numFmt w:val="upperLetter"/>
      <w:start w:val="3"/>
    </w:lvl>
    <w:lvl w:ilvl="1">
      <w:lvlJc w:val="left"/>
      <w:lvlText w:val="(%2)"/>
      <w:numFmt w:val="lowerRoman"/>
      <w:start w:val="5"/>
    </w:lvl>
  </w:abstractNum>
  <w:abstractNum w:abstractNumId="25">
    <w:nsid w:val="22221A70"/>
    <w:multiLevelType w:val="hybridMultilevel"/>
    <w:lvl w:ilvl="0">
      <w:lvlJc w:val="left"/>
      <w:lvlText w:val="(%1)"/>
      <w:numFmt w:val="lowerRoman"/>
      <w:start w:val="6"/>
    </w:lvl>
  </w:abstractNum>
  <w:abstractNum w:abstractNumId="26">
    <w:nsid w:val="4516DDE9"/>
    <w:multiLevelType w:val="hybridMultilevel"/>
    <w:lvl w:ilvl="0">
      <w:lvlJc w:val="left"/>
      <w:lvlText w:val="(%1)"/>
      <w:numFmt w:val="lowerRoman"/>
      <w:start w:val="11"/>
    </w:lvl>
    <w:lvl w:ilvl="1">
      <w:lvlJc w:val="left"/>
      <w:lvlText w:val="(%2)"/>
      <w:numFmt w:val="upperLetter"/>
      <w:start w:val="1"/>
    </w:lvl>
    <w:lvl w:ilvl="2">
      <w:lvlJc w:val="left"/>
      <w:lvlText w:val="(%3)"/>
      <w:numFmt w:val="decimal"/>
      <w:start w:val="1"/>
    </w:lvl>
  </w:abstractNum>
  <w:abstractNum w:abstractNumId="27">
    <w:nsid w:val="3006C83E"/>
    <w:multiLevelType w:val="hybridMultilevel"/>
    <w:lvl w:ilvl="0">
      <w:lvlJc w:val="left"/>
      <w:lvlText w:val="(%1)"/>
      <w:numFmt w:val="lowerRoman"/>
      <w:start w:val="12"/>
    </w:lvl>
  </w:abstractNum>
  <w:abstractNum w:abstractNumId="28">
    <w:nsid w:val="614FD4A1"/>
    <w:multiLevelType w:val="hybridMultilevel"/>
    <w:lvl w:ilvl="0">
      <w:lvlJc w:val="left"/>
      <w:lvlText w:val="(%1)"/>
      <w:numFmt w:val="lowerRoman"/>
      <w:start w:val="14"/>
    </w:lvl>
  </w:abstractNum>
  <w:abstractNum w:abstractNumId="29">
    <w:nsid w:val="419AC241"/>
    <w:multiLevelType w:val="hybridMultilevel"/>
    <w:lvl w:ilvl="0">
      <w:lvlJc w:val="left"/>
      <w:lvlText w:val="(%1)"/>
      <w:numFmt w:val="lowerRoman"/>
      <w:start w:val="16"/>
    </w:lvl>
  </w:abstractNum>
  <w:abstractNum w:abstractNumId="30">
    <w:nsid w:val="5577F8E1"/>
    <w:multiLevelType w:val="hybridMultilevel"/>
    <w:lvl w:ilvl="0">
      <w:lvlJc w:val="left"/>
      <w:lvlText w:val="(%1)"/>
      <w:numFmt w:val="lowerLetter"/>
      <w:start w:val="1"/>
    </w:lvl>
  </w:abstractNum>
  <w:abstractNum w:abstractNumId="31">
    <w:nsid w:val="440BADFC"/>
    <w:multiLevelType w:val="hybridMultilevel"/>
    <w:lvl w:ilvl="0">
      <w:lvlJc w:val="left"/>
      <w:lvlText w:val="(%1)"/>
      <w:numFmt w:val="lowerLetter"/>
      <w:start w:val="2"/>
    </w:lvl>
  </w:abstractNum>
  <w:abstractNum w:abstractNumId="32">
    <w:nsid w:val="5072367"/>
    <w:multiLevelType w:val="hybridMultilevel"/>
    <w:lvl w:ilvl="0">
      <w:lvlJc w:val="left"/>
      <w:lvlText w:val="(%1)"/>
      <w:numFmt w:val="lowerLetter"/>
      <w:start w:val="3"/>
    </w:lvl>
  </w:abstractNum>
  <w:abstractNum w:abstractNumId="33">
    <w:nsid w:val="3804823E"/>
    <w:multiLevelType w:val="hybridMultilevel"/>
    <w:lvl w:ilvl="0">
      <w:lvlJc w:val="left"/>
      <w:lvlText w:val="(%1)"/>
      <w:numFmt w:val="lowerLetter"/>
      <w:start w:val="1"/>
    </w:lvl>
  </w:abstractNum>
  <w:abstractNum w:abstractNumId="34">
    <w:nsid w:val="77465F01"/>
    <w:multiLevelType w:val="hybridMultilevel"/>
    <w:lvl w:ilvl="0">
      <w:lvlJc w:val="left"/>
      <w:lvlText w:val="(%1)"/>
      <w:numFmt w:val="lowerLetter"/>
      <w:start w:val="5"/>
    </w:lvl>
    <w:lvl w:ilvl="1">
      <w:lvlJc w:val="left"/>
      <w:lvlText w:val="(%2)"/>
      <w:numFmt w:val="lowerRoman"/>
      <w:start w:val="1"/>
    </w:lvl>
  </w:abstractNum>
  <w:abstractNum w:abstractNumId="35">
    <w:nsid w:val="7724C67E"/>
    <w:multiLevelType w:val="hybridMultilevel"/>
    <w:lvl w:ilvl="0">
      <w:lvlJc w:val="left"/>
      <w:lvlText w:val="(%1)"/>
      <w:numFmt w:val="lowerLetter"/>
      <w:start w:val="6"/>
    </w:lvl>
  </w:abstractNum>
  <w:abstractNum w:abstractNumId="36">
    <w:nsid w:val="5C482A97"/>
    <w:multiLevelType w:val="hybridMultilevel"/>
    <w:lvl w:ilvl="0">
      <w:lvlJc w:val="left"/>
      <w:lvlText w:val="(%1)"/>
      <w:numFmt w:val="lowerLetter"/>
      <w:start w:val="10"/>
    </w:lvl>
  </w:abstractNum>
  <w:abstractNum w:abstractNumId="37">
    <w:nsid w:val="2463B9EA"/>
    <w:multiLevelType w:val="hybridMultilevel"/>
    <w:lvl w:ilvl="0">
      <w:lvlJc w:val="left"/>
      <w:lvlText w:val="*"/>
      <w:numFmt w:val="bullet"/>
      <w:start w:val="1"/>
    </w:lvl>
  </w:abstractNum>
  <w:abstractNum w:abstractNumId="38">
    <w:nsid w:val="5E884AD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2024-06-14T15:24:10Z</dcterms:created>
  <dcterms:modified xsi:type="dcterms:W3CDTF">2024-06-14T15:24:10Z</dcterms:modified>
</cp:coreProperties>
</file>