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36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On March 21, 2023, the Company issued unregistered common shares of beneficial interest in the Company, par value $0.001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pursuant to Section 4(a)(2) of the Securities Act, Regulation D thereunder, and/or Regulation S thereunder. The following table details the amount of Shares sold and consideration therefor:</w:t>
      </w:r>
    </w:p>
    <w:p>
      <w:pPr>
        <w:spacing w:after="0" w:line="18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21, 2023</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9,643,813</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$250,000,000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2023</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2023-03-24T21:50:44Z</dcterms:created>
  <dcterms:modified xsi:type="dcterms:W3CDTF">2023-03-24T21:50:44Z</dcterms:modified>
</cp:coreProperties>
</file>