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4"/>
          <w:szCs w:val="24"/>
          <w:b w:val="1"/>
          <w:bCs w:val="1"/>
          <w:color w:val="auto"/>
        </w:rPr>
        <w:t>SCHEDULE 13G</w:t>
      </w:r>
    </w:p>
    <w:p>
      <w:pPr>
        <w:spacing w:after="0" w:line="19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(Amendment No. )*</w:t>
      </w:r>
    </w:p>
    <w:p>
      <w:pPr>
        <w:spacing w:after="0" w:line="200" w:lineRule="exact"/>
        <w:rPr>
          <w:sz w:val="24"/>
          <w:szCs w:val="24"/>
          <w:color w:val="auto"/>
        </w:rPr>
      </w:pPr>
    </w:p>
    <w:p>
      <w:pPr>
        <w:spacing w:after="0" w:line="26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17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of Issuer)</w:t>
      </w:r>
    </w:p>
    <w:p>
      <w:pPr>
        <w:spacing w:after="0" w:line="16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17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67"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46"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November 21, 2023</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36" w:lineRule="exact"/>
        <w:rPr>
          <w:sz w:val="24"/>
          <w:szCs w:val="24"/>
          <w:color w:val="auto"/>
        </w:rPr>
      </w:pPr>
    </w:p>
    <w:p>
      <w:pPr>
        <w:jc w:val="both"/>
        <w:ind w:left="640" w:right="8840" w:firstLine="2"/>
        <w:spacing w:after="0" w:line="253" w:lineRule="exact"/>
        <w:tabs>
          <w:tab w:leader="none" w:pos="1201"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1200" w:hanging="558"/>
        <w:spacing w:after="0" w:line="211" w:lineRule="auto"/>
        <w:tabs>
          <w:tab w:leader="none" w:pos="120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color w:val="auto"/>
        </w:rPr>
        <w:t>Rule 13d-1(d)</w:t>
      </w:r>
    </w:p>
    <w:p>
      <w:pPr>
        <w:spacing w:after="0" w:line="184"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46355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455" w:right="359" w:bottom="1440" w:gutter="0" w:footer="0" w:header="0"/>
        </w:sectPr>
      </w:pPr>
    </w:p>
    <w:bookmarkStart w:id="1" w:name="page2"/>
    <w:bookmarkEnd w:id="1"/>
    <w:p>
      <w:pPr>
        <w:ind w:left="1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426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60215"/>
                    </a:xfrm>
                    <a:prstGeom prst="rect">
                      <a:avLst/>
                    </a:prstGeom>
                    <a:noFill/>
                  </pic:spPr>
                </pic:pic>
              </a:graphicData>
            </a:graphic>
          </wp:anchor>
        </w:drawing>
        <w:t>CUSIP No. N/A</w:t>
      </w:r>
    </w:p>
    <w:p>
      <w:pPr>
        <w:spacing w:after="0" w:line="347" w:lineRule="exact"/>
        <w:rPr>
          <w:sz w:val="20"/>
          <w:szCs w:val="20"/>
          <w:color w:val="auto"/>
        </w:rPr>
      </w:pPr>
    </w:p>
    <w:p>
      <w:pPr>
        <w:ind w:left="358" w:right="8640" w:hanging="331"/>
        <w:spacing w:after="0" w:line="314" w:lineRule="auto"/>
        <w:tabs>
          <w:tab w:leader="none" w:pos="373"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China Investment Corporation</w:t>
      </w:r>
    </w:p>
    <w:p>
      <w:pPr>
        <w:spacing w:after="0" w:line="1" w:lineRule="exact"/>
        <w:rPr>
          <w:rFonts w:ascii="Times New Roman" w:cs="Times New Roman" w:eastAsia="Times New Roman" w:hAnsi="Times New Roman"/>
          <w:sz w:val="17"/>
          <w:szCs w:val="17"/>
          <w:color w:val="auto"/>
        </w:rPr>
      </w:pPr>
    </w:p>
    <w:p>
      <w:pPr>
        <w:ind w:left="198" w:hanging="171"/>
        <w:spacing w:after="0"/>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p>
      <w:pPr>
        <w:spacing w:after="0" w:line="58"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6"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63"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63" w:lineRule="exact"/>
        <w:rPr>
          <w:sz w:val="20"/>
          <w:szCs w:val="20"/>
          <w:color w:val="auto"/>
        </w:rPr>
      </w:pPr>
    </w:p>
    <w:tbl>
      <w:tblPr>
        <w:tblLayout w:type="fixed"/>
        <w:tblInd w:w="158"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41"/>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3"/>
        </w:trPr>
        <w:tc>
          <w:tcPr>
            <w:tcW w:w="2020" w:type="dxa"/>
            <w:vAlign w:val="bottom"/>
            <w:vMerge w:val="continue"/>
          </w:tcPr>
          <w:p>
            <w:pPr>
              <w:spacing w:after="0"/>
              <w:rPr>
                <w:sz w:val="8"/>
                <w:szCs w:val="8"/>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53"/>
        </w:trPr>
        <w:tc>
          <w:tcPr>
            <w:tcW w:w="20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Beneficially</w:t>
            </w: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3,041,567</w:t>
            </w:r>
          </w:p>
        </w:tc>
        <w:tc>
          <w:tcPr>
            <w:tcW w:w="0" w:type="dxa"/>
            <w:vAlign w:val="bottom"/>
          </w:tcPr>
          <w:p>
            <w:pPr>
              <w:spacing w:after="0"/>
              <w:rPr>
                <w:sz w:val="1"/>
                <w:szCs w:val="1"/>
                <w:color w:val="auto"/>
              </w:rPr>
            </w:pPr>
          </w:p>
        </w:tc>
      </w:tr>
      <w:tr>
        <w:trPr>
          <w:trHeight w:val="23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rPr>
              <w:t>Each Reporting</w:t>
            </w:r>
          </w:p>
        </w:tc>
        <w:tc>
          <w:tcPr>
            <w:tcW w:w="9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 Sole Dispositive Power</w:t>
            </w:r>
          </w:p>
        </w:tc>
        <w:tc>
          <w:tcPr>
            <w:tcW w:w="0" w:type="dxa"/>
            <w:vAlign w:val="bottom"/>
          </w:tcPr>
          <w:p>
            <w:pPr>
              <w:spacing w:after="0"/>
              <w:rPr>
                <w:sz w:val="1"/>
                <w:szCs w:val="1"/>
                <w:color w:val="auto"/>
              </w:rPr>
            </w:pPr>
          </w:p>
        </w:tc>
      </w:tr>
      <w:tr>
        <w:trPr>
          <w:trHeight w:val="113"/>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20" w:type="dxa"/>
            <w:vAlign w:val="bottom"/>
            <w:vMerge w:val="continue"/>
          </w:tcPr>
          <w:p>
            <w:pPr>
              <w:spacing w:after="0"/>
              <w:rPr>
                <w:sz w:val="10"/>
                <w:szCs w:val="10"/>
                <w:color w:val="auto"/>
              </w:rPr>
            </w:pPr>
          </w:p>
        </w:tc>
        <w:tc>
          <w:tcPr>
            <w:tcW w:w="9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9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278" w:right="6880" w:hanging="6"/>
        <w:spacing w:after="0" w:line="320" w:lineRule="auto"/>
        <w:tabs>
          <w:tab w:leader="none" w:pos="24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3,041,567</w:t>
      </w:r>
    </w:p>
    <w:p>
      <w:pPr>
        <w:spacing w:after="0" w:line="1" w:lineRule="exact"/>
        <w:rPr>
          <w:rFonts w:ascii="Times New Roman" w:cs="Times New Roman" w:eastAsia="Times New Roman" w:hAnsi="Times New Roman"/>
          <w:sz w:val="18"/>
          <w:szCs w:val="18"/>
          <w:color w:val="auto"/>
        </w:rPr>
      </w:pPr>
    </w:p>
    <w:p>
      <w:pPr>
        <w:ind w:left="18" w:right="6180" w:firstLine="9"/>
        <w:spacing w:after="0" w:line="320" w:lineRule="auto"/>
        <w:tabs>
          <w:tab w:leader="none" w:pos="1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3,041,567 (see Item 4 below)</w:t>
      </w:r>
    </w:p>
    <w:p>
      <w:pPr>
        <w:spacing w:after="0" w:line="1"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18"/>
          <w:szCs w:val="18"/>
          <w:b w:val="1"/>
          <w:bCs w:val="1"/>
          <w:color w:val="auto"/>
        </w:rPr>
        <w:t>o</w:t>
      </w:r>
    </w:p>
    <w:p>
      <w:pPr>
        <w:spacing w:after="0" w:line="76"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63"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5.5% (1)</w:t>
      </w:r>
    </w:p>
    <w:p>
      <w:pPr>
        <w:spacing w:after="0" w:line="77" w:lineRule="exact"/>
        <w:rPr>
          <w:sz w:val="20"/>
          <w:szCs w:val="20"/>
          <w:color w:val="auto"/>
        </w:rPr>
      </w:pPr>
    </w:p>
    <w:p>
      <w:pPr>
        <w:ind w:left="338" w:hanging="268"/>
        <w:spacing w:after="0"/>
        <w:tabs>
          <w:tab w:leader="none" w:pos="33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63" w:lineRule="exact"/>
        <w:rPr>
          <w:rFonts w:ascii="Times New Roman" w:cs="Times New Roman" w:eastAsia="Times New Roman" w:hAnsi="Times New Roman"/>
          <w:sz w:val="18"/>
          <w:szCs w:val="18"/>
          <w:color w:val="auto"/>
        </w:rPr>
      </w:pPr>
    </w:p>
    <w:p>
      <w:pPr>
        <w:ind w:left="7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238" w:hanging="238"/>
        <w:spacing w:after="0"/>
        <w:tabs>
          <w:tab w:leader="none" w:pos="2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55,752,945 shares outstanding,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531495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8"/>
          </w:cols>
          <w:pgMar w:left="382" w:top="1134" w:right="339" w:bottom="1440" w:gutter="0" w:footer="0" w:header="0"/>
        </w:sectPr>
      </w:pPr>
    </w:p>
    <w:bookmarkStart w:id="2" w:name="page3"/>
    <w:bookmarkEnd w:id="2"/>
    <w:p>
      <w:pPr>
        <w:ind w:left="1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560070</wp:posOffset>
            </wp:positionV>
            <wp:extent cx="7132320" cy="4474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t>CUSIP No. N/A</w:t>
      </w:r>
    </w:p>
    <w:p>
      <w:pPr>
        <w:spacing w:after="0" w:line="360" w:lineRule="exact"/>
        <w:rPr>
          <w:sz w:val="20"/>
          <w:szCs w:val="20"/>
          <w:color w:val="auto"/>
        </w:rPr>
      </w:pPr>
    </w:p>
    <w:p>
      <w:pPr>
        <w:ind w:left="358" w:right="8720" w:hanging="331"/>
        <w:spacing w:after="0" w:line="362" w:lineRule="auto"/>
        <w:tabs>
          <w:tab w:leader="none" w:pos="37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CIC International Co., Ltd.</w:t>
      </w:r>
    </w:p>
    <w:p>
      <w:pPr>
        <w:spacing w:after="0" w:line="125" w:lineRule="exact"/>
        <w:rPr>
          <w:rFonts w:ascii="Times New Roman" w:cs="Times New Roman" w:eastAsia="Times New Roman" w:hAnsi="Times New Roman"/>
          <w:sz w:val="17"/>
          <w:szCs w:val="17"/>
          <w:color w:val="auto"/>
        </w:rPr>
      </w:pPr>
    </w:p>
    <w:p>
      <w:pPr>
        <w:ind w:left="198" w:hanging="171"/>
        <w:spacing w:after="0"/>
        <w:tabs>
          <w:tab w:leader="none" w:pos="1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21"/>
          <w:szCs w:val="21"/>
          <w:b w:val="1"/>
          <w:bCs w:val="1"/>
          <w:color w:val="auto"/>
        </w:rPr>
        <w:t>o</w:t>
      </w:r>
    </w:p>
    <w:p>
      <w:pPr>
        <w:spacing w:after="0" w:line="1"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21"/>
          <w:szCs w:val="21"/>
          <w:b w:val="1"/>
          <w:bCs w:val="1"/>
          <w:color w:val="auto"/>
        </w:rPr>
        <w:t>o</w:t>
      </w:r>
    </w:p>
    <w:p>
      <w:pPr>
        <w:spacing w:after="0" w:line="37"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50"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77" w:lineRule="exact"/>
        <w:rPr>
          <w:sz w:val="20"/>
          <w:szCs w:val="20"/>
          <w:color w:val="auto"/>
        </w:rPr>
      </w:pPr>
    </w:p>
    <w:tbl>
      <w:tblPr>
        <w:tblLayout w:type="fixed"/>
        <w:tblInd w:w="158"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63"/>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vMerge w:val="continue"/>
          </w:tcPr>
          <w:p>
            <w:pPr>
              <w:spacing w:after="0"/>
              <w:rPr>
                <w:sz w:val="18"/>
                <w:szCs w:val="18"/>
                <w:color w:val="auto"/>
              </w:rPr>
            </w:pPr>
          </w:p>
        </w:tc>
        <w:tc>
          <w:tcPr>
            <w:tcW w:w="8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3,041,567</w:t>
            </w:r>
          </w:p>
        </w:tc>
        <w:tc>
          <w:tcPr>
            <w:tcW w:w="0" w:type="dxa"/>
            <w:vAlign w:val="bottom"/>
          </w:tcPr>
          <w:p>
            <w:pPr>
              <w:spacing w:after="0"/>
              <w:rPr>
                <w:sz w:val="1"/>
                <w:szCs w:val="1"/>
                <w:color w:val="auto"/>
              </w:rPr>
            </w:pPr>
          </w:p>
        </w:tc>
      </w:tr>
      <w:tr>
        <w:trPr>
          <w:trHeight w:val="61"/>
        </w:trPr>
        <w:tc>
          <w:tcPr>
            <w:tcW w:w="2020" w:type="dxa"/>
            <w:vAlign w:val="bottom"/>
            <w:vMerge w:val="restart"/>
          </w:tcPr>
          <w:p>
            <w:pPr>
              <w:spacing w:after="0" w:line="170" w:lineRule="exact"/>
              <w:rPr>
                <w:sz w:val="20"/>
                <w:szCs w:val="20"/>
                <w:color w:val="auto"/>
              </w:rPr>
            </w:pPr>
            <w:r>
              <w:rPr>
                <w:rFonts w:ascii="Times New Roman" w:cs="Times New Roman" w:eastAsia="Times New Roman" w:hAnsi="Times New Roman"/>
                <w:sz w:val="18"/>
                <w:szCs w:val="18"/>
                <w:color w:val="auto"/>
              </w:rPr>
              <w:t>Each Reporting</w:t>
            </w:r>
          </w:p>
        </w:tc>
        <w:tc>
          <w:tcPr>
            <w:tcW w:w="26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03"/>
        </w:trPr>
        <w:tc>
          <w:tcPr>
            <w:tcW w:w="2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vMerge w:val="continue"/>
          </w:tcPr>
          <w:p>
            <w:pPr>
              <w:spacing w:after="0"/>
              <w:rPr>
                <w:sz w:val="17"/>
                <w:szCs w:val="17"/>
                <w:color w:val="auto"/>
              </w:rPr>
            </w:pPr>
          </w:p>
        </w:tc>
        <w:tc>
          <w:tcPr>
            <w:tcW w:w="8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78" w:right="6960" w:hanging="6"/>
        <w:spacing w:after="0" w:line="320" w:lineRule="auto"/>
        <w:tabs>
          <w:tab w:leader="none" w:pos="24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3,041,567</w:t>
      </w:r>
    </w:p>
    <w:p>
      <w:pPr>
        <w:spacing w:after="0" w:line="1" w:lineRule="exact"/>
        <w:rPr>
          <w:rFonts w:ascii="Times New Roman" w:cs="Times New Roman" w:eastAsia="Times New Roman" w:hAnsi="Times New Roman"/>
          <w:sz w:val="18"/>
          <w:szCs w:val="18"/>
          <w:color w:val="auto"/>
        </w:rPr>
      </w:pPr>
    </w:p>
    <w:p>
      <w:pPr>
        <w:ind w:left="38" w:right="6180" w:hanging="11"/>
        <w:spacing w:after="0" w:line="320" w:lineRule="auto"/>
        <w:tabs>
          <w:tab w:leader="none" w:pos="2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3,041,567 (see Item 4 below)</w:t>
      </w:r>
    </w:p>
    <w:p>
      <w:pPr>
        <w:spacing w:after="0" w:line="1"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21"/>
          <w:szCs w:val="21"/>
          <w:b w:val="1"/>
          <w:bCs w:val="1"/>
          <w:color w:val="auto"/>
        </w:rPr>
        <w:t>o</w:t>
      </w:r>
    </w:p>
    <w:p>
      <w:pPr>
        <w:spacing w:after="0" w:line="69"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50"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5.5% (2)</w:t>
      </w:r>
    </w:p>
    <w:p>
      <w:pPr>
        <w:spacing w:after="0" w:line="90" w:lineRule="exact"/>
        <w:rPr>
          <w:sz w:val="20"/>
          <w:szCs w:val="20"/>
          <w:color w:val="auto"/>
        </w:rPr>
      </w:pPr>
    </w:p>
    <w:p>
      <w:pPr>
        <w:ind w:left="338" w:hanging="268"/>
        <w:spacing w:after="0"/>
        <w:tabs>
          <w:tab w:leader="none" w:pos="33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49" w:lineRule="exact"/>
        <w:rPr>
          <w:rFonts w:ascii="Times New Roman" w:cs="Times New Roman" w:eastAsia="Times New Roman" w:hAnsi="Times New Roman"/>
          <w:sz w:val="18"/>
          <w:szCs w:val="18"/>
          <w:color w:val="auto"/>
        </w:rPr>
      </w:pPr>
    </w:p>
    <w:p>
      <w:pPr>
        <w:ind w:left="7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76" w:lineRule="exact"/>
        <w:rPr>
          <w:rFonts w:ascii="Times New Roman" w:cs="Times New Roman" w:eastAsia="Times New Roman" w:hAnsi="Times New Roman"/>
          <w:sz w:val="18"/>
          <w:szCs w:val="18"/>
          <w:color w:val="auto"/>
        </w:rPr>
      </w:pPr>
    </w:p>
    <w:p>
      <w:pPr>
        <w:ind w:left="238" w:hanging="238"/>
        <w:spacing w:after="0"/>
        <w:tabs>
          <w:tab w:leader="none" w:pos="2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55,752,945 shares outstanding,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368935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8"/>
          </w:cols>
          <w:pgMar w:left="382" w:top="931" w:right="339" w:bottom="1440" w:gutter="0" w:footer="0" w:header="0"/>
        </w:sectPr>
      </w:pPr>
    </w:p>
    <w:bookmarkStart w:id="3" w:name="page4"/>
    <w:bookmarkEnd w:id="3"/>
    <w:p>
      <w:pPr>
        <w:ind w:left="1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4474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t>CUSIP No. N/A</w:t>
      </w:r>
    </w:p>
    <w:p>
      <w:pPr>
        <w:spacing w:after="0" w:line="347" w:lineRule="exact"/>
        <w:rPr>
          <w:sz w:val="20"/>
          <w:szCs w:val="20"/>
          <w:color w:val="auto"/>
        </w:rPr>
      </w:pPr>
    </w:p>
    <w:p>
      <w:pPr>
        <w:ind w:left="358" w:right="8460" w:hanging="331"/>
        <w:spacing w:after="0" w:line="379" w:lineRule="auto"/>
        <w:tabs>
          <w:tab w:leader="none" w:pos="37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Flourish Investment Corporation</w:t>
      </w:r>
    </w:p>
    <w:p>
      <w:pPr>
        <w:spacing w:after="0" w:line="98" w:lineRule="exact"/>
        <w:rPr>
          <w:rFonts w:ascii="Times New Roman" w:cs="Times New Roman" w:eastAsia="Times New Roman" w:hAnsi="Times New Roman"/>
          <w:sz w:val="17"/>
          <w:szCs w:val="17"/>
          <w:color w:val="auto"/>
        </w:rPr>
      </w:pPr>
    </w:p>
    <w:p>
      <w:pPr>
        <w:ind w:left="198" w:hanging="171"/>
        <w:spacing w:after="0"/>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21"/>
          <w:szCs w:val="21"/>
          <w:b w:val="1"/>
          <w:bCs w:val="1"/>
          <w:color w:val="auto"/>
        </w:rPr>
        <w:t>o</w:t>
      </w:r>
    </w:p>
    <w:p>
      <w:pPr>
        <w:spacing w:after="0" w:line="1"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21"/>
          <w:szCs w:val="21"/>
          <w:b w:val="1"/>
          <w:bCs w:val="1"/>
          <w:color w:val="auto"/>
        </w:rPr>
        <w:t>o</w:t>
      </w:r>
    </w:p>
    <w:p>
      <w:pPr>
        <w:spacing w:after="0" w:line="50"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6" w:lineRule="exact"/>
        <w:rPr>
          <w:rFonts w:ascii="Times New Roman" w:cs="Times New Roman" w:eastAsia="Times New Roman" w:hAnsi="Times New Roman"/>
          <w:sz w:val="18"/>
          <w:szCs w:val="18"/>
          <w:color w:val="auto"/>
        </w:rPr>
      </w:pPr>
    </w:p>
    <w:p>
      <w:pPr>
        <w:ind w:left="198" w:hanging="171"/>
        <w:spacing w:after="0"/>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50"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77" w:lineRule="exact"/>
        <w:rPr>
          <w:sz w:val="20"/>
          <w:szCs w:val="20"/>
          <w:color w:val="auto"/>
        </w:rPr>
      </w:pPr>
    </w:p>
    <w:tbl>
      <w:tblPr>
        <w:tblLayout w:type="fixed"/>
        <w:tblInd w:w="158"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77"/>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03"/>
        </w:trPr>
        <w:tc>
          <w:tcPr>
            <w:tcW w:w="2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vMerge w:val="continue"/>
          </w:tcPr>
          <w:p>
            <w:pPr>
              <w:spacing w:after="0"/>
              <w:rPr>
                <w:sz w:val="17"/>
                <w:szCs w:val="17"/>
                <w:color w:val="auto"/>
              </w:rPr>
            </w:pPr>
          </w:p>
        </w:tc>
        <w:tc>
          <w:tcPr>
            <w:tcW w:w="8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3,041,567</w:t>
            </w:r>
          </w:p>
        </w:tc>
        <w:tc>
          <w:tcPr>
            <w:tcW w:w="0" w:type="dxa"/>
            <w:vAlign w:val="bottom"/>
          </w:tcPr>
          <w:p>
            <w:pPr>
              <w:spacing w:after="0"/>
              <w:rPr>
                <w:sz w:val="1"/>
                <w:szCs w:val="1"/>
                <w:color w:val="auto"/>
              </w:rPr>
            </w:pPr>
          </w:p>
        </w:tc>
      </w:tr>
      <w:tr>
        <w:trPr>
          <w:trHeight w:val="61"/>
        </w:trPr>
        <w:tc>
          <w:tcPr>
            <w:tcW w:w="2020" w:type="dxa"/>
            <w:vAlign w:val="bottom"/>
            <w:vMerge w:val="restart"/>
          </w:tcPr>
          <w:p>
            <w:pPr>
              <w:spacing w:after="0" w:line="170" w:lineRule="exact"/>
              <w:rPr>
                <w:sz w:val="20"/>
                <w:szCs w:val="20"/>
                <w:color w:val="auto"/>
              </w:rPr>
            </w:pPr>
            <w:r>
              <w:rPr>
                <w:rFonts w:ascii="Times New Roman" w:cs="Times New Roman" w:eastAsia="Times New Roman" w:hAnsi="Times New Roman"/>
                <w:sz w:val="18"/>
                <w:szCs w:val="18"/>
                <w:color w:val="auto"/>
              </w:rPr>
              <w:t>Each Reporting</w:t>
            </w:r>
          </w:p>
        </w:tc>
        <w:tc>
          <w:tcPr>
            <w:tcW w:w="26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60" w:type="dxa"/>
            <w:vAlign w:val="bottom"/>
            <w:vMerge w:val="continue"/>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8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78" w:right="6880" w:hanging="6"/>
        <w:spacing w:after="0" w:line="320" w:lineRule="auto"/>
        <w:tabs>
          <w:tab w:leader="none" w:pos="24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3,041,567</w:t>
      </w:r>
    </w:p>
    <w:p>
      <w:pPr>
        <w:spacing w:after="0" w:line="1" w:lineRule="exact"/>
        <w:rPr>
          <w:rFonts w:ascii="Times New Roman" w:cs="Times New Roman" w:eastAsia="Times New Roman" w:hAnsi="Times New Roman"/>
          <w:sz w:val="18"/>
          <w:szCs w:val="18"/>
          <w:color w:val="auto"/>
        </w:rPr>
      </w:pPr>
    </w:p>
    <w:p>
      <w:pPr>
        <w:ind w:left="38" w:right="6180" w:hanging="11"/>
        <w:spacing w:after="0" w:line="328" w:lineRule="auto"/>
        <w:tabs>
          <w:tab w:leader="none" w:pos="2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3,041,567 (see Item 4 below)</w:t>
      </w:r>
    </w:p>
    <w:p>
      <w:pPr>
        <w:ind w:left="298" w:hanging="271"/>
        <w:spacing w:after="0"/>
        <w:tabs>
          <w:tab w:leader="none" w:pos="2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Wingdings" w:cs="Wingdings" w:eastAsia="Wingdings" w:hAnsi="Wingdings"/>
          <w:sz w:val="21"/>
          <w:szCs w:val="21"/>
          <w:b w:val="1"/>
          <w:bCs w:val="1"/>
          <w:color w:val="auto"/>
        </w:rPr>
        <w:t>o</w:t>
      </w:r>
    </w:p>
    <w:p>
      <w:pPr>
        <w:spacing w:after="0" w:line="55" w:lineRule="exact"/>
        <w:rPr>
          <w:rFonts w:ascii="Times New Roman" w:cs="Times New Roman" w:eastAsia="Times New Roman" w:hAnsi="Times New Roman"/>
          <w:sz w:val="18"/>
          <w:szCs w:val="18"/>
          <w:color w:val="auto"/>
        </w:rPr>
      </w:pPr>
    </w:p>
    <w:p>
      <w:pPr>
        <w:ind w:left="298" w:hanging="271"/>
        <w:spacing w:after="0"/>
        <w:tabs>
          <w:tab w:leader="none" w:pos="2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63" w:lineRule="exact"/>
        <w:rPr>
          <w:sz w:val="20"/>
          <w:szCs w:val="20"/>
          <w:color w:val="auto"/>
        </w:rPr>
      </w:pPr>
    </w:p>
    <w:p>
      <w:pPr>
        <w:ind w:left="38"/>
        <w:spacing w:after="0"/>
        <w:rPr>
          <w:sz w:val="20"/>
          <w:szCs w:val="20"/>
          <w:color w:val="auto"/>
        </w:rPr>
      </w:pPr>
      <w:r>
        <w:rPr>
          <w:rFonts w:ascii="Times New Roman" w:cs="Times New Roman" w:eastAsia="Times New Roman" w:hAnsi="Times New Roman"/>
          <w:sz w:val="18"/>
          <w:szCs w:val="18"/>
          <w:color w:val="auto"/>
        </w:rPr>
        <w:t>5.5% (3)</w:t>
      </w:r>
    </w:p>
    <w:p>
      <w:pPr>
        <w:spacing w:after="0" w:line="77" w:lineRule="exact"/>
        <w:rPr>
          <w:sz w:val="20"/>
          <w:szCs w:val="20"/>
          <w:color w:val="auto"/>
        </w:rPr>
      </w:pPr>
    </w:p>
    <w:p>
      <w:pPr>
        <w:ind w:left="298" w:hanging="271"/>
        <w:spacing w:after="0"/>
        <w:tabs>
          <w:tab w:leader="none" w:pos="2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49" w:lineRule="exact"/>
        <w:rPr>
          <w:rFonts w:ascii="Times New Roman" w:cs="Times New Roman" w:eastAsia="Times New Roman" w:hAnsi="Times New Roman"/>
          <w:sz w:val="18"/>
          <w:szCs w:val="18"/>
          <w:color w:val="auto"/>
        </w:rPr>
      </w:pPr>
    </w:p>
    <w:p>
      <w:pPr>
        <w:ind w:left="1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6" w:lineRule="exact"/>
        <w:rPr>
          <w:rFonts w:ascii="Times New Roman" w:cs="Times New Roman" w:eastAsia="Times New Roman" w:hAnsi="Times New Roman"/>
          <w:sz w:val="18"/>
          <w:szCs w:val="18"/>
          <w:color w:val="auto"/>
        </w:rPr>
      </w:pPr>
    </w:p>
    <w:p>
      <w:pPr>
        <w:ind w:left="238" w:hanging="238"/>
        <w:spacing w:after="0"/>
        <w:tabs>
          <w:tab w:leader="none" w:pos="2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55,752,945 shares outstanding, based on information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506095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8"/>
          </w:cols>
          <w:pgMar w:left="382" w:top="8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ind w:left="1060" w:hanging="242"/>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Sixth Street Lending Partners</w:t>
      </w:r>
    </w:p>
    <w:p>
      <w:pPr>
        <w:spacing w:after="0" w:line="193"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2100 McKinney Avenue, Suite 1500, Dallas, TX 75201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1060" w:hanging="242"/>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79" w:lineRule="exact"/>
        <w:rPr>
          <w:rFonts w:ascii="Times New Roman" w:cs="Times New Roman" w:eastAsia="Times New Roman" w:hAnsi="Times New Roman"/>
          <w:sz w:val="18"/>
          <w:szCs w:val="18"/>
          <w:color w:val="auto"/>
        </w:rPr>
      </w:pPr>
    </w:p>
    <w:p>
      <w:pPr>
        <w:ind w:left="1060" w:right="78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China Investment Corporation CIC International Co., Ltd. Flourish Investment Corporation</w:t>
      </w:r>
    </w:p>
    <w:p>
      <w:pPr>
        <w:spacing w:after="0" w:line="15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25"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China Investment Corporation, CIC International Co., Ltd. and Flourish Investment Corporation is as follows:</w:t>
      </w:r>
    </w:p>
    <w:p>
      <w:pPr>
        <w:spacing w:after="0" w:line="225"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Poly Plaza</w:t>
      </w:r>
    </w:p>
    <w:p>
      <w:pPr>
        <w:spacing w:after="0" w:line="27" w:lineRule="exact"/>
        <w:rPr>
          <w:rFonts w:ascii="Times New Roman" w:cs="Times New Roman" w:eastAsia="Times New Roman" w:hAnsi="Times New Roman"/>
          <w:sz w:val="18"/>
          <w:szCs w:val="18"/>
          <w:color w:val="auto"/>
        </w:rPr>
      </w:pPr>
    </w:p>
    <w:p>
      <w:pPr>
        <w:ind w:left="1060" w:right="80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No.1 Chaoyangmen Beidajie Dongcheng District Beijing 100010</w:t>
      </w:r>
    </w:p>
    <w:p>
      <w:pPr>
        <w:spacing w:after="0" w:line="1"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People’s Republic of China</w:t>
      </w:r>
    </w:p>
    <w:p>
      <w:pPr>
        <w:spacing w:after="0" w:line="206"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0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Investment Corporation, CIC International Co., Ltd. and Flourish Investment Corporation are established under the Company Law of the People’s Republic of China.</w:t>
      </w:r>
    </w:p>
    <w:p>
      <w:pPr>
        <w:spacing w:after="0" w:line="161"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 par value $0.001 per share</w:t>
      </w:r>
    </w:p>
    <w:p>
      <w:pPr>
        <w:spacing w:after="0" w:line="211" w:lineRule="exact"/>
        <w:rPr>
          <w:rFonts w:ascii="Times New Roman" w:cs="Times New Roman" w:eastAsia="Times New Roman" w:hAnsi="Times New Roman"/>
          <w:sz w:val="18"/>
          <w:szCs w:val="18"/>
          <w:color w:val="auto"/>
        </w:rPr>
      </w:pPr>
    </w:p>
    <w:p>
      <w:pPr>
        <w:ind w:left="1060" w:right="8980" w:hanging="242"/>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N/A</w:t>
      </w:r>
    </w:p>
    <w:p>
      <w:pPr>
        <w:spacing w:after="0" w:line="171" w:lineRule="exact"/>
        <w:rPr>
          <w:sz w:val="20"/>
          <w:szCs w:val="20"/>
          <w:color w:val="auto"/>
        </w:rPr>
      </w:pPr>
    </w:p>
    <w:p>
      <w:pPr>
        <w:ind w:left="1080" w:right="880" w:hanging="1079"/>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SS.240.13d-1(b) OR 240.13d-2(b) OR (c), CHECK WHETHER THE PERSON FILING IS 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number of common shares beneficially owned by China Investment Corporation, CIC International Co., Ltd. and Flourish Investment Corporation, as of November 21, 2023, is incorporated by reference to items (5) - (9) and (11) of their respective cover page.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China Investment Corporation is a wholly state-owned company incorporated under the laws of the People's Republic of China. By virtue of China Investment Corporation controlling CIC International Co., Ltd., which controls Flourish Investment Corporation, China Investment Corporation and CIC International Co., Ltd. may be deemed to share beneficial ownership of the common shares of beneficial interest, par value $0.001 per share, in Sixth Street Lending Partners beneficially owned by Flourish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00" w:lineRule="exact"/>
        <w:rPr>
          <w:sz w:val="20"/>
          <w:szCs w:val="20"/>
          <w:color w:val="auto"/>
        </w:rPr>
      </w:pPr>
    </w:p>
    <w:p>
      <w:pPr>
        <w:spacing w:after="0" w:line="286" w:lineRule="exact"/>
        <w:rPr>
          <w:sz w:val="20"/>
          <w:szCs w:val="20"/>
          <w:color w:val="auto"/>
        </w:rPr>
      </w:pPr>
    </w:p>
    <w:p>
      <w:pPr>
        <w:jc w:val="both"/>
        <w:ind w:left="1400" w:right="1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as of November 24, 2023.</w:t>
      </w:r>
    </w:p>
    <w:p>
      <w:pPr>
        <w:spacing w:after="0" w:line="38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CHINA INVESTMENT CORPORATION</w:t>
      </w: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-7620</wp:posOffset>
            </wp:positionV>
            <wp:extent cx="1882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-7620</wp:posOffset>
            </wp:positionV>
            <wp:extent cx="1659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Chairman &amp; Chief Executive Officer</w:t>
      </w:r>
    </w:p>
    <w:p>
      <w:pPr>
        <w:spacing w:after="0" w:line="2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CIC INTERNATIONAL CO., LTD.</w:t>
      </w: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-7620</wp:posOffset>
            </wp:positionV>
            <wp:extent cx="1882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-7620</wp:posOffset>
            </wp:positionV>
            <wp:extent cx="1688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Chairman &amp; Chief Executive Officer</w:t>
      </w:r>
    </w:p>
    <w:p>
      <w:pPr>
        <w:spacing w:after="0" w:line="2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FLOURISH INVESTMENT CORPORATION</w:t>
      </w: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/s/ GUO, Xiangjun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-7620</wp:posOffset>
            </wp:positionV>
            <wp:extent cx="1894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4840"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GUO, Xiangjun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-7620</wp:posOffset>
            </wp:positionV>
            <wp:extent cx="1672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 President &amp;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1131570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-7620</wp:posOffset>
            </wp:positionV>
            <wp:extent cx="1665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ectPr>
          <w:pgSz w:w="11900" w:h="16838" w:orient="portrait"/>
          <w:cols w:equalWidth="0" w:num="1">
            <w:col w:w="11160"/>
          </w:cols>
          <w:pgMar w:left="340" w:top="792" w:right="399" w:bottom="1440" w:gutter="0" w:footer="0" w:header="0"/>
        </w:sectPr>
      </w:pPr>
    </w:p>
    <w:bookmarkStart w:id="7" w:name="page8"/>
    <w:bookmarkEnd w:id="7"/>
    <w:p>
      <w:pPr>
        <w:ind w:left="103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JOINT FILING AGREEMENT</w:t>
      </w:r>
    </w:p>
    <w:p>
      <w:pPr>
        <w:spacing w:after="0" w:line="3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“Exchange Act”), each of the undersigned hereby agrees that (i) a statement on Schedule 13G (including amendments thereto) with respect to the common shares of beneficial interest, par value $0.001 per share, in Sixth Street Lending Partners filed herewith shall be filed on behalf of each of the undersigned, and (ii) this Joint Filing Agreement shall be included as an exhibit to such joint filing, provided that, as provided by Rule 13d-1(k)(1)(ii) under the Exchange Act, no person shall be responsible for the completeness and accuracy of the information concerning the other person making the filing unless such person knows or has reason to believe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Joint Filing Agreement may be executed in any number of counterparts, all of which together shall constitute one and the same instrument.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executes this Agreement as of November 24, 2023.</w:t>
      </w:r>
    </w:p>
    <w:p>
      <w:pPr>
        <w:spacing w:after="0" w:line="23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CHINA INVESTMENT CORPORATION</w:t>
      </w:r>
    </w:p>
    <w:p>
      <w:pPr>
        <w:spacing w:after="0" w:line="28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-7620</wp:posOffset>
            </wp:positionV>
            <wp:extent cx="1882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-7620</wp:posOffset>
            </wp:positionV>
            <wp:extent cx="1659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Chairman &amp; Chief Executive Officer</w:t>
      </w:r>
    </w:p>
    <w:p>
      <w:pPr>
        <w:spacing w:after="0" w:line="2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CIC INTERNATIONAL CO., LTD.</w:t>
      </w:r>
    </w:p>
    <w:p>
      <w:pPr>
        <w:spacing w:after="0" w:line="28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-7620</wp:posOffset>
            </wp:positionV>
            <wp:extent cx="1882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2140"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PENG,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-7620</wp:posOffset>
            </wp:positionV>
            <wp:extent cx="1688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Chairman &amp; Chief Executive Officer</w:t>
      </w:r>
    </w:p>
    <w:p>
      <w:pPr>
        <w:spacing w:after="0" w:line="2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FLOURISH INVESTMENT CORPORATION</w:t>
      </w:r>
    </w:p>
    <w:p>
      <w:pPr>
        <w:spacing w:after="0" w:line="28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GUO, Xiangjun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-7620</wp:posOffset>
            </wp:positionV>
            <wp:extent cx="18948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GUO, Xiangjun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-7620</wp:posOffset>
            </wp:positionV>
            <wp:extent cx="1672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President &amp;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1268730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-7620</wp:posOffset>
            </wp:positionV>
            <wp:extent cx="1665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sectPr>
      <w:pgSz w:w="11900" w:h="16838" w:orient="portrait"/>
      <w:cols w:equalWidth="0" w:num="1">
        <w:col w:w="11100"/>
      </w:cols>
      <w:pgMar w:left="320" w:top="49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lvl w:ilvl="1">
      <w:lvlJc w:val="left"/>
      <w:lvlText w:val="%2."/>
      <w:numFmt w:val="decimal"/>
      <w:start w:val="8"/>
    </w:lvl>
  </w:abstractNum>
  <w:abstractNum w:abstractNumId="3">
    <w:nsid w:val="1F16E9E8"/>
    <w:multiLevelType w:val="hybridMultilevel"/>
    <w:lvl w:ilvl="0">
      <w:lvlJc w:val="left"/>
      <w:lvlText w:val="%1."/>
      <w:numFmt w:val="decimal"/>
      <w:start w:val="9"/>
    </w:lvl>
    <w:lvl w:ilvl="1">
      <w:lvlJc w:val="left"/>
      <w:lvlText w:val="%2"/>
      <w:numFmt w:val="decimal"/>
      <w:start w:val="1"/>
    </w:lvl>
  </w:abstractNum>
  <w:abstractNum w:abstractNumId="4">
    <w:nsid w:val="1190CDE7"/>
    <w:multiLevelType w:val="hybridMultilevel"/>
    <w:lvl w:ilvl="0">
      <w:lvlJc w:val="left"/>
      <w:lvlText w:val="%1"/>
      <w:numFmt w:val="decimal"/>
      <w:start w:val="1"/>
    </w:lvl>
    <w:lvl w:ilvl="1">
      <w:lvlJc w:val="left"/>
      <w:lvlText w:val="%2."/>
      <w:numFmt w:val="decimal"/>
      <w:start w:val="12"/>
    </w:lvl>
  </w:abstractNum>
  <w:abstractNum w:abstractNumId="5">
    <w:nsid w:val="66EF438D"/>
    <w:multiLevelType w:val="hybridMultilevel"/>
    <w:lvl w:ilvl="0">
      <w:lvlJc w:val="left"/>
      <w:lvlText w:val="(%1)"/>
      <w:numFmt w:val="decimal"/>
      <w:start w:val="1"/>
    </w:lvl>
    <w:lvl w:ilvl="1">
      <w:lvlJc w:val="left"/>
      <w:lvlText w:val="%2"/>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lvl w:ilvl="1">
      <w:lvlJc w:val="left"/>
      <w:lvlText w:val="%2."/>
      <w:numFmt w:val="decimal"/>
      <w:start w:val="8"/>
    </w:lvl>
  </w:abstractNum>
  <w:abstractNum w:abstractNumId="8">
    <w:nsid w:val="109CF92E"/>
    <w:multiLevelType w:val="hybridMultilevel"/>
    <w:lvl w:ilvl="0">
      <w:lvlJc w:val="left"/>
      <w:lvlText w:val="%1."/>
      <w:numFmt w:val="decimal"/>
      <w:start w:val="9"/>
    </w:lvl>
    <w:lvl w:ilvl="1">
      <w:lvlJc w:val="left"/>
      <w:lvlText w:val="%2"/>
      <w:numFmt w:val="decimal"/>
      <w:start w:val="1"/>
    </w:lvl>
  </w:abstractNum>
  <w:abstractNum w:abstractNumId="9">
    <w:nsid w:val="DED7263"/>
    <w:multiLevelType w:val="hybridMultilevel"/>
    <w:lvl w:ilvl="0">
      <w:lvlJc w:val="left"/>
      <w:lvlText w:val="%1"/>
      <w:numFmt w:val="decimal"/>
      <w:start w:val="1"/>
    </w:lvl>
    <w:lvl w:ilvl="1">
      <w:lvlJc w:val="left"/>
      <w:lvlText w:val="%2."/>
      <w:numFmt w:val="decimal"/>
      <w:start w:val="12"/>
    </w:lvl>
  </w:abstractNum>
  <w:abstractNum w:abstractNumId="10">
    <w:nsid w:val="7FDCC233"/>
    <w:multiLevelType w:val="hybridMultilevel"/>
    <w:lvl w:ilvl="0">
      <w:lvlJc w:val="left"/>
      <w:lvlText w:val="(%1)"/>
      <w:numFmt w:val="decimal"/>
      <w:start w:val="2"/>
    </w:lvl>
    <w:lvl w:ilvl="1">
      <w:lvlJc w:val="left"/>
      <w:lvlText w:val="%2"/>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lvl w:ilvl="1">
      <w:lvlJc w:val="left"/>
      <w:lvlText w:val="%2."/>
      <w:numFmt w:val="decimal"/>
      <w:start w:val="8"/>
    </w:lvl>
  </w:abstractNum>
  <w:abstractNum w:abstractNumId="13">
    <w:nsid w:val="6B68079A"/>
    <w:multiLevelType w:val="hybridMultilevel"/>
    <w:lvl w:ilvl="0">
      <w:lvlJc w:val="left"/>
      <w:lvlText w:val="%1."/>
      <w:numFmt w:val="decimal"/>
      <w:start w:val="9"/>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decimal"/>
      <w:start w:val="12"/>
    </w:lvl>
  </w:abstractNum>
  <w:abstractNum w:abstractNumId="15">
    <w:nsid w:val="25E45D32"/>
    <w:multiLevelType w:val="hybridMultilevel"/>
    <w:lvl w:ilvl="0">
      <w:lvlJc w:val="left"/>
      <w:lvlText w:val="(%1)"/>
      <w:numFmt w:val="decimal"/>
      <w:start w:val="3"/>
    </w:lvl>
    <w:lvl w:ilvl="1">
      <w:lvlJc w:val="left"/>
      <w:lvlText w:val="%2"/>
      <w:numFmt w:val="decimal"/>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2023-11-24T15:12:11Z</dcterms:created>
  <dcterms:modified xsi:type="dcterms:W3CDTF">2023-11-24T15:12:11Z</dcterms:modified>
</cp:coreProperties>
</file>