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LENDING PARTNERS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00" w:type="dxa"/>
            <w:vAlign w:val="bottom"/>
          </w:tcPr>
          <w:p>
            <w:pPr>
              <w:jc w:val="center"/>
              <w:ind w:right="233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ind w:left="100"/>
              <w:spacing w:after="0"/>
              <w:rPr>
                <w:sz w:val="20"/>
                <w:szCs w:val="20"/>
                <w:color w:val="auto"/>
              </w:rPr>
            </w:pPr>
            <w:r>
              <w:rPr>
                <w:rFonts w:ascii="Arial" w:cs="Arial" w:eastAsia="Arial" w:hAnsi="Arial"/>
                <w:sz w:val="18"/>
                <w:szCs w:val="18"/>
                <w:b w:val="1"/>
                <w:bCs w:val="1"/>
                <w:color w:val="auto"/>
              </w:rPr>
              <w:t>814-01543</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88-1710161</w:t>
            </w:r>
          </w:p>
        </w:tc>
      </w:tr>
      <w:tr>
        <w:trPr>
          <w:trHeight w:val="149"/>
        </w:trPr>
        <w:tc>
          <w:tcPr>
            <w:tcW w:w="410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00" w:type="dxa"/>
            <w:vAlign w:val="bottom"/>
          </w:tcPr>
          <w:p>
            <w:pPr>
              <w:jc w:val="center"/>
              <w:ind w:right="231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100" w:type="dxa"/>
            <w:vAlign w:val="bottom"/>
          </w:tcPr>
          <w:p>
            <w:pPr>
              <w:jc w:val="center"/>
              <w:ind w:left="1139"/>
              <w:spacing w:after="0"/>
              <w:rPr>
                <w:sz w:val="20"/>
                <w:szCs w:val="20"/>
                <w:color w:val="auto"/>
              </w:rPr>
            </w:pPr>
            <w:r>
              <w:rPr>
                <w:rFonts w:ascii="Arial" w:cs="Arial" w:eastAsia="Arial" w:hAnsi="Arial"/>
                <w:sz w:val="18"/>
                <w:szCs w:val="18"/>
                <w:b w:val="1"/>
                <w:bCs w:val="1"/>
                <w:color w:val="auto"/>
                <w:w w:val="90"/>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00" w:type="dxa"/>
            <w:vAlign w:val="bottom"/>
          </w:tcPr>
          <w:p>
            <w:pPr>
              <w:jc w:val="center"/>
              <w:ind w:left="1159"/>
              <w:spacing w:after="0"/>
              <w:rPr>
                <w:sz w:val="20"/>
                <w:szCs w:val="20"/>
                <w:color w:val="auto"/>
              </w:rPr>
            </w:pPr>
            <w:r>
              <w:rPr>
                <w:rFonts w:ascii="Arial" w:cs="Arial" w:eastAsia="Arial" w:hAnsi="Arial"/>
                <w:sz w:val="18"/>
                <w:szCs w:val="18"/>
                <w:b w:val="1"/>
                <w:bCs w:val="1"/>
                <w:color w:val="auto"/>
                <w:w w:val="95"/>
              </w:rPr>
              <w:t>Dallas, TX</w:t>
            </w:r>
          </w:p>
        </w:tc>
        <w:tc>
          <w:tcPr>
            <w:tcW w:w="224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Arial" w:cs="Arial" w:eastAsia="Arial" w:hAnsi="Arial"/>
                <w:sz w:val="18"/>
                <w:szCs w:val="18"/>
                <w:b w:val="1"/>
                <w:bCs w:val="1"/>
                <w:color w:val="auto"/>
              </w:rPr>
              <w:t>75201</w:t>
            </w:r>
          </w:p>
        </w:tc>
      </w:tr>
      <w:tr>
        <w:trPr>
          <w:trHeight w:val="186"/>
        </w:trPr>
        <w:tc>
          <w:tcPr>
            <w:tcW w:w="4100" w:type="dxa"/>
            <w:vAlign w:val="bottom"/>
          </w:tcPr>
          <w:p>
            <w:pPr>
              <w:jc w:val="center"/>
              <w:ind w:left="1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bl>
    <w:p>
      <w:pPr>
        <w:spacing w:after="0" w:line="201"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 January 19, 2023, Sixth Street Lending Partners (the “</w:t>
      </w:r>
      <w:r>
        <w:rPr>
          <w:rFonts w:ascii="Arial" w:cs="Arial" w:eastAsia="Arial" w:hAnsi="Arial"/>
          <w:sz w:val="17"/>
          <w:szCs w:val="17"/>
          <w:u w:val="single" w:color="auto"/>
          <w:color w:val="auto"/>
        </w:rPr>
        <w:t>Company</w:t>
      </w:r>
      <w:r>
        <w:rPr>
          <w:rFonts w:ascii="Arial" w:cs="Arial" w:eastAsia="Arial" w:hAnsi="Arial"/>
          <w:sz w:val="17"/>
          <w:szCs w:val="17"/>
          <w:color w:val="auto"/>
        </w:rPr>
        <w:t>”), a Delaware statutory trust, entered into a senior secured revolving credit agreement with Truist Bank, as administrative agent, JPMorgan Chase Bank, N.A., Royal Bank of Canada, State Street Bank and Trust Company and Wells Fargo Bank, N.A., as joint lead arrangers, and certain other lenders (the “</w:t>
      </w:r>
      <w:r>
        <w:rPr>
          <w:rFonts w:ascii="Arial" w:cs="Arial" w:eastAsia="Arial" w:hAnsi="Arial"/>
          <w:sz w:val="17"/>
          <w:szCs w:val="17"/>
          <w:u w:val="single" w:color="auto"/>
          <w:color w:val="auto"/>
        </w:rPr>
        <w:t>Revolving Credit Facility</w:t>
      </w:r>
      <w:r>
        <w:rPr>
          <w:rFonts w:ascii="Arial" w:cs="Arial" w:eastAsia="Arial" w:hAnsi="Arial"/>
          <w:sz w:val="17"/>
          <w:szCs w:val="17"/>
          <w:color w:val="auto"/>
        </w:rPr>
        <w:t>”).</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Revolving Credit Facility is guaranteed by each of SSLP Lending, LLC, Sixth Street LP Holding, LLC and Sixth Street LP Holding II, LLC, each a subsidiary of the Company, and will be guaranteed by certain domestic subsidiaries of the Company that are formed or acquired by the Company in the future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Proceeds of the Revolving Credit Facility may be used for general corporate purposes, including the funding of portfolio investments.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initial maximum principal amount of the Revolving Credit Facility is $600,000,000, subject to availability under the borrowing base, which is based on the Company’s portfolio investments and other outstanding indebtedness. Maximum capacity under the Revolving Credit Facility may be increased to $1,000,000,000 through the exercise by the Company of an uncommitted accordion feature through which existing and new lenders may, at their option, agree to provide additional financing. The Revolving Credit Facility is secured by a perfected first-priority interest in substantially all of the portfolio investments held by the Company and each Guarantor, subject to certain exceptions.</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availability period under the Revolving Credit Facility will terminate on January 19, 2027 (“</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and the Revolving Credit Facility will mature on January 19, 2028 (“</w:t>
      </w:r>
      <w:r>
        <w:rPr>
          <w:rFonts w:ascii="Arial" w:cs="Arial" w:eastAsia="Arial" w:hAnsi="Arial"/>
          <w:sz w:val="18"/>
          <w:szCs w:val="18"/>
          <w:u w:val="single" w:color="auto"/>
          <w:color w:val="auto"/>
        </w:rPr>
        <w:t>Maturity Date</w:t>
      </w:r>
      <w:r>
        <w:rPr>
          <w:rFonts w:ascii="Arial" w:cs="Arial" w:eastAsia="Arial" w:hAnsi="Arial"/>
          <w:sz w:val="18"/>
          <w:szCs w:val="18"/>
          <w:color w:val="auto"/>
        </w:rPr>
        <w:t>”). During the period from the Commitment Termination Date to the Maturity Date, the Company will be obligated to make mandatory prepayments under the Revolving Credit Facility out of the proceeds of certain asset sales and other recovery events and equity and debt issuances.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borrow amounts in U.S. dollars or certain other permitted currencies.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Amounts drawn under the Revolving Credit Facility denominated in U.S. Dollars will bear interest, at the Company’s election, of either the adjusted term Secured Overnight Financing Rate (“SOFR”) plus a margin of either 1.75% or 2.00% per annum, or the alternate base rate plus a margin of either 0.75% or 1.00% per annum, in each case, based on certain borrowing base conditions. The Company may elect either the term SOFR or base rate at the time of drawdown, and loans denominated in U.S. dollars may be converted from one rate to another at any time at the Company’s option, subject to certain conditions. Amounts drawn under the Revolving Credit Facility in other permitted currencies will bear interest at the relevant rate specified therein plus a margin of either 1.75% or 2.00% per annum (based on certain borrowing base conditions) plus, in the case of amounts denominated in certain other permitted currencies, an adjustment. The Company will also pay a fee of 0.375% on average daily undrawn amounts under the Revolving Credit Facility.</w:t>
      </w:r>
    </w:p>
    <w:p>
      <w:pPr>
        <w:sectPr>
          <w:pgSz w:w="11900" w:h="16838" w:orient="portrait"/>
          <w:cols w:equalWidth="0" w:num="1">
            <w:col w:w="11000"/>
          </w:cols>
          <w:pgMar w:left="440" w:top="297" w:right="459" w:bottom="1440" w:gutter="0" w:footer="0" w:header="0"/>
        </w:sectPr>
      </w:pPr>
    </w:p>
    <w:bookmarkStart w:id="2" w:name="page3"/>
    <w:bookmarkEnd w:id="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Revolving Credit Facility includes customary events of default, as well as customary covenants, including restrictions on certain distributions and financial covenants.</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foregoing description of the Revolving Credit Facility is not complete and is qualified in its entirety by reference to the full text of such agreement, which is attached hereto as Exhibit 10.1.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660" w:right="160" w:hanging="660"/>
        <w:spacing w:after="0" w:line="27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EE"/>
        </w:rPr>
        <w:t>Senior Secured Revolving Credit Agreement, dated January 19, 2023, between Sixth Street Lending Partners, the Lenders and Issuing Banks party thereto and Truist Bank as Administrative Agent.</w:t>
      </w:r>
    </w:p>
    <w:p>
      <w:pPr>
        <w:spacing w:after="0" w:line="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0"/>
          </w:cols>
          <w:pgMar w:left="440" w:top="301"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6920" w:type="dxa"/>
            <w:vAlign w:val="bottom"/>
            <w:gridSpan w:val="2"/>
          </w:tcPr>
          <w:p>
            <w:pPr>
              <w:ind w:left="2880"/>
              <w:spacing w:after="0"/>
              <w:rPr>
                <w:sz w:val="20"/>
                <w:szCs w:val="20"/>
                <w:color w:val="auto"/>
              </w:rPr>
            </w:pPr>
            <w:r>
              <w:rPr>
                <w:rFonts w:ascii="Arial" w:cs="Arial" w:eastAsia="Arial" w:hAnsi="Arial"/>
                <w:sz w:val="18"/>
                <w:szCs w:val="18"/>
                <w:b w:val="1"/>
                <w:bCs w:val="1"/>
                <w:color w:val="auto"/>
              </w:rPr>
              <w:t>SIXTH STREET LENDING PARTNERS</w:t>
            </w:r>
          </w:p>
        </w:tc>
      </w:tr>
      <w:tr>
        <w:trPr>
          <w:trHeight w:val="445"/>
        </w:trPr>
        <w:tc>
          <w:tcPr>
            <w:tcW w:w="4100" w:type="dxa"/>
            <w:vAlign w:val="bottom"/>
          </w:tcPr>
          <w:p>
            <w:pPr>
              <w:spacing w:after="0"/>
              <w:rPr>
                <w:sz w:val="20"/>
                <w:szCs w:val="20"/>
                <w:color w:val="auto"/>
              </w:rPr>
            </w:pPr>
            <w:r>
              <w:rPr>
                <w:rFonts w:ascii="Arial" w:cs="Arial" w:eastAsia="Arial" w:hAnsi="Arial"/>
                <w:sz w:val="18"/>
                <w:szCs w:val="18"/>
                <w:color w:val="auto"/>
              </w:rPr>
              <w:t>January 24, 2023</w:t>
            </w:r>
          </w:p>
        </w:tc>
        <w:tc>
          <w:tcPr>
            <w:tcW w:w="3500" w:type="dxa"/>
            <w:vAlign w:val="bottom"/>
          </w:tcPr>
          <w:p>
            <w:pPr>
              <w:ind w:left="288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Ian Simmonds</w:t>
            </w:r>
          </w:p>
        </w:tc>
      </w:tr>
      <w:tr>
        <w:trPr>
          <w:trHeight w:val="205"/>
        </w:trPr>
        <w:tc>
          <w:tcPr>
            <w:tcW w:w="4100" w:type="dxa"/>
            <w:vAlign w:val="bottom"/>
          </w:tcPr>
          <w:p>
            <w:pPr>
              <w:spacing w:after="0"/>
              <w:rPr>
                <w:sz w:val="17"/>
                <w:szCs w:val="17"/>
                <w:color w:val="auto"/>
              </w:rPr>
            </w:pPr>
          </w:p>
        </w:tc>
        <w:tc>
          <w:tcPr>
            <w:tcW w:w="3500" w:type="dxa"/>
            <w:vAlign w:val="bottom"/>
          </w:tcPr>
          <w:p>
            <w:pPr>
              <w:ind w:left="2880"/>
              <w:spacing w:after="0" w:line="205" w:lineRule="exact"/>
              <w:rPr>
                <w:sz w:val="20"/>
                <w:szCs w:val="20"/>
                <w:color w:val="auto"/>
              </w:rPr>
            </w:pPr>
            <w:r>
              <w:rPr>
                <w:rFonts w:ascii="Arial" w:cs="Arial" w:eastAsia="Arial" w:hAnsi="Arial"/>
                <w:sz w:val="18"/>
                <w:szCs w:val="18"/>
                <w:b w:val="1"/>
                <w:bCs w:val="1"/>
                <w:color w:val="auto"/>
              </w:rPr>
              <w:t>Name:</w:t>
            </w:r>
          </w:p>
        </w:tc>
        <w:tc>
          <w:tcPr>
            <w:tcW w:w="3420" w:type="dxa"/>
            <w:vAlign w:val="bottom"/>
          </w:tcPr>
          <w:p>
            <w:pPr>
              <w:ind w:left="20"/>
              <w:spacing w:after="0" w:line="205" w:lineRule="exact"/>
              <w:rPr>
                <w:sz w:val="20"/>
                <w:szCs w:val="20"/>
                <w:color w:val="auto"/>
              </w:rPr>
            </w:pPr>
            <w:r>
              <w:rPr>
                <w:rFonts w:ascii="Arial" w:cs="Arial" w:eastAsia="Arial" w:hAnsi="Arial"/>
                <w:sz w:val="18"/>
                <w:szCs w:val="18"/>
                <w:color w:val="auto"/>
              </w:rPr>
              <w:t>Ian Simmonds</w:t>
            </w:r>
          </w:p>
        </w:tc>
      </w:tr>
      <w:tr>
        <w:trPr>
          <w:trHeight w:val="234"/>
        </w:trPr>
        <w:tc>
          <w:tcPr>
            <w:tcW w:w="4100" w:type="dxa"/>
            <w:vAlign w:val="bottom"/>
          </w:tcPr>
          <w:p>
            <w:pPr>
              <w:spacing w:after="0"/>
              <w:rPr>
                <w:sz w:val="20"/>
                <w:szCs w:val="20"/>
                <w:color w:val="auto"/>
              </w:rPr>
            </w:pPr>
          </w:p>
        </w:tc>
        <w:tc>
          <w:tcPr>
            <w:tcW w:w="3500" w:type="dxa"/>
            <w:vAlign w:val="bottom"/>
          </w:tcPr>
          <w:p>
            <w:pPr>
              <w:ind w:left="2880"/>
              <w:spacing w:after="0"/>
              <w:rPr>
                <w:sz w:val="20"/>
                <w:szCs w:val="20"/>
                <w:color w:val="auto"/>
              </w:rPr>
            </w:pPr>
            <w:r>
              <w:rPr>
                <w:rFonts w:ascii="Arial" w:cs="Arial" w:eastAsia="Arial" w:hAnsi="Arial"/>
                <w:sz w:val="18"/>
                <w:szCs w:val="18"/>
                <w:b w:val="1"/>
                <w:bCs w:val="1"/>
                <w:color w:val="auto"/>
              </w:rPr>
              <w:t>Title:</w:t>
            </w:r>
          </w:p>
        </w:tc>
        <w:tc>
          <w:tcPr>
            <w:tcW w:w="34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SENIOR SECURED</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January 19, 2023</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SIXTH STREET LENDING PARTNERS</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LENDERS and ISSUING BANKS Party Hereto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TRUIST BANK</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TRUIST SECURITIES, INC.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Joint Lead Arranger and Joint Book Runner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as Joint Lead Arranger, Joint Book Runner and Syndication Agent</w:t>
      </w:r>
    </w:p>
    <w:p>
      <w:pPr>
        <w:spacing w:after="0" w:line="234"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STATE STREET BANK AND TRUST COMPANY</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WELLS FARGO BANK, N.A.</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ARTICLE I</w:t>
            </w:r>
          </w:p>
        </w:tc>
        <w:tc>
          <w:tcPr>
            <w:tcW w:w="7420" w:type="dxa"/>
            <w:vAlign w:val="bottom"/>
            <w:gridSpan w:val="2"/>
          </w:tcPr>
          <w:p>
            <w:pPr>
              <w:ind w:left="180"/>
              <w:spacing w:after="0"/>
              <w:rPr>
                <w:sz w:val="20"/>
                <w:szCs w:val="20"/>
                <w:color w:val="auto"/>
              </w:rPr>
            </w:pPr>
            <w:r>
              <w:rPr>
                <w:rFonts w:ascii="Arial" w:cs="Arial" w:eastAsia="Arial" w:hAnsi="Arial"/>
                <w:sz w:val="18"/>
                <w:szCs w:val="18"/>
                <w:color w:val="auto"/>
              </w:rPr>
              <w:t>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1.01.</w:t>
            </w:r>
          </w:p>
        </w:tc>
        <w:tc>
          <w:tcPr>
            <w:tcW w:w="668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1.02.   Classification of Loans and Borrowings</w:t>
            </w:r>
          </w:p>
        </w:tc>
        <w:tc>
          <w:tcPr>
            <w:tcW w:w="2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1.03.</w:t>
            </w:r>
          </w:p>
        </w:tc>
        <w:tc>
          <w:tcPr>
            <w:tcW w:w="6680" w:type="dxa"/>
            <w:vAlign w:val="bottom"/>
          </w:tcPr>
          <w:p>
            <w:pPr>
              <w:ind w:left="120"/>
              <w:spacing w:after="0"/>
              <w:rPr>
                <w:sz w:val="20"/>
                <w:szCs w:val="20"/>
                <w:color w:val="auto"/>
              </w:rPr>
            </w:pPr>
            <w:r>
              <w:rPr>
                <w:rFonts w:ascii="Arial" w:cs="Arial" w:eastAsia="Arial" w:hAnsi="Arial"/>
                <w:sz w:val="18"/>
                <w:szCs w:val="18"/>
                <w:color w:val="auto"/>
              </w:rPr>
              <w:t>Terms Generally</w:t>
            </w:r>
          </w:p>
        </w:tc>
        <w:tc>
          <w:tcPr>
            <w:tcW w:w="2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1.04.   Accounting Terms; GAAP</w:t>
            </w:r>
          </w:p>
        </w:tc>
        <w:tc>
          <w:tcPr>
            <w:tcW w:w="2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1.05.   Currencies; Currency Equivalents</w:t>
            </w:r>
          </w:p>
        </w:tc>
        <w:tc>
          <w:tcPr>
            <w:tcW w:w="24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1.06.</w:t>
            </w:r>
          </w:p>
        </w:tc>
        <w:tc>
          <w:tcPr>
            <w:tcW w:w="6680" w:type="dxa"/>
            <w:vAlign w:val="bottom"/>
          </w:tcPr>
          <w:p>
            <w:pPr>
              <w:ind w:left="120"/>
              <w:spacing w:after="0"/>
              <w:rPr>
                <w:sz w:val="20"/>
                <w:szCs w:val="20"/>
                <w:color w:val="auto"/>
              </w:rPr>
            </w:pPr>
            <w:r>
              <w:rPr>
                <w:rFonts w:ascii="Arial" w:cs="Arial" w:eastAsia="Arial" w:hAnsi="Arial"/>
                <w:sz w:val="18"/>
                <w:szCs w:val="18"/>
                <w:color w:val="auto"/>
              </w:rPr>
              <w:t>Rates</w:t>
            </w:r>
          </w:p>
        </w:tc>
        <w:tc>
          <w:tcPr>
            <w:tcW w:w="2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ARTICLE II</w:t>
            </w: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THE CREDITS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2.01.</w:t>
            </w:r>
          </w:p>
        </w:tc>
        <w:tc>
          <w:tcPr>
            <w:tcW w:w="6680" w:type="dxa"/>
            <w:vAlign w:val="bottom"/>
          </w:tcPr>
          <w:p>
            <w:pPr>
              <w:ind w:left="120"/>
              <w:spacing w:after="0"/>
              <w:rPr>
                <w:sz w:val="20"/>
                <w:szCs w:val="20"/>
                <w:color w:val="auto"/>
              </w:rPr>
            </w:pPr>
            <w:r>
              <w:rPr>
                <w:rFonts w:ascii="Arial" w:cs="Arial" w:eastAsia="Arial" w:hAnsi="Arial"/>
                <w:sz w:val="18"/>
                <w:szCs w:val="18"/>
                <w:color w:val="auto"/>
              </w:rPr>
              <w:t>The Commitments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2.02.   Loans and Borrowings</w:t>
            </w:r>
          </w:p>
        </w:tc>
        <w:tc>
          <w:tcPr>
            <w:tcW w:w="2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2.03.   Requests for Syndicated Borrowings</w:t>
            </w:r>
          </w:p>
        </w:tc>
        <w:tc>
          <w:tcPr>
            <w:tcW w:w="2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2.04.</w:t>
            </w:r>
          </w:p>
        </w:tc>
        <w:tc>
          <w:tcPr>
            <w:tcW w:w="6680" w:type="dxa"/>
            <w:vAlign w:val="bottom"/>
          </w:tcPr>
          <w:p>
            <w:pPr>
              <w:ind w:left="120"/>
              <w:spacing w:after="0"/>
              <w:rPr>
                <w:sz w:val="20"/>
                <w:szCs w:val="20"/>
                <w:color w:val="auto"/>
              </w:rPr>
            </w:pPr>
            <w:r>
              <w:rPr>
                <w:rFonts w:ascii="Arial" w:cs="Arial" w:eastAsia="Arial" w:hAnsi="Arial"/>
                <w:sz w:val="18"/>
                <w:szCs w:val="18"/>
                <w:color w:val="auto"/>
              </w:rPr>
              <w:t>Swingline Loans</w:t>
            </w:r>
          </w:p>
        </w:tc>
        <w:tc>
          <w:tcPr>
            <w:tcW w:w="2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2.05.</w:t>
            </w:r>
          </w:p>
        </w:tc>
        <w:tc>
          <w:tcPr>
            <w:tcW w:w="6680" w:type="dxa"/>
            <w:vAlign w:val="bottom"/>
          </w:tcPr>
          <w:p>
            <w:pPr>
              <w:ind w:left="120"/>
              <w:spacing w:after="0"/>
              <w:rPr>
                <w:sz w:val="20"/>
                <w:szCs w:val="20"/>
                <w:color w:val="auto"/>
              </w:rPr>
            </w:pPr>
            <w:r>
              <w:rPr>
                <w:rFonts w:ascii="Arial" w:cs="Arial" w:eastAsia="Arial" w:hAnsi="Arial"/>
                <w:sz w:val="18"/>
                <w:szCs w:val="18"/>
                <w:color w:val="auto"/>
              </w:rPr>
              <w:t>Letters of Credit</w:t>
            </w:r>
          </w:p>
        </w:tc>
        <w:tc>
          <w:tcPr>
            <w:tcW w:w="2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2.06.   Funding of Borrowings</w:t>
            </w:r>
          </w:p>
        </w:tc>
        <w:tc>
          <w:tcPr>
            <w:tcW w:w="24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2.07.</w:t>
            </w:r>
          </w:p>
        </w:tc>
        <w:tc>
          <w:tcPr>
            <w:tcW w:w="6680" w:type="dxa"/>
            <w:vAlign w:val="bottom"/>
          </w:tcPr>
          <w:p>
            <w:pPr>
              <w:ind w:left="120"/>
              <w:spacing w:after="0"/>
              <w:rPr>
                <w:sz w:val="20"/>
                <w:szCs w:val="20"/>
                <w:color w:val="auto"/>
              </w:rPr>
            </w:pPr>
            <w:r>
              <w:rPr>
                <w:rFonts w:ascii="Arial" w:cs="Arial" w:eastAsia="Arial" w:hAnsi="Arial"/>
                <w:sz w:val="18"/>
                <w:szCs w:val="18"/>
                <w:color w:val="auto"/>
              </w:rPr>
              <w:t>Interest Elections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2.08.   Termination, Reduction or Increase of the Commitments</w:t>
            </w:r>
          </w:p>
        </w:tc>
        <w:tc>
          <w:tcPr>
            <w:tcW w:w="2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2.09.   Repayment of Loans; Evidence of Debt</w:t>
            </w:r>
          </w:p>
        </w:tc>
        <w:tc>
          <w:tcPr>
            <w:tcW w:w="24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2.10.   Prepayment of Loans</w:t>
            </w:r>
          </w:p>
        </w:tc>
        <w:tc>
          <w:tcPr>
            <w:tcW w:w="24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2.11.</w:t>
            </w:r>
          </w:p>
        </w:tc>
        <w:tc>
          <w:tcPr>
            <w:tcW w:w="6680" w:type="dxa"/>
            <w:vAlign w:val="bottom"/>
          </w:tcPr>
          <w:p>
            <w:pPr>
              <w:ind w:left="120"/>
              <w:spacing w:after="0"/>
              <w:rPr>
                <w:sz w:val="20"/>
                <w:szCs w:val="20"/>
                <w:color w:val="auto"/>
              </w:rPr>
            </w:pPr>
            <w:r>
              <w:rPr>
                <w:rFonts w:ascii="Arial" w:cs="Arial" w:eastAsia="Arial" w:hAnsi="Arial"/>
                <w:sz w:val="18"/>
                <w:szCs w:val="18"/>
                <w:color w:val="auto"/>
              </w:rPr>
              <w:t>Fees</w:t>
            </w:r>
          </w:p>
        </w:tc>
        <w:tc>
          <w:tcPr>
            <w:tcW w:w="2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2.12.</w:t>
            </w:r>
          </w:p>
        </w:tc>
        <w:tc>
          <w:tcPr>
            <w:tcW w:w="6680" w:type="dxa"/>
            <w:vAlign w:val="bottom"/>
          </w:tcPr>
          <w:p>
            <w:pPr>
              <w:ind w:left="120"/>
              <w:spacing w:after="0"/>
              <w:rPr>
                <w:sz w:val="20"/>
                <w:szCs w:val="20"/>
                <w:color w:val="auto"/>
              </w:rPr>
            </w:pPr>
            <w:r>
              <w:rPr>
                <w:rFonts w:ascii="Arial" w:cs="Arial" w:eastAsia="Arial" w:hAnsi="Arial"/>
                <w:sz w:val="18"/>
                <w:szCs w:val="18"/>
                <w:color w:val="auto"/>
              </w:rPr>
              <w:t>Interest</w:t>
            </w:r>
          </w:p>
        </w:tc>
        <w:tc>
          <w:tcPr>
            <w:tcW w:w="24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2.13.   Inability to Determine Interest Rates</w:t>
            </w:r>
          </w:p>
        </w:tc>
        <w:tc>
          <w:tcPr>
            <w:tcW w:w="2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2.14.</w:t>
            </w:r>
          </w:p>
        </w:tc>
        <w:tc>
          <w:tcPr>
            <w:tcW w:w="6680" w:type="dxa"/>
            <w:vAlign w:val="bottom"/>
          </w:tcPr>
          <w:p>
            <w:pPr>
              <w:ind w:left="120"/>
              <w:spacing w:after="0"/>
              <w:rPr>
                <w:sz w:val="20"/>
                <w:szCs w:val="20"/>
                <w:color w:val="auto"/>
              </w:rPr>
            </w:pPr>
            <w:r>
              <w:rPr>
                <w:rFonts w:ascii="Arial" w:cs="Arial" w:eastAsia="Arial" w:hAnsi="Arial"/>
                <w:sz w:val="18"/>
                <w:szCs w:val="18"/>
                <w:color w:val="auto"/>
              </w:rPr>
              <w:t>Increased Costs</w:t>
            </w:r>
          </w:p>
        </w:tc>
        <w:tc>
          <w:tcPr>
            <w:tcW w:w="2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2.15.   Break Funding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2.16.</w:t>
            </w:r>
          </w:p>
        </w:tc>
        <w:tc>
          <w:tcPr>
            <w:tcW w:w="6680" w:type="dxa"/>
            <w:vAlign w:val="bottom"/>
          </w:tcPr>
          <w:p>
            <w:pPr>
              <w:ind w:left="120"/>
              <w:spacing w:after="0"/>
              <w:rPr>
                <w:sz w:val="20"/>
                <w:szCs w:val="20"/>
                <w:color w:val="auto"/>
              </w:rPr>
            </w:pPr>
            <w:r>
              <w:rPr>
                <w:rFonts w:ascii="Arial" w:cs="Arial" w:eastAsia="Arial" w:hAnsi="Arial"/>
                <w:sz w:val="18"/>
                <w:szCs w:val="18"/>
                <w:color w:val="auto"/>
              </w:rPr>
              <w:t>Taxes</w:t>
            </w:r>
          </w:p>
        </w:tc>
        <w:tc>
          <w:tcPr>
            <w:tcW w:w="24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2.17.   Payments Generally; Pro Rata Treatment: Sharing of Set-offs</w:t>
            </w:r>
          </w:p>
        </w:tc>
        <w:tc>
          <w:tcPr>
            <w:tcW w:w="24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2.18.   Mitigation Obligations; Replacement of Lenders</w:t>
            </w:r>
          </w:p>
        </w:tc>
        <w:tc>
          <w:tcPr>
            <w:tcW w:w="2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2.19.</w:t>
            </w:r>
          </w:p>
        </w:tc>
        <w:tc>
          <w:tcPr>
            <w:tcW w:w="6680" w:type="dxa"/>
            <w:vAlign w:val="bottom"/>
          </w:tcPr>
          <w:p>
            <w:pPr>
              <w:ind w:left="120"/>
              <w:spacing w:after="0"/>
              <w:rPr>
                <w:sz w:val="20"/>
                <w:szCs w:val="20"/>
                <w:color w:val="auto"/>
              </w:rPr>
            </w:pPr>
            <w:r>
              <w:rPr>
                <w:rFonts w:ascii="Arial" w:cs="Arial" w:eastAsia="Arial" w:hAnsi="Arial"/>
                <w:sz w:val="18"/>
                <w:szCs w:val="18"/>
                <w:color w:val="auto"/>
              </w:rPr>
              <w:t>Defaulting Lenders</w:t>
            </w:r>
          </w:p>
        </w:tc>
        <w:tc>
          <w:tcPr>
            <w:tcW w:w="24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2.20.</w:t>
            </w:r>
          </w:p>
        </w:tc>
        <w:tc>
          <w:tcPr>
            <w:tcW w:w="66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4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500" w:type="dxa"/>
            <w:vAlign w:val="bottom"/>
            <w:gridSpan w:val="3"/>
          </w:tcPr>
          <w:p>
            <w:pPr>
              <w:ind w:left="520"/>
              <w:spacing w:after="0"/>
              <w:rPr>
                <w:sz w:val="20"/>
                <w:szCs w:val="20"/>
                <w:color w:val="auto"/>
              </w:rPr>
            </w:pPr>
            <w:r>
              <w:rPr>
                <w:rFonts w:ascii="Arial" w:cs="Arial" w:eastAsia="Arial" w:hAnsi="Arial"/>
                <w:sz w:val="18"/>
                <w:szCs w:val="18"/>
                <w:color w:val="auto"/>
              </w:rPr>
              <w:t>SECTION 2.21.   Effect of Benchmark Transition Event</w:t>
            </w:r>
          </w:p>
        </w:tc>
        <w:tc>
          <w:tcPr>
            <w:tcW w:w="246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ARTICLE III</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REPRESENTATIONS AND WARRANTIES</w:t>
            </w:r>
          </w:p>
        </w:tc>
        <w:tc>
          <w:tcPr>
            <w:tcW w:w="2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3.01.</w:t>
            </w:r>
          </w:p>
        </w:tc>
        <w:tc>
          <w:tcPr>
            <w:tcW w:w="6300" w:type="dxa"/>
            <w:vAlign w:val="bottom"/>
          </w:tcPr>
          <w:p>
            <w:pPr>
              <w:ind w:left="120"/>
              <w:spacing w:after="0"/>
              <w:rPr>
                <w:sz w:val="20"/>
                <w:szCs w:val="20"/>
                <w:color w:val="auto"/>
              </w:rPr>
            </w:pPr>
            <w:r>
              <w:rPr>
                <w:rFonts w:ascii="Arial" w:cs="Arial" w:eastAsia="Arial" w:hAnsi="Arial"/>
                <w:sz w:val="18"/>
                <w:szCs w:val="18"/>
                <w:color w:val="auto"/>
              </w:rPr>
              <w:t>Organization; Powers</w:t>
            </w:r>
          </w:p>
        </w:tc>
        <w:tc>
          <w:tcPr>
            <w:tcW w:w="2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3.02.</w:t>
            </w:r>
          </w:p>
        </w:tc>
        <w:tc>
          <w:tcPr>
            <w:tcW w:w="6300" w:type="dxa"/>
            <w:vAlign w:val="bottom"/>
          </w:tcPr>
          <w:p>
            <w:pPr>
              <w:ind w:left="120"/>
              <w:spacing w:after="0"/>
              <w:rPr>
                <w:sz w:val="20"/>
                <w:szCs w:val="20"/>
                <w:color w:val="auto"/>
              </w:rPr>
            </w:pPr>
            <w:r>
              <w:rPr>
                <w:rFonts w:ascii="Arial" w:cs="Arial" w:eastAsia="Arial" w:hAnsi="Arial"/>
                <w:sz w:val="18"/>
                <w:szCs w:val="18"/>
                <w:color w:val="auto"/>
              </w:rPr>
              <w:t>Authorization; Enforceability</w:t>
            </w:r>
          </w:p>
        </w:tc>
        <w:tc>
          <w:tcPr>
            <w:tcW w:w="2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3.03.   Governmental Approvals; No Conflicts</w:t>
            </w:r>
          </w:p>
        </w:tc>
        <w:tc>
          <w:tcPr>
            <w:tcW w:w="2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3.04.   Financial Condition; No Material Adverse Change</w:t>
            </w:r>
          </w:p>
        </w:tc>
        <w:tc>
          <w:tcPr>
            <w:tcW w:w="2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3.05.</w:t>
            </w:r>
          </w:p>
        </w:tc>
        <w:tc>
          <w:tcPr>
            <w:tcW w:w="630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2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3.06.   Compliance with Laws and Agreements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3.07.</w:t>
            </w:r>
          </w:p>
        </w:tc>
        <w:tc>
          <w:tcPr>
            <w:tcW w:w="6300" w:type="dxa"/>
            <w:vAlign w:val="bottom"/>
          </w:tcPr>
          <w:p>
            <w:pPr>
              <w:ind w:left="120"/>
              <w:spacing w:after="0"/>
              <w:rPr>
                <w:sz w:val="20"/>
                <w:szCs w:val="20"/>
                <w:color w:val="auto"/>
              </w:rPr>
            </w:pPr>
            <w:r>
              <w:rPr>
                <w:rFonts w:ascii="Arial" w:cs="Arial" w:eastAsia="Arial" w:hAnsi="Arial"/>
                <w:sz w:val="18"/>
                <w:szCs w:val="18"/>
                <w:color w:val="auto"/>
              </w:rPr>
              <w:t>Taxes</w:t>
            </w:r>
          </w:p>
        </w:tc>
        <w:tc>
          <w:tcPr>
            <w:tcW w:w="2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3.08.</w:t>
            </w:r>
          </w:p>
        </w:tc>
        <w:tc>
          <w:tcPr>
            <w:tcW w:w="6300" w:type="dxa"/>
            <w:vAlign w:val="bottom"/>
          </w:tcPr>
          <w:p>
            <w:pPr>
              <w:ind w:left="120"/>
              <w:spacing w:after="0"/>
              <w:rPr>
                <w:sz w:val="20"/>
                <w:szCs w:val="20"/>
                <w:color w:val="auto"/>
              </w:rPr>
            </w:pPr>
            <w:r>
              <w:rPr>
                <w:rFonts w:ascii="Arial" w:cs="Arial" w:eastAsia="Arial" w:hAnsi="Arial"/>
                <w:sz w:val="18"/>
                <w:szCs w:val="18"/>
                <w:color w:val="auto"/>
              </w:rPr>
              <w:t>ERISA</w:t>
            </w:r>
          </w:p>
        </w:tc>
        <w:tc>
          <w:tcPr>
            <w:tcW w:w="2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3.09.</w:t>
            </w:r>
          </w:p>
        </w:tc>
        <w:tc>
          <w:tcPr>
            <w:tcW w:w="6300" w:type="dxa"/>
            <w:vAlign w:val="bottom"/>
          </w:tcPr>
          <w:p>
            <w:pPr>
              <w:ind w:left="120"/>
              <w:spacing w:after="0"/>
              <w:rPr>
                <w:sz w:val="20"/>
                <w:szCs w:val="20"/>
                <w:color w:val="auto"/>
              </w:rPr>
            </w:pPr>
            <w:r>
              <w:rPr>
                <w:rFonts w:ascii="Arial" w:cs="Arial" w:eastAsia="Arial" w:hAnsi="Arial"/>
                <w:sz w:val="18"/>
                <w:szCs w:val="18"/>
                <w:color w:val="auto"/>
              </w:rPr>
              <w:t>Disclosure</w:t>
            </w:r>
          </w:p>
        </w:tc>
        <w:tc>
          <w:tcPr>
            <w:tcW w:w="2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3.10.   Investment Company Act; Margin Regulations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3.11.   Material Agreements and Liens</w:t>
            </w:r>
          </w:p>
        </w:tc>
        <w:tc>
          <w:tcPr>
            <w:tcW w:w="2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3.12.   Subsidiaries and Investments</w:t>
            </w:r>
          </w:p>
        </w:tc>
        <w:tc>
          <w:tcPr>
            <w:tcW w:w="2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3.13.</w:t>
            </w:r>
          </w:p>
        </w:tc>
        <w:tc>
          <w:tcPr>
            <w:tcW w:w="630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3.14.</w:t>
            </w:r>
          </w:p>
        </w:tc>
        <w:tc>
          <w:tcPr>
            <w:tcW w:w="6300" w:type="dxa"/>
            <w:vAlign w:val="bottom"/>
          </w:tcPr>
          <w:p>
            <w:pPr>
              <w:ind w:left="120"/>
              <w:spacing w:after="0"/>
              <w:rPr>
                <w:sz w:val="20"/>
                <w:szCs w:val="20"/>
                <w:color w:val="auto"/>
              </w:rPr>
            </w:pPr>
            <w:r>
              <w:rPr>
                <w:rFonts w:ascii="Arial" w:cs="Arial" w:eastAsia="Arial" w:hAnsi="Arial"/>
                <w:sz w:val="18"/>
                <w:szCs w:val="18"/>
                <w:color w:val="auto"/>
              </w:rPr>
              <w:t>Affiliate Agreements</w:t>
            </w: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3.15.</w:t>
            </w:r>
          </w:p>
        </w:tc>
        <w:tc>
          <w:tcPr>
            <w:tcW w:w="6300" w:type="dxa"/>
            <w:vAlign w:val="bottom"/>
          </w:tcPr>
          <w:p>
            <w:pPr>
              <w:ind w:left="120"/>
              <w:spacing w:after="0"/>
              <w:rPr>
                <w:sz w:val="20"/>
                <w:szCs w:val="20"/>
                <w:color w:val="auto"/>
              </w:rPr>
            </w:pPr>
            <w:r>
              <w:rPr>
                <w:rFonts w:ascii="Arial" w:cs="Arial" w:eastAsia="Arial" w:hAnsi="Arial"/>
                <w:sz w:val="18"/>
                <w:szCs w:val="18"/>
                <w:color w:val="auto"/>
              </w:rPr>
              <w:t>Sanctions</w:t>
            </w: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3.16.</w:t>
            </w:r>
          </w:p>
        </w:tc>
        <w:tc>
          <w:tcPr>
            <w:tcW w:w="6300" w:type="dxa"/>
            <w:vAlign w:val="bottom"/>
          </w:tcPr>
          <w:p>
            <w:pPr>
              <w:ind w:left="120"/>
              <w:spacing w:after="0"/>
              <w:rPr>
                <w:sz w:val="20"/>
                <w:szCs w:val="20"/>
                <w:color w:val="auto"/>
              </w:rPr>
            </w:pPr>
            <w:r>
              <w:rPr>
                <w:rFonts w:ascii="Arial" w:cs="Arial" w:eastAsia="Arial" w:hAnsi="Arial"/>
                <w:sz w:val="18"/>
                <w:szCs w:val="18"/>
                <w:color w:val="auto"/>
              </w:rPr>
              <w:t>Patriot Act</w:t>
            </w:r>
          </w:p>
        </w:tc>
        <w:tc>
          <w:tcPr>
            <w:tcW w:w="2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3.17.</w:t>
            </w:r>
          </w:p>
        </w:tc>
        <w:tc>
          <w:tcPr>
            <w:tcW w:w="6300" w:type="dxa"/>
            <w:vAlign w:val="bottom"/>
          </w:tcPr>
          <w:p>
            <w:pPr>
              <w:ind w:left="120"/>
              <w:spacing w:after="0"/>
              <w:rPr>
                <w:sz w:val="20"/>
                <w:szCs w:val="20"/>
                <w:color w:val="auto"/>
              </w:rPr>
            </w:pPr>
            <w:r>
              <w:rPr>
                <w:rFonts w:ascii="Arial" w:cs="Arial" w:eastAsia="Arial" w:hAnsi="Arial"/>
                <w:sz w:val="18"/>
                <w:szCs w:val="18"/>
                <w:color w:val="auto"/>
              </w:rPr>
              <w:t>Collateral Documents</w:t>
            </w:r>
          </w:p>
        </w:tc>
        <w:tc>
          <w:tcPr>
            <w:tcW w:w="2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3.18.   EEA Financial Institutions</w:t>
            </w:r>
          </w:p>
        </w:tc>
        <w:tc>
          <w:tcPr>
            <w:tcW w:w="2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ARTICLE IV</w:t>
            </w: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CONDITIONS</w:t>
            </w:r>
          </w:p>
        </w:tc>
        <w:tc>
          <w:tcPr>
            <w:tcW w:w="2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4.01.</w:t>
            </w:r>
          </w:p>
        </w:tc>
        <w:tc>
          <w:tcPr>
            <w:tcW w:w="6300" w:type="dxa"/>
            <w:vAlign w:val="bottom"/>
          </w:tcPr>
          <w:p>
            <w:pPr>
              <w:ind w:left="120"/>
              <w:spacing w:after="0"/>
              <w:rPr>
                <w:sz w:val="20"/>
                <w:szCs w:val="20"/>
                <w:color w:val="auto"/>
              </w:rPr>
            </w:pPr>
            <w:r>
              <w:rPr>
                <w:rFonts w:ascii="Arial" w:cs="Arial" w:eastAsia="Arial" w:hAnsi="Arial"/>
                <w:sz w:val="18"/>
                <w:szCs w:val="18"/>
                <w:color w:val="auto"/>
              </w:rPr>
              <w:t>Effective Date</w:t>
            </w:r>
          </w:p>
        </w:tc>
        <w:tc>
          <w:tcPr>
            <w:tcW w:w="2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4.02.</w:t>
            </w:r>
          </w:p>
        </w:tc>
        <w:tc>
          <w:tcPr>
            <w:tcW w:w="6300" w:type="dxa"/>
            <w:vAlign w:val="bottom"/>
          </w:tcPr>
          <w:p>
            <w:pPr>
              <w:ind w:left="120"/>
              <w:spacing w:after="0"/>
              <w:rPr>
                <w:sz w:val="20"/>
                <w:szCs w:val="20"/>
                <w:color w:val="auto"/>
              </w:rPr>
            </w:pPr>
            <w:r>
              <w:rPr>
                <w:rFonts w:ascii="Arial" w:cs="Arial" w:eastAsia="Arial" w:hAnsi="Arial"/>
                <w:sz w:val="18"/>
                <w:szCs w:val="18"/>
                <w:color w:val="auto"/>
              </w:rPr>
              <w:t>Each Credit Event</w:t>
            </w:r>
          </w:p>
        </w:tc>
        <w:tc>
          <w:tcPr>
            <w:tcW w:w="2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ARTICLE V</w:t>
            </w:r>
          </w:p>
        </w:tc>
        <w:tc>
          <w:tcPr>
            <w:tcW w:w="6980" w:type="dxa"/>
            <w:vAlign w:val="bottom"/>
            <w:gridSpan w:val="2"/>
          </w:tcPr>
          <w:p>
            <w:pPr>
              <w:ind w:left="180"/>
              <w:spacing w:after="0"/>
              <w:rPr>
                <w:sz w:val="20"/>
                <w:szCs w:val="20"/>
                <w:color w:val="auto"/>
              </w:rPr>
            </w:pPr>
            <w:r>
              <w:rPr>
                <w:rFonts w:ascii="Arial" w:cs="Arial" w:eastAsia="Arial" w:hAnsi="Arial"/>
                <w:sz w:val="18"/>
                <w:szCs w:val="18"/>
                <w:color w:val="auto"/>
              </w:rPr>
              <w:t>AFFIRMATIVE COVENANTS</w:t>
            </w:r>
          </w:p>
        </w:tc>
        <w:tc>
          <w:tcPr>
            <w:tcW w:w="2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5.01.   Financial Statements and Other Information</w:t>
            </w:r>
          </w:p>
        </w:tc>
        <w:tc>
          <w:tcPr>
            <w:tcW w:w="2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5.02.   Notices of Material Events</w:t>
            </w:r>
          </w:p>
        </w:tc>
        <w:tc>
          <w:tcPr>
            <w:tcW w:w="2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5.03.   Existence: Conduct of Business</w:t>
            </w:r>
          </w:p>
        </w:tc>
        <w:tc>
          <w:tcPr>
            <w:tcW w:w="2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5.04.   Payment of Obligations</w:t>
            </w:r>
          </w:p>
        </w:tc>
        <w:tc>
          <w:tcPr>
            <w:tcW w:w="2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5.05.   Maintenance of Properties; Insurance</w:t>
            </w:r>
          </w:p>
        </w:tc>
        <w:tc>
          <w:tcPr>
            <w:tcW w:w="2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5.06.   Books and Records; Inspection and Audit Rights</w:t>
            </w:r>
          </w:p>
        </w:tc>
        <w:tc>
          <w:tcPr>
            <w:tcW w:w="2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120" w:type="dxa"/>
            <w:vAlign w:val="bottom"/>
            <w:gridSpan w:val="3"/>
          </w:tcPr>
          <w:p>
            <w:pPr>
              <w:ind w:left="520"/>
              <w:spacing w:after="0"/>
              <w:rPr>
                <w:sz w:val="20"/>
                <w:szCs w:val="20"/>
                <w:color w:val="auto"/>
              </w:rPr>
            </w:pPr>
            <w:r>
              <w:rPr>
                <w:rFonts w:ascii="Arial" w:cs="Arial" w:eastAsia="Arial" w:hAnsi="Arial"/>
                <w:sz w:val="18"/>
                <w:szCs w:val="18"/>
                <w:color w:val="auto"/>
              </w:rPr>
              <w:t>SECTION 5.07.   Compliance with Laws</w:t>
            </w:r>
          </w:p>
        </w:tc>
        <w:tc>
          <w:tcPr>
            <w:tcW w:w="284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5.08.   Certain Obligations Respecting Subsidiaries; Further Assurances</w:t>
            </w:r>
          </w:p>
        </w:tc>
        <w:tc>
          <w:tcPr>
            <w:tcW w:w="23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5.09.</w:t>
            </w:r>
          </w:p>
        </w:tc>
        <w:tc>
          <w:tcPr>
            <w:tcW w:w="682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5.10.   Status of RIC and BDC</w:t>
            </w:r>
          </w:p>
        </w:tc>
        <w:tc>
          <w:tcPr>
            <w:tcW w:w="2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5.11.</w:t>
            </w:r>
          </w:p>
        </w:tc>
        <w:tc>
          <w:tcPr>
            <w:tcW w:w="6820" w:type="dxa"/>
            <w:vAlign w:val="bottom"/>
          </w:tcPr>
          <w:p>
            <w:pPr>
              <w:ind w:left="120"/>
              <w:spacing w:after="0"/>
              <w:rPr>
                <w:sz w:val="20"/>
                <w:szCs w:val="20"/>
                <w:color w:val="auto"/>
              </w:rPr>
            </w:pPr>
            <w:r>
              <w:rPr>
                <w:rFonts w:ascii="Arial" w:cs="Arial" w:eastAsia="Arial" w:hAnsi="Arial"/>
                <w:sz w:val="18"/>
                <w:szCs w:val="18"/>
                <w:color w:val="auto"/>
              </w:rPr>
              <w:t>Investment Policies</w:t>
            </w:r>
          </w:p>
        </w:tc>
        <w:tc>
          <w:tcPr>
            <w:tcW w:w="2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5.12.   Portfolio Valuation and Diversification Etc</w:t>
            </w:r>
          </w:p>
        </w:tc>
        <w:tc>
          <w:tcPr>
            <w:tcW w:w="2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5.13.   Calculation of Borrowing Base</w:t>
            </w:r>
          </w:p>
        </w:tc>
        <w:tc>
          <w:tcPr>
            <w:tcW w:w="23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VI</w:t>
            </w: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NEGATIVE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6.01.</w:t>
            </w:r>
          </w:p>
        </w:tc>
        <w:tc>
          <w:tcPr>
            <w:tcW w:w="6820" w:type="dxa"/>
            <w:vAlign w:val="bottom"/>
          </w:tcPr>
          <w:p>
            <w:pPr>
              <w:ind w:left="120"/>
              <w:spacing w:after="0"/>
              <w:rPr>
                <w:sz w:val="20"/>
                <w:szCs w:val="20"/>
                <w:color w:val="auto"/>
              </w:rPr>
            </w:pPr>
            <w:r>
              <w:rPr>
                <w:rFonts w:ascii="Arial" w:cs="Arial" w:eastAsia="Arial" w:hAnsi="Arial"/>
                <w:sz w:val="18"/>
                <w:szCs w:val="18"/>
                <w:color w:val="auto"/>
              </w:rPr>
              <w:t>Indebtedness</w:t>
            </w:r>
          </w:p>
        </w:tc>
        <w:tc>
          <w:tcPr>
            <w:tcW w:w="23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6.02.</w:t>
            </w:r>
          </w:p>
        </w:tc>
        <w:tc>
          <w:tcPr>
            <w:tcW w:w="6820" w:type="dxa"/>
            <w:vAlign w:val="bottom"/>
          </w:tcPr>
          <w:p>
            <w:pPr>
              <w:ind w:left="120"/>
              <w:spacing w:after="0"/>
              <w:rPr>
                <w:sz w:val="20"/>
                <w:szCs w:val="20"/>
                <w:color w:val="auto"/>
              </w:rPr>
            </w:pPr>
            <w:r>
              <w:rPr>
                <w:rFonts w:ascii="Arial" w:cs="Arial" w:eastAsia="Arial" w:hAnsi="Arial"/>
                <w:sz w:val="18"/>
                <w:szCs w:val="18"/>
                <w:color w:val="auto"/>
              </w:rPr>
              <w:t>Liens</w:t>
            </w:r>
          </w:p>
        </w:tc>
        <w:tc>
          <w:tcPr>
            <w:tcW w:w="23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6.03.</w:t>
            </w:r>
          </w:p>
        </w:tc>
        <w:tc>
          <w:tcPr>
            <w:tcW w:w="6820" w:type="dxa"/>
            <w:vAlign w:val="bottom"/>
          </w:tcPr>
          <w:p>
            <w:pPr>
              <w:ind w:left="120"/>
              <w:spacing w:after="0"/>
              <w:rPr>
                <w:sz w:val="20"/>
                <w:szCs w:val="20"/>
                <w:color w:val="auto"/>
              </w:rPr>
            </w:pPr>
            <w:r>
              <w:rPr>
                <w:rFonts w:ascii="Arial" w:cs="Arial" w:eastAsia="Arial" w:hAnsi="Arial"/>
                <w:sz w:val="18"/>
                <w:szCs w:val="18"/>
                <w:color w:val="auto"/>
              </w:rPr>
              <w:t>Fundamental Changes</w:t>
            </w:r>
          </w:p>
        </w:tc>
        <w:tc>
          <w:tcPr>
            <w:tcW w:w="23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6.04.</w:t>
            </w:r>
          </w:p>
        </w:tc>
        <w:tc>
          <w:tcPr>
            <w:tcW w:w="682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3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6.05.</w:t>
            </w:r>
          </w:p>
        </w:tc>
        <w:tc>
          <w:tcPr>
            <w:tcW w:w="6820" w:type="dxa"/>
            <w:vAlign w:val="bottom"/>
          </w:tcPr>
          <w:p>
            <w:pPr>
              <w:ind w:left="120"/>
              <w:spacing w:after="0"/>
              <w:rPr>
                <w:sz w:val="20"/>
                <w:szCs w:val="20"/>
                <w:color w:val="auto"/>
              </w:rPr>
            </w:pPr>
            <w:r>
              <w:rPr>
                <w:rFonts w:ascii="Arial" w:cs="Arial" w:eastAsia="Arial" w:hAnsi="Arial"/>
                <w:sz w:val="18"/>
                <w:szCs w:val="18"/>
                <w:color w:val="auto"/>
              </w:rPr>
              <w:t>Restricted 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6.06.   Certain Restrictions on Subsidiaries</w:t>
            </w:r>
          </w:p>
        </w:tc>
        <w:tc>
          <w:tcPr>
            <w:tcW w:w="23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6.07.   Certain Financial Covenants</w:t>
            </w:r>
          </w:p>
        </w:tc>
        <w:tc>
          <w:tcPr>
            <w:tcW w:w="23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6.08.   Transactions with Affiliates</w:t>
            </w:r>
          </w:p>
        </w:tc>
        <w:tc>
          <w:tcPr>
            <w:tcW w:w="23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6.09.</w:t>
            </w:r>
          </w:p>
        </w:tc>
        <w:tc>
          <w:tcPr>
            <w:tcW w:w="6820" w:type="dxa"/>
            <w:vAlign w:val="bottom"/>
          </w:tcPr>
          <w:p>
            <w:pPr>
              <w:ind w:left="120"/>
              <w:spacing w:after="0"/>
              <w:rPr>
                <w:sz w:val="20"/>
                <w:szCs w:val="20"/>
                <w:color w:val="auto"/>
              </w:rPr>
            </w:pPr>
            <w:r>
              <w:rPr>
                <w:rFonts w:ascii="Arial" w:cs="Arial" w:eastAsia="Arial" w:hAnsi="Arial"/>
                <w:sz w:val="18"/>
                <w:szCs w:val="18"/>
                <w:color w:val="auto"/>
              </w:rPr>
              <w:t>Lines of Business</w:t>
            </w:r>
          </w:p>
        </w:tc>
        <w:tc>
          <w:tcPr>
            <w:tcW w:w="23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6.10.   No Further Negative Pledge</w:t>
            </w:r>
          </w:p>
        </w:tc>
        <w:tc>
          <w:tcPr>
            <w:tcW w:w="23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6.11.   Modifications of Longer-Term Indebtedness Documents</w:t>
            </w:r>
          </w:p>
        </w:tc>
        <w:tc>
          <w:tcPr>
            <w:tcW w:w="23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6.12.   Payments of Longer-Term Indebtedness</w:t>
            </w:r>
          </w:p>
        </w:tc>
        <w:tc>
          <w:tcPr>
            <w:tcW w:w="23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6.13.</w:t>
            </w:r>
          </w:p>
        </w:tc>
        <w:tc>
          <w:tcPr>
            <w:tcW w:w="6820" w:type="dxa"/>
            <w:vAlign w:val="bottom"/>
          </w:tcPr>
          <w:p>
            <w:pPr>
              <w:ind w:left="120"/>
              <w:spacing w:after="0"/>
              <w:rPr>
                <w:sz w:val="20"/>
                <w:szCs w:val="20"/>
                <w:color w:val="auto"/>
              </w:rPr>
            </w:pPr>
            <w:r>
              <w:rPr>
                <w:rFonts w:ascii="Arial" w:cs="Arial" w:eastAsia="Arial" w:hAnsi="Arial"/>
                <w:sz w:val="18"/>
                <w:szCs w:val="18"/>
                <w:color w:val="auto"/>
              </w:rPr>
              <w:t>Accounting Changes</w:t>
            </w:r>
          </w:p>
        </w:tc>
        <w:tc>
          <w:tcPr>
            <w:tcW w:w="23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6.14.</w:t>
            </w:r>
          </w:p>
        </w:tc>
        <w:tc>
          <w:tcPr>
            <w:tcW w:w="6820" w:type="dxa"/>
            <w:vAlign w:val="bottom"/>
          </w:tcPr>
          <w:p>
            <w:pPr>
              <w:ind w:left="120"/>
              <w:spacing w:after="0"/>
              <w:rPr>
                <w:sz w:val="20"/>
                <w:szCs w:val="20"/>
                <w:color w:val="auto"/>
              </w:rPr>
            </w:pPr>
            <w:r>
              <w:rPr>
                <w:rFonts w:ascii="Arial" w:cs="Arial" w:eastAsia="Arial" w:hAnsi="Arial"/>
                <w:sz w:val="18"/>
                <w:szCs w:val="18"/>
                <w:color w:val="auto"/>
              </w:rPr>
              <w:t>SBIC Guarantee</w:t>
            </w:r>
          </w:p>
        </w:tc>
        <w:tc>
          <w:tcPr>
            <w:tcW w:w="23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6.15.   Capital Call Facility</w:t>
            </w:r>
          </w:p>
        </w:tc>
        <w:tc>
          <w:tcPr>
            <w:tcW w:w="23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VII</w:t>
            </w:r>
          </w:p>
        </w:tc>
        <w:tc>
          <w:tcPr>
            <w:tcW w:w="7400" w:type="dxa"/>
            <w:vAlign w:val="bottom"/>
            <w:gridSpan w:val="2"/>
          </w:tcPr>
          <w:p>
            <w:pPr>
              <w:ind w:left="200"/>
              <w:spacing w:after="0"/>
              <w:rPr>
                <w:sz w:val="20"/>
                <w:szCs w:val="20"/>
                <w:color w:val="auto"/>
              </w:rPr>
            </w:pPr>
            <w:r>
              <w:rPr>
                <w:rFonts w:ascii="Arial" w:cs="Arial" w:eastAsia="Arial" w:hAnsi="Arial"/>
                <w:sz w:val="18"/>
                <w:szCs w:val="18"/>
                <w:color w:val="auto"/>
              </w:rPr>
              <w:t>EVENTS OF DEFAULT</w:t>
            </w:r>
          </w:p>
        </w:tc>
        <w:tc>
          <w:tcPr>
            <w:tcW w:w="23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VIII</w:t>
            </w:r>
          </w:p>
        </w:tc>
        <w:tc>
          <w:tcPr>
            <w:tcW w:w="7400" w:type="dxa"/>
            <w:vAlign w:val="bottom"/>
            <w:gridSpan w:val="2"/>
          </w:tcPr>
          <w:p>
            <w:pPr>
              <w:ind w:left="260"/>
              <w:spacing w:after="0"/>
              <w:rPr>
                <w:sz w:val="20"/>
                <w:szCs w:val="20"/>
                <w:color w:val="auto"/>
              </w:rPr>
            </w:pPr>
            <w:r>
              <w:rPr>
                <w:rFonts w:ascii="Arial" w:cs="Arial" w:eastAsia="Arial" w:hAnsi="Arial"/>
                <w:sz w:val="18"/>
                <w:szCs w:val="18"/>
                <w:color w:val="auto"/>
              </w:rPr>
              <w:t>THE ADMINISTRATIVE AGENT</w:t>
            </w:r>
          </w:p>
        </w:tc>
        <w:tc>
          <w:tcPr>
            <w:tcW w:w="23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8.01.   Appointment of the Administrative Agent</w:t>
            </w:r>
          </w:p>
        </w:tc>
        <w:tc>
          <w:tcPr>
            <w:tcW w:w="23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8.02.</w:t>
            </w:r>
          </w:p>
        </w:tc>
        <w:tc>
          <w:tcPr>
            <w:tcW w:w="6820" w:type="dxa"/>
            <w:vAlign w:val="bottom"/>
          </w:tcPr>
          <w:p>
            <w:pPr>
              <w:ind w:left="120"/>
              <w:spacing w:after="0"/>
              <w:rPr>
                <w:sz w:val="20"/>
                <w:szCs w:val="20"/>
                <w:color w:val="auto"/>
              </w:rPr>
            </w:pPr>
            <w:r>
              <w:rPr>
                <w:rFonts w:ascii="Arial" w:cs="Arial" w:eastAsia="Arial" w:hAnsi="Arial"/>
                <w:sz w:val="18"/>
                <w:szCs w:val="18"/>
                <w:color w:val="auto"/>
              </w:rPr>
              <w:t>Capacity as Lender</w:t>
            </w:r>
          </w:p>
        </w:tc>
        <w:tc>
          <w:tcPr>
            <w:tcW w:w="23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640" w:type="dxa"/>
            <w:vAlign w:val="bottom"/>
            <w:gridSpan w:val="3"/>
          </w:tcPr>
          <w:p>
            <w:pPr>
              <w:ind w:left="520"/>
              <w:spacing w:after="0"/>
              <w:rPr>
                <w:sz w:val="20"/>
                <w:szCs w:val="20"/>
                <w:color w:val="auto"/>
              </w:rPr>
            </w:pPr>
            <w:r>
              <w:rPr>
                <w:rFonts w:ascii="Arial" w:cs="Arial" w:eastAsia="Arial" w:hAnsi="Arial"/>
                <w:sz w:val="18"/>
                <w:szCs w:val="18"/>
                <w:color w:val="auto"/>
              </w:rPr>
              <w:t>SECTION 8.03.   Limitation of Duties; Exculpation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8.04.</w:t>
            </w:r>
          </w:p>
        </w:tc>
        <w:tc>
          <w:tcPr>
            <w:tcW w:w="6820" w:type="dxa"/>
            <w:vAlign w:val="bottom"/>
          </w:tcPr>
          <w:p>
            <w:pPr>
              <w:ind w:left="120"/>
              <w:spacing w:after="0"/>
              <w:rPr>
                <w:sz w:val="20"/>
                <w:szCs w:val="20"/>
                <w:color w:val="auto"/>
              </w:rPr>
            </w:pPr>
            <w:r>
              <w:rPr>
                <w:rFonts w:ascii="Arial" w:cs="Arial" w:eastAsia="Arial" w:hAnsi="Arial"/>
                <w:sz w:val="18"/>
                <w:szCs w:val="18"/>
                <w:color w:val="auto"/>
              </w:rPr>
              <w:t>Reliance</w:t>
            </w:r>
          </w:p>
        </w:tc>
        <w:tc>
          <w:tcPr>
            <w:tcW w:w="23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8.05.</w:t>
            </w:r>
          </w:p>
        </w:tc>
        <w:tc>
          <w:tcPr>
            <w:tcW w:w="6820" w:type="dxa"/>
            <w:vAlign w:val="bottom"/>
          </w:tcPr>
          <w:p>
            <w:pPr>
              <w:ind w:left="120"/>
              <w:spacing w:after="0"/>
              <w:rPr>
                <w:sz w:val="20"/>
                <w:szCs w:val="20"/>
                <w:color w:val="auto"/>
              </w:rPr>
            </w:pPr>
            <w:r>
              <w:rPr>
                <w:rFonts w:ascii="Arial" w:cs="Arial" w:eastAsia="Arial" w:hAnsi="Arial"/>
                <w:sz w:val="18"/>
                <w:szCs w:val="18"/>
                <w:color w:val="auto"/>
              </w:rPr>
              <w:t>Sub-Agents</w:t>
            </w:r>
          </w:p>
        </w:tc>
        <w:tc>
          <w:tcPr>
            <w:tcW w:w="232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8.06.   Resignation; Successor Administrative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8.07.   Reliance by Lenders</w:t>
            </w:r>
          </w:p>
        </w:tc>
        <w:tc>
          <w:tcPr>
            <w:tcW w:w="19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8.08.   Modifications to Loan Documents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8.09.</w:t>
            </w:r>
          </w:p>
        </w:tc>
        <w:tc>
          <w:tcPr>
            <w:tcW w:w="7220" w:type="dxa"/>
            <w:vAlign w:val="bottom"/>
          </w:tcPr>
          <w:p>
            <w:pPr>
              <w:ind w:left="120"/>
              <w:spacing w:after="0"/>
              <w:rPr>
                <w:sz w:val="20"/>
                <w:szCs w:val="20"/>
                <w:color w:val="auto"/>
              </w:rPr>
            </w:pPr>
            <w:r>
              <w:rPr>
                <w:rFonts w:ascii="Arial" w:cs="Arial" w:eastAsia="Arial" w:hAnsi="Arial"/>
                <w:sz w:val="18"/>
                <w:szCs w:val="18"/>
                <w:color w:val="auto"/>
              </w:rPr>
              <w:t>Erroneous Payments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IX</w:t>
            </w:r>
          </w:p>
        </w:tc>
        <w:tc>
          <w:tcPr>
            <w:tcW w:w="7860" w:type="dxa"/>
            <w:vAlign w:val="bottom"/>
            <w:gridSpan w:val="2"/>
          </w:tcPr>
          <w:p>
            <w:pPr>
              <w:ind w:left="200"/>
              <w:spacing w:after="0"/>
              <w:rPr>
                <w:sz w:val="20"/>
                <w:szCs w:val="20"/>
                <w:color w:val="auto"/>
              </w:rPr>
            </w:pPr>
            <w:r>
              <w:rPr>
                <w:rFonts w:ascii="Arial" w:cs="Arial" w:eastAsia="Arial" w:hAnsi="Arial"/>
                <w:sz w:val="18"/>
                <w:szCs w:val="18"/>
                <w:color w:val="auto"/>
              </w:rPr>
              <w:t>MISCELLANEOUS</w:t>
            </w:r>
          </w:p>
        </w:tc>
        <w:tc>
          <w:tcPr>
            <w:tcW w:w="19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9.01.   Notices; Electronic Communications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9.02.</w:t>
            </w:r>
          </w:p>
        </w:tc>
        <w:tc>
          <w:tcPr>
            <w:tcW w:w="7220" w:type="dxa"/>
            <w:vAlign w:val="bottom"/>
          </w:tcPr>
          <w:p>
            <w:pPr>
              <w:ind w:left="120"/>
              <w:spacing w:after="0"/>
              <w:rPr>
                <w:sz w:val="20"/>
                <w:szCs w:val="20"/>
                <w:color w:val="auto"/>
              </w:rPr>
            </w:pPr>
            <w:r>
              <w:rPr>
                <w:rFonts w:ascii="Arial" w:cs="Arial" w:eastAsia="Arial" w:hAnsi="Arial"/>
                <w:sz w:val="18"/>
                <w:szCs w:val="18"/>
                <w:color w:val="auto"/>
              </w:rPr>
              <w:t>Waivers; Amendments</w:t>
            </w:r>
          </w:p>
        </w:tc>
        <w:tc>
          <w:tcPr>
            <w:tcW w:w="19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9.03.   Expenses; Indemnity; Damage Waiver</w:t>
            </w:r>
          </w:p>
        </w:tc>
        <w:tc>
          <w:tcPr>
            <w:tcW w:w="19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9.04.   Successors and Assigns</w:t>
            </w:r>
          </w:p>
        </w:tc>
        <w:tc>
          <w:tcPr>
            <w:tcW w:w="19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9.05.</w:t>
            </w:r>
          </w:p>
        </w:tc>
        <w:tc>
          <w:tcPr>
            <w:tcW w:w="7220" w:type="dxa"/>
            <w:vAlign w:val="bottom"/>
          </w:tcPr>
          <w:p>
            <w:pPr>
              <w:ind w:left="120"/>
              <w:spacing w:after="0"/>
              <w:rPr>
                <w:sz w:val="20"/>
                <w:szCs w:val="20"/>
                <w:color w:val="auto"/>
              </w:rPr>
            </w:pPr>
            <w:r>
              <w:rPr>
                <w:rFonts w:ascii="Arial" w:cs="Arial" w:eastAsia="Arial" w:hAnsi="Arial"/>
                <w:sz w:val="18"/>
                <w:szCs w:val="18"/>
                <w:color w:val="auto"/>
              </w:rPr>
              <w:t>Survival</w:t>
            </w:r>
          </w:p>
        </w:tc>
        <w:tc>
          <w:tcPr>
            <w:tcW w:w="19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19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9.07.</w:t>
            </w:r>
          </w:p>
        </w:tc>
        <w:tc>
          <w:tcPr>
            <w:tcW w:w="72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9.08.</w:t>
            </w:r>
          </w:p>
        </w:tc>
        <w:tc>
          <w:tcPr>
            <w:tcW w:w="7220" w:type="dxa"/>
            <w:vAlign w:val="bottom"/>
          </w:tcPr>
          <w:p>
            <w:pPr>
              <w:ind w:left="120"/>
              <w:spacing w:after="0"/>
              <w:rPr>
                <w:sz w:val="20"/>
                <w:szCs w:val="20"/>
                <w:color w:val="auto"/>
              </w:rPr>
            </w:pPr>
            <w:r>
              <w:rPr>
                <w:rFonts w:ascii="Arial" w:cs="Arial" w:eastAsia="Arial" w:hAnsi="Arial"/>
                <w:sz w:val="18"/>
                <w:szCs w:val="18"/>
                <w:color w:val="auto"/>
              </w:rPr>
              <w:t>Right of Setoff</w:t>
            </w:r>
          </w:p>
        </w:tc>
        <w:tc>
          <w:tcPr>
            <w:tcW w:w="19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9.09.   Governing Law; Jurisdiction; Etc</w:t>
            </w:r>
          </w:p>
        </w:tc>
        <w:tc>
          <w:tcPr>
            <w:tcW w:w="19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9.10.   WAIVER OF JURY TRIAL</w:t>
            </w:r>
          </w:p>
        </w:tc>
        <w:tc>
          <w:tcPr>
            <w:tcW w:w="19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9.11.</w:t>
            </w:r>
          </w:p>
        </w:tc>
        <w:tc>
          <w:tcPr>
            <w:tcW w:w="7220" w:type="dxa"/>
            <w:vAlign w:val="bottom"/>
          </w:tcPr>
          <w:p>
            <w:pPr>
              <w:ind w:left="120"/>
              <w:spacing w:after="0"/>
              <w:rPr>
                <w:sz w:val="20"/>
                <w:szCs w:val="20"/>
                <w:color w:val="auto"/>
              </w:rPr>
            </w:pPr>
            <w:r>
              <w:rPr>
                <w:rFonts w:ascii="Arial" w:cs="Arial" w:eastAsia="Arial" w:hAnsi="Arial"/>
                <w:sz w:val="18"/>
                <w:szCs w:val="18"/>
                <w:color w:val="auto"/>
              </w:rPr>
              <w:t>Judgment Currency</w:t>
            </w:r>
          </w:p>
        </w:tc>
        <w:tc>
          <w:tcPr>
            <w:tcW w:w="19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820" w:type="dxa"/>
            <w:vAlign w:val="bottom"/>
            <w:gridSpan w:val="2"/>
          </w:tcPr>
          <w:p>
            <w:pPr>
              <w:ind w:left="520"/>
              <w:spacing w:after="0"/>
              <w:rPr>
                <w:sz w:val="20"/>
                <w:szCs w:val="20"/>
                <w:color w:val="auto"/>
              </w:rPr>
            </w:pPr>
            <w:r>
              <w:rPr>
                <w:rFonts w:ascii="Arial" w:cs="Arial" w:eastAsia="Arial" w:hAnsi="Arial"/>
                <w:sz w:val="18"/>
                <w:szCs w:val="18"/>
                <w:color w:val="auto"/>
              </w:rPr>
              <w:t>SECTION 9.12.</w:t>
            </w:r>
          </w:p>
        </w:tc>
        <w:tc>
          <w:tcPr>
            <w:tcW w:w="7220" w:type="dxa"/>
            <w:vAlign w:val="bottom"/>
          </w:tcPr>
          <w:p>
            <w:pPr>
              <w:ind w:left="120"/>
              <w:spacing w:after="0"/>
              <w:rPr>
                <w:sz w:val="20"/>
                <w:szCs w:val="20"/>
                <w:color w:val="auto"/>
              </w:rPr>
            </w:pPr>
            <w:r>
              <w:rPr>
                <w:rFonts w:ascii="Arial" w:cs="Arial" w:eastAsia="Arial" w:hAnsi="Arial"/>
                <w:sz w:val="18"/>
                <w:szCs w:val="18"/>
                <w:color w:val="auto"/>
              </w:rPr>
              <w:t>Headings</w:t>
            </w:r>
          </w:p>
        </w:tc>
        <w:tc>
          <w:tcPr>
            <w:tcW w:w="19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9.13.   Treatment of Certain Information; No Fiduciary Duty; Confidentiality</w:t>
            </w:r>
          </w:p>
        </w:tc>
        <w:tc>
          <w:tcPr>
            <w:tcW w:w="19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9.14.   USA PATRIOT Act</w:t>
            </w:r>
          </w:p>
        </w:tc>
        <w:tc>
          <w:tcPr>
            <w:tcW w:w="19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9.15.   Acknowledgement and Consent to Bail-In of Affected Financial Institutions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9.16.   Certain ERISA Matters</w:t>
            </w:r>
          </w:p>
        </w:tc>
        <w:tc>
          <w:tcPr>
            <w:tcW w:w="19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9.17.   Acknowledgement Regarding Any Supported QFCs</w:t>
            </w:r>
          </w:p>
        </w:tc>
        <w:tc>
          <w:tcPr>
            <w:tcW w:w="19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9040" w:type="dxa"/>
            <w:vAlign w:val="bottom"/>
            <w:gridSpan w:val="3"/>
          </w:tcPr>
          <w:p>
            <w:pPr>
              <w:ind w:left="520"/>
              <w:spacing w:after="0"/>
              <w:rPr>
                <w:sz w:val="20"/>
                <w:szCs w:val="20"/>
                <w:color w:val="auto"/>
              </w:rPr>
            </w:pPr>
            <w:r>
              <w:rPr>
                <w:rFonts w:ascii="Arial" w:cs="Arial" w:eastAsia="Arial" w:hAnsi="Arial"/>
                <w:sz w:val="18"/>
                <w:szCs w:val="18"/>
                <w:color w:val="auto"/>
              </w:rPr>
              <w:t>SECTION 9.18.   Interest Rate Limitation</w:t>
            </w:r>
          </w:p>
        </w:tc>
        <w:tc>
          <w:tcPr>
            <w:tcW w:w="1920" w:type="dxa"/>
            <w:vAlign w:val="bottom"/>
          </w:tcPr>
          <w:p>
            <w:pPr>
              <w:jc w:val="right"/>
              <w:spacing w:after="0"/>
              <w:rPr>
                <w:sz w:val="20"/>
                <w:szCs w:val="20"/>
                <w:color w:val="auto"/>
              </w:rPr>
            </w:pPr>
            <w:r>
              <w:rPr>
                <w:rFonts w:ascii="Arial" w:cs="Arial" w:eastAsia="Arial" w:hAnsi="Arial"/>
                <w:sz w:val="18"/>
                <w:szCs w:val="18"/>
                <w:color w:val="auto"/>
              </w:rPr>
              <w:t>148</w:t>
            </w:r>
          </w:p>
        </w:tc>
      </w:tr>
    </w:tbl>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0"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1.01(a)</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w w:val="92"/>
              </w:rPr>
              <w:t>-  Approved Dealers and Approved Pricing Services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1.01(b)</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Commitments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1.01(c)</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  Industry Classification Group List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2.04</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  Swingline Lender Swingline Sublimit</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2.05</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  Issuing Bank LC Exposures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3.11</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  Material Agreements and Liens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3.12(a)</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Subsidiaries</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3.12(b)</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Investments</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SCHEDULE 6.08</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Transactions with Affiliates</w:t>
            </w: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EXHIBIT A</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B</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  Form of Borrowing Base Certificate</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EXHIBIT C</w:t>
            </w: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  Form of Borrowing Request</w:t>
            </w:r>
          </w:p>
        </w:tc>
      </w:tr>
    </w:tbl>
    <w:p>
      <w:pPr>
        <w:ind w:left="180"/>
        <w:spacing w:after="0"/>
        <w:rPr>
          <w:sz w:val="20"/>
          <w:szCs w:val="20"/>
          <w:color w:val="auto"/>
        </w:rPr>
        <w:sectPr>
          <w:pgSz w:w="11900" w:h="16838" w:orient="portrait"/>
          <w:cols w:equalWidth="0" w:num="1">
            <w:col w:w="10019"/>
          </w:cols>
          <w:pgMar w:left="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ind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SENIOR SECURED REVOLVING CREDIT AGREEMENT dated as of January 19, 2023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SIXTH STREET LENDING PARTNERS, a Delaware statutory trust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and ISSUING BANKS party hereto, and TRUIST BANK, as Administrative Agent.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17" w:lineRule="exact"/>
        <w:rPr>
          <w:sz w:val="20"/>
          <w:szCs w:val="20"/>
          <w:color w:val="auto"/>
        </w:rPr>
      </w:pPr>
    </w:p>
    <w:p>
      <w:pPr>
        <w:jc w:val="both"/>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is, or the Loans constituting such Borrowing are, denominated in Dollars and bearing interest at a rate determined by reference to the Alternate Base Rate.</w:t>
      </w:r>
    </w:p>
    <w:p>
      <w:pPr>
        <w:spacing w:after="0" w:line="170"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Covered Debt Balance</w:t>
      </w:r>
      <w:r>
        <w:rPr>
          <w:rFonts w:ascii="Arial" w:cs="Arial" w:eastAsia="Arial" w:hAnsi="Arial"/>
          <w:sz w:val="18"/>
          <w:szCs w:val="18"/>
          <w:color w:val="auto"/>
        </w:rPr>
        <w:t xml:space="preserve">” means, on any date, the aggregate Covered Debt Amount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Term Benchmark Rate</w:t>
      </w:r>
      <w:r>
        <w:rPr>
          <w:rFonts w:ascii="Arial" w:cs="Arial" w:eastAsia="Arial" w:hAnsi="Arial"/>
          <w:sz w:val="18"/>
          <w:szCs w:val="18"/>
          <w:color w:val="auto"/>
        </w:rPr>
        <w:t>” means an interest rate per annum (rounded upwards, if necessary, to the next 1/100 of 1%) equal to the Term Benchmark Rate for such Interest Period for such Currency.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Truist, in its capacity as administrative agent for the Lenders hereunder.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Appraisal Testing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5.12(b)(ii)(E)(y)</w:t>
      </w:r>
      <w:r>
        <w:rPr>
          <w:rFonts w:ascii="Arial" w:cs="Arial" w:eastAsia="Arial" w:hAnsi="Arial"/>
          <w:sz w:val="18"/>
          <w:szCs w:val="18"/>
          <w:color w:val="auto"/>
        </w:rPr>
        <w:t>.</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Account</w:t>
      </w:r>
      <w:r>
        <w:rPr>
          <w:rFonts w:ascii="Arial" w:cs="Arial" w:eastAsia="Arial" w:hAnsi="Arial"/>
          <w:sz w:val="18"/>
          <w:szCs w:val="18"/>
          <w:color w:val="auto"/>
        </w:rPr>
        <w:t>” means, for each Currency, an account in respect of such Currency designated by the Administrative Agent in a notice to the Borrower and the Lenders.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4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at any time, another Person that directly, or indirectly through one or more intermediaries, Controls or is Controlled by or is under common Control with the Person specified at such time.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19" w:lineRule="exact"/>
        <w:rPr>
          <w:sz w:val="20"/>
          <w:szCs w:val="20"/>
          <w:color w:val="auto"/>
        </w:rPr>
      </w:pPr>
    </w:p>
    <w:p>
      <w:pPr>
        <w:jc w:val="both"/>
        <w:ind w:left="5700"/>
        <w:spacing w:after="0"/>
        <w:tabs>
          <w:tab w:leader="none" w:pos="89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1" w:name="page12"/>
    <w:bookmarkEnd w:id="11"/>
    <w:p>
      <w:pPr>
        <w:ind w:right="60"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Affiliate Agreements</w:t>
      </w:r>
      <w:r>
        <w:rPr>
          <w:rFonts w:ascii="Arial" w:cs="Arial" w:eastAsia="Arial" w:hAnsi="Arial"/>
          <w:sz w:val="17"/>
          <w:szCs w:val="17"/>
          <w:color w:val="auto"/>
        </w:rPr>
        <w:t>” means collectively, (a) the Administration Agreement dated as of June 28, 2022, between the Borrower and the External Manager, (b) the Investment Advisory and Management Agreement dated as of June 28, 2022 between the Borrower and the External Manager and (c) the Trademark License Agreement dated as of June 27, 2022, between the Borrower and Austin IP, LLC.</w:t>
      </w:r>
    </w:p>
    <w:p>
      <w:pPr>
        <w:spacing w:after="0" w:line="165" w:lineRule="exact"/>
        <w:rPr>
          <w:sz w:val="20"/>
          <w:szCs w:val="20"/>
          <w:color w:val="auto"/>
        </w:rPr>
      </w:pPr>
    </w:p>
    <w:p>
      <w:pPr>
        <w:ind w:right="12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Agreed Foreign Currency</w:t>
      </w:r>
      <w:r>
        <w:rPr>
          <w:rFonts w:ascii="Arial" w:cs="Arial" w:eastAsia="Arial" w:hAnsi="Arial"/>
          <w:sz w:val="17"/>
          <w:szCs w:val="17"/>
          <w:color w:val="auto"/>
        </w:rPr>
        <w:t>” 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freely transferable and convertible into Dollars in the relevant local market, and (b)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right="16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greater of (a) zero and (b) the highest of (i) the Prime Rate in effect on such day, (ii) the Federal Funds Effective Rate for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1/2 of 1% and (iii) the rate per annum equal to 1%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Term SOFR for an interest period of one (1) month for such day.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thereof), respectively.</w:t>
      </w:r>
    </w:p>
    <w:p>
      <w:pPr>
        <w:spacing w:after="0" w:line="176"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Dollar Percentage</w:t>
      </w:r>
      <w:r>
        <w:rPr>
          <w:rFonts w:ascii="Arial" w:cs="Arial" w:eastAsia="Arial" w:hAnsi="Arial"/>
          <w:sz w:val="18"/>
          <w:szCs w:val="18"/>
          <w:color w:val="auto"/>
        </w:rPr>
        <w:t>”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84" w:lineRule="exact"/>
        <w:rPr>
          <w:sz w:val="20"/>
          <w:szCs w:val="20"/>
          <w:color w:val="auto"/>
        </w:rPr>
      </w:pPr>
    </w:p>
    <w:p>
      <w:pPr>
        <w:ind w:right="3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Financial Statements</w:t>
      </w:r>
      <w:r>
        <w:rPr>
          <w:rFonts w:ascii="Arial" w:cs="Arial" w:eastAsia="Arial" w:hAnsi="Arial"/>
          <w:sz w:val="16"/>
          <w:szCs w:val="16"/>
          <w:color w:val="auto"/>
        </w:rPr>
        <w:t xml:space="preserve">” means, as at any date, the most-recent audited financial statements of the Borrower delivered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the delivery to the Lenders of new audited financial statements of the Borrower a Material Adverse Change (the “</w:t>
      </w:r>
      <w:r>
        <w:rPr>
          <w:rFonts w:ascii="Arial" w:cs="Arial" w:eastAsia="Arial" w:hAnsi="Arial"/>
          <w:sz w:val="16"/>
          <w:szCs w:val="16"/>
          <w:u w:val="single" w:color="auto"/>
          <w:color w:val="auto"/>
        </w:rPr>
        <w:t>Pre-existing MAC</w:t>
      </w:r>
      <w:r>
        <w:rPr>
          <w:rFonts w:ascii="Arial" w:cs="Arial" w:eastAsia="Arial" w:hAnsi="Arial"/>
          <w:sz w:val="16"/>
          <w:szCs w:val="16"/>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90" w:lineRule="exact"/>
        <w:rPr>
          <w:sz w:val="20"/>
          <w:szCs w:val="20"/>
          <w:color w:val="auto"/>
        </w:rPr>
      </w:pPr>
    </w:p>
    <w:p>
      <w:pPr>
        <w:jc w:val="both"/>
        <w:ind w:left="5700"/>
        <w:spacing w:after="0"/>
        <w:tabs>
          <w:tab w:leader="none" w:pos="89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2" w:name="page13"/>
    <w:bookmarkEnd w:id="12"/>
    <w:p>
      <w:pPr>
        <w:ind w:right="6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(a) if the Borrowing Base (as of the most recently delivered Borrowing Base Certificate) is equal to or greater than 1.60 times the Combined Debt Amount, (i) with respect to any ABR Loan, 0.75% per annum; (ii) with respect to any Term Benchmark Loan,</w:t>
      </w:r>
    </w:p>
    <w:p>
      <w:pPr>
        <w:ind w:right="40"/>
        <w:spacing w:after="0" w:line="268" w:lineRule="auto"/>
        <w:rPr>
          <w:sz w:val="20"/>
          <w:szCs w:val="20"/>
          <w:color w:val="auto"/>
        </w:rPr>
      </w:pPr>
      <w:r>
        <w:rPr>
          <w:rFonts w:ascii="Arial" w:cs="Arial" w:eastAsia="Arial" w:hAnsi="Arial"/>
          <w:sz w:val="17"/>
          <w:szCs w:val="17"/>
          <w:color w:val="auto"/>
        </w:rPr>
        <w:t xml:space="preserve">1.75% per annum; and (iii) with respect to any RFR Loan 1.75% per annum; and (b) if the Borrowing Base (as of the most recently delivered Borrowing Base Certificate) is less than 1.60 times the Combined Debt Amount (i) with respect to any ABR Loan, 1.000% per annum; (ii) with respect to any Term Benchmark Loan, 2.000% per annum; and (iii) with respect to any RFR Loan 2.000% per annum. Any change in the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Borrowing Base Certificate has not been delivered in accordance with </w:t>
      </w:r>
      <w:r>
        <w:rPr>
          <w:rFonts w:ascii="Arial" w:cs="Arial" w:eastAsia="Arial" w:hAnsi="Arial"/>
          <w:sz w:val="17"/>
          <w:szCs w:val="17"/>
          <w:u w:val="single" w:color="auto"/>
          <w:color w:val="auto"/>
        </w:rPr>
        <w:t>Section 5.01(d)</w:t>
      </w:r>
      <w:r>
        <w:rPr>
          <w:rFonts w:ascii="Arial" w:cs="Arial" w:eastAsia="Arial" w:hAnsi="Arial"/>
          <w:sz w:val="17"/>
          <w:szCs w:val="17"/>
          <w:color w:val="auto"/>
        </w:rPr>
        <w:t xml:space="preserve">, then from and including the day immediately succeeding the date on which such Borrowing Base Certificate was required to be delivered, the Applicable Margin shall be the Applicable Margin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to and including the date on which the required Borrowing Base Certificate is delivered.</w:t>
      </w:r>
    </w:p>
    <w:p>
      <w:pPr>
        <w:spacing w:after="0" w:line="183"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Multicurrency Percentage</w:t>
      </w:r>
      <w:r>
        <w:rPr>
          <w:rFonts w:ascii="Arial" w:cs="Arial" w:eastAsia="Arial" w:hAnsi="Arial"/>
          <w:sz w:val="18"/>
          <w:szCs w:val="18"/>
          <w:color w:val="auto"/>
        </w:rPr>
        <w:t>”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187" w:lineRule="exact"/>
        <w:rPr>
          <w:sz w:val="20"/>
          <w:szCs w:val="20"/>
          <w:color w:val="auto"/>
        </w:rPr>
      </w:pPr>
    </w:p>
    <w:p>
      <w:pPr>
        <w:jc w:val="both"/>
        <w:ind w:right="4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w:t>
      </w:r>
    </w:p>
    <w:p>
      <w:pPr>
        <w:spacing w:after="0" w:line="184"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Dealer</w:t>
      </w:r>
      <w:r>
        <w:rPr>
          <w:rFonts w:ascii="Arial" w:cs="Arial" w:eastAsia="Arial" w:hAnsi="Arial"/>
          <w:sz w:val="16"/>
          <w:szCs w:val="16"/>
          <w:color w:val="auto"/>
        </w:rPr>
        <w:t xml:space="preserve">” means (a) in the case of any Portfolio Investment that is not a U.S. Government Security, a bank or a broker-dealer registered under the Securities Exchange Act of 1934, as amended, of nationally recognized standing or an Affiliate thereof, (b) in the case of a U.S. Government Security, any primary dealer in U.S. Government Securities, and (c) in the case of any foreign Portfolio Investment, any foreign bank or broker-dealer of internationally recognized standing or an Affiliate thereof, in the case of each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as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1.01(a)</w:t>
      </w:r>
      <w:r>
        <w:rPr>
          <w:rFonts w:ascii="Arial" w:cs="Arial" w:eastAsia="Arial" w:hAnsi="Arial"/>
          <w:sz w:val="16"/>
          <w:szCs w:val="16"/>
          <w:color w:val="auto"/>
        </w:rPr>
        <w:t xml:space="preserve"> or any other bank or broker-dealer or Affiliate thereof acceptable to the Administrative Agent in its reasonable determination.</w:t>
      </w:r>
    </w:p>
    <w:p>
      <w:pPr>
        <w:spacing w:after="0" w:line="161" w:lineRule="exact"/>
        <w:rPr>
          <w:sz w:val="20"/>
          <w:szCs w:val="20"/>
          <w:color w:val="auto"/>
        </w:rPr>
      </w:pPr>
    </w:p>
    <w:p>
      <w:pPr>
        <w:jc w:val="both"/>
        <w:ind w:right="1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Pricing Service</w:t>
      </w:r>
      <w:r>
        <w:rPr>
          <w:rFonts w:ascii="Arial" w:cs="Arial" w:eastAsia="Arial" w:hAnsi="Arial"/>
          <w:sz w:val="16"/>
          <w:szCs w:val="16"/>
          <w:color w:val="auto"/>
        </w:rPr>
        <w:t xml:space="preserve">” means a pricing or quotation service as set forth in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49"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Third-Party Appraiser</w:t>
      </w:r>
      <w:r>
        <w:rPr>
          <w:rFonts w:ascii="Arial" w:cs="Arial" w:eastAsia="Arial" w:hAnsi="Arial"/>
          <w:sz w:val="18"/>
          <w:szCs w:val="18"/>
          <w:color w:val="auto"/>
        </w:rPr>
        <w:t>”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w:t>
      </w:r>
    </w:p>
    <w:p>
      <w:pPr>
        <w:spacing w:after="0" w:line="119" w:lineRule="exact"/>
        <w:rPr>
          <w:sz w:val="20"/>
          <w:szCs w:val="20"/>
          <w:color w:val="auto"/>
        </w:rPr>
      </w:pPr>
    </w:p>
    <w:p>
      <w:pPr>
        <w:jc w:val="both"/>
        <w:ind w:left="5700"/>
        <w:spacing w:after="0"/>
        <w:tabs>
          <w:tab w:leader="none" w:pos="89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3" w:name="page14"/>
    <w:bookmarkEnd w:id="13"/>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92"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assignee (with the consent of any party whose consent is required by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and accepted by the Administrative Agent,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(with adjustments thereto to reflect the Classes of Commitments and/or Loans being assigned or outstanding at the time of the respective assignment) or any other form approved by the Administrative Agent and, so long as no Specified Event of Default has occurred and is continuing, the Borrower.</w:t>
      </w:r>
    </w:p>
    <w:p>
      <w:pPr>
        <w:spacing w:after="0" w:line="17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2.08(e)(i)</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Dollars</w:t>
      </w:r>
      <w:r>
        <w:rPr>
          <w:rFonts w:ascii="Arial" w:cs="Arial" w:eastAsia="Arial" w:hAnsi="Arial"/>
          <w:sz w:val="18"/>
          <w:szCs w:val="18"/>
          <w:color w:val="auto"/>
        </w:rPr>
        <w:t>” means the lawful currency of The Commonwealth of Australia.</w:t>
      </w:r>
    </w:p>
    <w:p>
      <w:pPr>
        <w:spacing w:after="0" w:line="225" w:lineRule="exact"/>
        <w:rPr>
          <w:sz w:val="20"/>
          <w:szCs w:val="20"/>
          <w:color w:val="auto"/>
        </w:rPr>
      </w:pPr>
    </w:p>
    <w:p>
      <w:pPr>
        <w:ind w:left="4"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(x) the Commitment Termination Date and (y) the date of termination of all Commitments pursuant to Article VII.</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the then-current Benchmark for any Currency, as applicable,</w:t>
      </w:r>
    </w:p>
    <w:p>
      <w:pPr>
        <w:spacing w:after="0" w:line="46" w:lineRule="exact"/>
        <w:rPr>
          <w:sz w:val="20"/>
          <w:szCs w:val="20"/>
          <w:color w:val="auto"/>
        </w:rPr>
      </w:pPr>
    </w:p>
    <w:p>
      <w:pPr>
        <w:ind w:left="4" w:right="60" w:hanging="4"/>
        <w:spacing w:after="0" w:line="253"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Arial" w:cs="Arial" w:eastAsia="Arial" w:hAnsi="Arial"/>
          <w:sz w:val="18"/>
          <w:szCs w:val="18"/>
          <w:u w:val="single" w:color="auto"/>
          <w:color w:val="auto"/>
        </w:rPr>
        <w:t>Section 2.20(d)</w:t>
      </w:r>
      <w:r>
        <w:rPr>
          <w:rFonts w:ascii="Arial" w:cs="Arial" w:eastAsia="Arial" w:hAnsi="Arial"/>
          <w:sz w:val="18"/>
          <w:szCs w:val="18"/>
          <w:color w:val="auto"/>
        </w:rPr>
        <w:t>.</w:t>
      </w:r>
    </w:p>
    <w:p>
      <w:pPr>
        <w:spacing w:after="0" w:line="191"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left="4" w:right="1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5" w:lineRule="exact"/>
        <w:rPr>
          <w:sz w:val="20"/>
          <w:szCs w:val="20"/>
          <w:color w:val="auto"/>
        </w:rPr>
      </w:pPr>
    </w:p>
    <w:p>
      <w:pPr>
        <w:jc w:val="both"/>
        <w:ind w:left="5704"/>
        <w:spacing w:after="0"/>
        <w:tabs>
          <w:tab w:leader="none" w:pos="8964"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4" w:name="page15"/>
    <w:bookmarkEnd w:id="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Base Rate Term SOFR Determination Day</w:t>
      </w:r>
      <w:r>
        <w:rPr>
          <w:rFonts w:ascii="Arial" w:cs="Arial" w:eastAsia="Arial" w:hAnsi="Arial"/>
          <w:sz w:val="18"/>
          <w:szCs w:val="18"/>
          <w:color w:val="auto"/>
        </w:rPr>
        <w:t>” has the meaning set forth in the definition of “Term SOFR”.</w:t>
      </w:r>
    </w:p>
    <w:p>
      <w:pPr>
        <w:spacing w:after="0" w:line="225"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w:t>
      </w:r>
      <w:r>
        <w:rPr>
          <w:rFonts w:ascii="Arial" w:cs="Arial" w:eastAsia="Arial" w:hAnsi="Arial"/>
          <w:sz w:val="17"/>
          <w:szCs w:val="17"/>
          <w:color w:val="auto"/>
        </w:rPr>
        <w:t xml:space="preserve">” means, initially, with respect to any Loans denominated in (a) Dollars, the Term SOFR Reference Rate, (b) Sterling or Swiss Francs, the Daily Simple RFR for such Currency, and (c) any other Agreed Foreign Currency, the Adjusted Term Benchmark Rate for such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Benchmark Transition Event or an Other Benchmark Rate Election and its related Benchmark Replacement Date have occurred with respect to the Term SOFR Reference Rate, the Daily Simple RFR or the Adjusted Term Benchmark Rate for such Currency, or the then current Benchmark, as applicable, then “Benchmark” shall mean the applicable Benchmark Replacement for such Currency to the extent that such Benchmark Replacement has replaced such prior benchmark rate pursuant to clause (a) of </w:t>
      </w:r>
      <w:r>
        <w:rPr>
          <w:rFonts w:ascii="Arial" w:cs="Arial" w:eastAsia="Arial" w:hAnsi="Arial"/>
          <w:sz w:val="17"/>
          <w:szCs w:val="17"/>
          <w:u w:val="single" w:color="auto"/>
          <w:color w:val="auto"/>
        </w:rPr>
        <w:t>Section 2.20</w:t>
      </w:r>
      <w:r>
        <w:rPr>
          <w:rFonts w:ascii="Arial" w:cs="Arial" w:eastAsia="Arial" w:hAnsi="Arial"/>
          <w:sz w:val="17"/>
          <w:szCs w:val="17"/>
          <w:color w:val="auto"/>
        </w:rPr>
        <w:t>.</w:t>
      </w:r>
    </w:p>
    <w:p>
      <w:pPr>
        <w:spacing w:after="0" w:line="178"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means, with respect to any Benchmark Transition Event for any then-current Benchmark or Other Benchmark Rate Election, the first alternative set forth in the order below that can be determined by the Administrative Agent for the applicable Benchmark Replacement Date; provided that, other than in the case of the replacement of the Term SOFR Reference Rate, but including in connection with any Other Benchmark Rate Election, such alternative shall be the alternative set forth in clause (2) below:</w:t>
      </w:r>
    </w:p>
    <w:p>
      <w:pPr>
        <w:spacing w:after="0" w:line="63" w:lineRule="exact"/>
        <w:rPr>
          <w:sz w:val="20"/>
          <w:szCs w:val="20"/>
          <w:color w:val="auto"/>
        </w:rPr>
      </w:pPr>
    </w:p>
    <w:p>
      <w:pPr>
        <w:ind w:left="1240" w:hanging="253"/>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sum of (a) Daily Simple SOFR and (b) 0.10%; and</w:t>
      </w:r>
    </w:p>
    <w:p>
      <w:pPr>
        <w:spacing w:after="0" w:line="225" w:lineRule="exact"/>
        <w:rPr>
          <w:rFonts w:ascii="Arial" w:cs="Arial" w:eastAsia="Arial" w:hAnsi="Arial"/>
          <w:sz w:val="18"/>
          <w:szCs w:val="18"/>
          <w:color w:val="auto"/>
        </w:rPr>
      </w:pPr>
    </w:p>
    <w:p>
      <w:pPr>
        <w:ind w:right="240" w:firstLine="987"/>
        <w:spacing w:after="0" w:line="275" w:lineRule="auto"/>
        <w:tabs>
          <w:tab w:leader="none" w:pos="124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and (b) the related Benchmark Replacement Adjustment.</w:t>
      </w:r>
    </w:p>
    <w:p>
      <w:pPr>
        <w:spacing w:after="0" w:line="176"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If the Benchmark Replacement as determined pursuant to clause (1) or (2) of this definition would be less than the Floor, the Benchmark Replacement will be deemed to be the Floor for the purposes of this Agreement and the other Loan Documents.</w:t>
      </w:r>
    </w:p>
    <w:p>
      <w:pPr>
        <w:spacing w:after="0" w:line="170" w:lineRule="exact"/>
        <w:rPr>
          <w:sz w:val="20"/>
          <w:szCs w:val="20"/>
          <w:color w:val="auto"/>
        </w:rPr>
      </w:pPr>
    </w:p>
    <w:p>
      <w:pPr>
        <w:ind w:right="12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for a Currency with an Unadjusted Benchmark Replacement for any applicable Interest Period and Available Tenor for any such setting of such Unadjusted Benchmark Replacement (excluding, for the avoidance of doubt, Daily Simple SOFR), the spread adjustment, or method for calculating or determining such spread adjustment (which may be a positive or negative value or zero) that has been selected by the Administrative Agent and the Borrower for such Currency giving due consideration to (i) any selection or recommendation of a spread adjustment, or method for calculating or determining such spread adjustment, for the replacement of such Benchmark with the applicable Unadjusted Benchmark Replacement by the Relevant</w:t>
      </w:r>
    </w:p>
    <w:p>
      <w:pPr>
        <w:spacing w:after="0" w:line="97" w:lineRule="exact"/>
        <w:rPr>
          <w:sz w:val="20"/>
          <w:szCs w:val="20"/>
          <w:color w:val="auto"/>
        </w:rPr>
      </w:pPr>
    </w:p>
    <w:p>
      <w:pPr>
        <w:jc w:val="both"/>
        <w:ind w:left="5700"/>
        <w:spacing w:after="0"/>
        <w:tabs>
          <w:tab w:leader="none" w:pos="89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5" w:name="page16"/>
    <w:bookmarkEnd w:id="15"/>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184"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a date and time determined by the Administrative Agent, which date shall be no later than the earliest to occur of the following events with respect to the then-current Benchmark:</w:t>
      </w:r>
    </w:p>
    <w:p>
      <w:pPr>
        <w:spacing w:after="0" w:line="170" w:lineRule="exact"/>
        <w:rPr>
          <w:sz w:val="20"/>
          <w:szCs w:val="20"/>
          <w:color w:val="auto"/>
        </w:rPr>
      </w:pPr>
    </w:p>
    <w:p>
      <w:pPr>
        <w:ind w:left="1240" w:hanging="25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case of clause (1) or (2) of the definition of “Benchmark Transition Event,” the later of</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the date of the public statement or publication of information referenced therein; and</w:t>
      </w:r>
    </w:p>
    <w:p>
      <w:pPr>
        <w:spacing w:after="0" w:line="225" w:lineRule="exact"/>
        <w:rPr>
          <w:sz w:val="20"/>
          <w:szCs w:val="20"/>
          <w:color w:val="auto"/>
        </w:rPr>
      </w:pPr>
    </w:p>
    <w:p>
      <w:pPr>
        <w:ind w:right="260" w:firstLine="987"/>
        <w:spacing w:after="0" w:line="277" w:lineRule="auto"/>
        <w:tabs>
          <w:tab w:leader="none" w:pos="1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170" w:lineRule="exact"/>
        <w:rPr>
          <w:sz w:val="20"/>
          <w:szCs w:val="20"/>
          <w:color w:val="auto"/>
        </w:rPr>
      </w:pPr>
    </w:p>
    <w:p>
      <w:pPr>
        <w:ind w:right="140" w:firstLine="987"/>
        <w:spacing w:after="0" w:line="296" w:lineRule="auto"/>
        <w:tabs>
          <w:tab w:leader="none" w:pos="124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 or</w:t>
      </w:r>
    </w:p>
    <w:p>
      <w:pPr>
        <w:spacing w:after="0" w:line="161" w:lineRule="exact"/>
        <w:rPr>
          <w:rFonts w:ascii="Arial" w:cs="Arial" w:eastAsia="Arial" w:hAnsi="Arial"/>
          <w:sz w:val="16"/>
          <w:szCs w:val="16"/>
          <w:color w:val="auto"/>
        </w:rPr>
      </w:pPr>
    </w:p>
    <w:p>
      <w:pPr>
        <w:ind w:right="420" w:firstLine="987"/>
        <w:spacing w:after="0" w:line="263" w:lineRule="auto"/>
        <w:tabs>
          <w:tab w:leader="none" w:pos="124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an Other Benchmark Rate Election, the fifth (5th) Business Day after the date notice of such Other Benchmark Rate Election is provided to the Lenders, so long as the Administrative Agent has not received, by such time, written notice of objection to such Other Benchmark Rate Election, as applicable, from Lenders comprising the Required Lenders.</w:t>
      </w:r>
    </w:p>
    <w:p>
      <w:pPr>
        <w:spacing w:after="0" w:line="184"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For the avoidance of doubt, the “Benchmark Replacement Date” will be deemed to have occurred in the case of clause (1) or (2) of this definition with respect to any Benchmark upon the occurrence of the applicable event or events set forth therein with respect to all then-current Available Tenors of such Benchmark (or the published component used in the calculation thereof).</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then-current Benchmark, the occurrence of one or more of the following events with respect to such Benchmark:</w:t>
      </w:r>
    </w:p>
    <w:p>
      <w:pPr>
        <w:spacing w:after="0" w:line="62" w:lineRule="exact"/>
        <w:rPr>
          <w:sz w:val="20"/>
          <w:szCs w:val="20"/>
          <w:color w:val="auto"/>
        </w:rPr>
      </w:pPr>
    </w:p>
    <w:p>
      <w:pPr>
        <w:jc w:val="both"/>
        <w:ind w:right="80" w:firstLine="987"/>
        <w:spacing w:after="0" w:line="259"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19" w:lineRule="exact"/>
        <w:rPr>
          <w:sz w:val="20"/>
          <w:szCs w:val="20"/>
          <w:color w:val="auto"/>
        </w:rPr>
      </w:pPr>
    </w:p>
    <w:p>
      <w:pPr>
        <w:jc w:val="both"/>
        <w:ind w:left="5700"/>
        <w:spacing w:after="0"/>
        <w:tabs>
          <w:tab w:leader="none" w:pos="89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6" w:name="page17"/>
    <w:bookmarkEnd w:id="16"/>
    <w:p>
      <w:pPr>
        <w:ind w:right="20" w:firstLine="987"/>
        <w:spacing w:after="0" w:line="271" w:lineRule="auto"/>
        <w:tabs>
          <w:tab w:leader="none" w:pos="1246"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public statement or publication of information by the regulatory supervisor for the administrator of such Benchmark (or the published component used in the calculation thereof), the Board or the Federal Reserve Bank of New York, as applicable, the central bank for the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178" w:lineRule="exact"/>
        <w:rPr>
          <w:rFonts w:ascii="Arial" w:cs="Arial" w:eastAsia="Arial" w:hAnsi="Arial"/>
          <w:sz w:val="17"/>
          <w:szCs w:val="17"/>
          <w:color w:val="auto"/>
        </w:rPr>
      </w:pPr>
    </w:p>
    <w:p>
      <w:pPr>
        <w:ind w:right="20" w:firstLine="987"/>
        <w:spacing w:after="0" w:line="259"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7"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jc w:val="both"/>
        <w:ind w:right="2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xml:space="preserve">” means, with respect to any then-current Benchmark, the period (if any) (x) beginning at the time that a Benchmark Replacement Date has occurred with respect to such Benchmark if, at such time, no Benchmark Replacement has replaced such then-current Benchmark for all purposes hereunder and under any other Loan Document in accordance with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and (y) ending at the time that a Benchmark Replacement has replaced such then-current Benchmark for all purposes hereunder and under any other Loan Document in accordance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211"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Governors of the Federal Reserve System of the United States of America (or any successor thereof).</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158" w:lineRule="exact"/>
        <w:rPr>
          <w:sz w:val="20"/>
          <w:szCs w:val="20"/>
          <w:color w:val="auto"/>
        </w:rPr>
      </w:pPr>
    </w:p>
    <w:p>
      <w:pPr>
        <w:jc w:val="both"/>
        <w:ind w:left="5700"/>
        <w:spacing w:after="0"/>
        <w:tabs>
          <w:tab w:leader="none" w:pos="89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7" w:name="page18"/>
    <w:bookmarkEnd w:id="17"/>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Borrower Asset Coverage Ratio</w:t>
      </w:r>
      <w:r>
        <w:rPr>
          <w:rFonts w:ascii="Arial" w:cs="Arial" w:eastAsia="Arial" w:hAnsi="Arial"/>
          <w:sz w:val="18"/>
          <w:szCs w:val="18"/>
          <w:color w:val="auto"/>
        </w:rPr>
        <w:t>” means the ratio, determined for the Obligors, without duplication, of (a) (i) Total Assets minus (ii) Total Assets Concentration Limitation to (b) Total Secured Debt.</w:t>
      </w:r>
    </w:p>
    <w:p>
      <w:pPr>
        <w:spacing w:after="0" w:line="170"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all Syndicated ABR Loans of the same Class made, converted or continued on the same date, (b) all Term Benchmark Loans of the same Class denominated in the same Currency that have the same Interest Period, (c) all RFR Loans of the same Class and Type denominated in the same Currency that have the same Interest Period or (d) a Swingline Loan.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of a Financial Officer of the Borrower,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shall be reasonably satisfactory to the Administrative Agent) and appropriately completed.</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at any date on which the same is determined, the amount, if any, that (a) the aggregate Covered Debt Amount as of such date exceeds (b) the Borrowing Base as of such date.</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Syndicated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that is not a Saturday, Sunday or other day on which commercial banks in New York City are authorized or required by law to remain closed, provided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spacing w:after="0" w:line="164"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Calculation Amount</w:t>
      </w:r>
      <w:r>
        <w:rPr>
          <w:rFonts w:ascii="Arial" w:cs="Arial" w:eastAsia="Arial" w:hAnsi="Arial"/>
          <w:sz w:val="16"/>
          <w:szCs w:val="16"/>
          <w:color w:val="auto"/>
        </w:rPr>
        <w:t xml:space="preserve">” shall mean, as of the end of any Testing Period, an amount equal to the greater of: (a) (i) 125% of the Adjusted Covered Debt Balance (as of the end of such Testing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more than 25% (or, if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applies, 10%, or as near thereto as reasonably practicable) of the aggregate Value of the Unquoted Investments in the Borrowing Base be tested in respect of any applicable Testing Period.</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58" w:lineRule="exact"/>
        <w:rPr>
          <w:sz w:val="20"/>
          <w:szCs w:val="20"/>
          <w:color w:val="auto"/>
        </w:rPr>
      </w:pPr>
    </w:p>
    <w:p>
      <w:pPr>
        <w:jc w:val="both"/>
        <w:ind w:left="5700"/>
        <w:spacing w:after="0"/>
        <w:tabs>
          <w:tab w:leader="none" w:pos="89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8" w:name="page19"/>
    <w:bookmarkEnd w:id="18"/>
    <w:p>
      <w:pPr>
        <w:ind w:right="4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CAM Exchange Date</w:t>
      </w:r>
      <w:r>
        <w:rPr>
          <w:rFonts w:ascii="Arial" w:cs="Arial" w:eastAsia="Arial" w:hAnsi="Arial"/>
          <w:sz w:val="16"/>
          <w:szCs w:val="16"/>
          <w:color w:val="auto"/>
        </w:rPr>
        <w:t xml:space="preserve">” means the date on which any Event of Default referred to in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occur or the date on which the Borrower receives written notice from the Administrative Agent that any Event of Default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has occurred.</w:t>
      </w:r>
    </w:p>
    <w:p>
      <w:pPr>
        <w:spacing w:after="0" w:line="124"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CAM Percentage</w:t>
      </w:r>
      <w:r>
        <w:rPr>
          <w:rFonts w:ascii="Arial" w:cs="Arial" w:eastAsia="Arial" w:hAnsi="Arial"/>
          <w:sz w:val="17"/>
          <w:szCs w:val="17"/>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single currency of Canada.</w:t>
      </w:r>
    </w:p>
    <w:p>
      <w:pPr>
        <w:spacing w:after="0" w:line="225" w:lineRule="exact"/>
        <w:rPr>
          <w:sz w:val="20"/>
          <w:szCs w:val="20"/>
          <w:color w:val="auto"/>
        </w:rPr>
      </w:pPr>
    </w:p>
    <w:p>
      <w:pPr>
        <w:ind w:right="8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Prime Rate</w:t>
      </w:r>
      <w:r>
        <w:rPr>
          <w:rFonts w:ascii="Arial" w:cs="Arial" w:eastAsia="Arial" w:hAnsi="Arial"/>
          <w:sz w:val="16"/>
          <w:szCs w:val="16"/>
          <w:color w:val="auto"/>
        </w:rPr>
        <w:t xml:space="preserv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of the above rates shall be less than 0%, such rate shall be deemed to be 0% for purposes of this Agreement. Any change in the Canadian Prime Rate due to a change in the PRIMCAN Index or CDOR shall be effective from and including the effective date of such change in the PRIMCAN Index or CDOR, respectively.</w:t>
      </w:r>
    </w:p>
    <w:p>
      <w:pPr>
        <w:spacing w:after="0" w:line="166"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Call Facility</w:t>
      </w:r>
      <w:r>
        <w:rPr>
          <w:rFonts w:ascii="Arial" w:cs="Arial" w:eastAsia="Arial" w:hAnsi="Arial"/>
          <w:sz w:val="17"/>
          <w:szCs w:val="17"/>
          <w:color w:val="auto"/>
        </w:rPr>
        <w:t xml:space="preserve">” means any debt facility of the Borrower secured to the extent permitted under </w:t>
      </w:r>
      <w:r>
        <w:rPr>
          <w:rFonts w:ascii="Arial" w:cs="Arial" w:eastAsia="Arial" w:hAnsi="Arial"/>
          <w:sz w:val="17"/>
          <w:szCs w:val="17"/>
          <w:u w:val="single" w:color="auto"/>
          <w:color w:val="auto"/>
        </w:rPr>
        <w:t>Section 6.02(h)</w:t>
      </w:r>
      <w:r>
        <w:rPr>
          <w:rFonts w:ascii="Arial" w:cs="Arial" w:eastAsia="Arial" w:hAnsi="Arial"/>
          <w:sz w:val="17"/>
          <w:szCs w:val="17"/>
          <w:color w:val="auto"/>
        </w:rPr>
        <w:t xml:space="preserve">, including the facility established by the Credit Agreement, dated September 1, 2022, by and among the Borrower, any other borrower becoming party thereto, each guarantor party thereto, each “General Partner” from time to time party thereto, the various financial institutions from time to time party thereto as lenders and Wells Fargo Bank, National Association as the administrative agent for the secured parties, letter of credit issuer and lead arranger (or any amendment, extension, renewal or replacement thereof secured to the extent permitted under </w:t>
      </w:r>
      <w:r>
        <w:rPr>
          <w:rFonts w:ascii="Arial" w:cs="Arial" w:eastAsia="Arial" w:hAnsi="Arial"/>
          <w:sz w:val="17"/>
          <w:szCs w:val="17"/>
          <w:u w:val="single" w:color="auto"/>
          <w:color w:val="auto"/>
        </w:rPr>
        <w:t>Section 6.02(h)</w:t>
      </w:r>
      <w:r>
        <w:rPr>
          <w:rFonts w:ascii="Arial" w:cs="Arial" w:eastAsia="Arial" w:hAnsi="Arial"/>
          <w:sz w:val="17"/>
          <w:szCs w:val="17"/>
          <w:color w:val="auto"/>
        </w:rPr>
        <w:t>).</w:t>
      </w:r>
    </w:p>
    <w:p>
      <w:pPr>
        <w:spacing w:after="0" w:line="176"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any immediately available funds in Dollars or in any currency other than Dollars (measured in terms of the Dollar Equivalent thereof) which is a freely convertible currency.</w:t>
      </w:r>
    </w:p>
    <w:p>
      <w:pPr>
        <w:spacing w:after="0" w:line="103"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9" w:name="page20"/>
    <w:bookmarkEnd w:id="19"/>
    <w:p>
      <w:pPr>
        <w:ind w:right="1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xml:space="preserve">” means, in respect of a Letter of Credit or any obligation hereunder, to provide and pledge cash collateral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at a location and pursuant to documentation in form and substance reasonably satisfactory to Administrative Agent and each Issuing Bank. “</w:t>
      </w:r>
      <w:r>
        <w:rPr>
          <w:rFonts w:ascii="Arial" w:cs="Arial" w:eastAsia="Arial" w:hAnsi="Arial"/>
          <w:sz w:val="18"/>
          <w:szCs w:val="18"/>
          <w:u w:val="single" w:color="auto"/>
          <w:color w:val="auto"/>
        </w:rPr>
        <w:t>Cash Collateral</w:t>
      </w:r>
      <w:r>
        <w:rPr>
          <w:rFonts w:ascii="Arial" w:cs="Arial" w:eastAsia="Arial" w:hAnsi="Arial"/>
          <w:sz w:val="18"/>
          <w:szCs w:val="18"/>
          <w:color w:val="auto"/>
        </w:rPr>
        <w:t>” and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 shall have meanings correlative to the foregoing and shall include the proceeds of such cash collateral and other credit support.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(other than Cash) that are one or more of the following obligations:</w:t>
      </w:r>
    </w:p>
    <w:p>
      <w:pPr>
        <w:spacing w:after="0" w:line="225" w:lineRule="exact"/>
        <w:rPr>
          <w:sz w:val="20"/>
          <w:szCs w:val="20"/>
          <w:color w:val="auto"/>
        </w:rPr>
      </w:pPr>
    </w:p>
    <w:p>
      <w:pPr>
        <w:ind w:left="1240" w:hanging="25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Government Securities, in each case maturing within one year from the date of acquisition thereof;</w:t>
      </w:r>
    </w:p>
    <w:p>
      <w:pPr>
        <w:spacing w:after="0" w:line="225" w:lineRule="exact"/>
        <w:rPr>
          <w:rFonts w:ascii="Arial" w:cs="Arial" w:eastAsia="Arial" w:hAnsi="Arial"/>
          <w:sz w:val="18"/>
          <w:szCs w:val="18"/>
          <w:color w:val="auto"/>
        </w:rPr>
      </w:pPr>
    </w:p>
    <w:p>
      <w:pPr>
        <w:ind w:right="500" w:firstLine="987"/>
        <w:spacing w:after="0" w:line="286" w:lineRule="auto"/>
        <w:tabs>
          <w:tab w:leader="none" w:pos="124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investments in commercial paper or other short-term corporate obligations maturing within 270 days from the date of acquisition thereof and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165" w:lineRule="exact"/>
        <w:rPr>
          <w:rFonts w:ascii="Arial" w:cs="Arial" w:eastAsia="Arial" w:hAnsi="Arial"/>
          <w:sz w:val="17"/>
          <w:szCs w:val="17"/>
          <w:color w:val="auto"/>
        </w:rPr>
      </w:pPr>
    </w:p>
    <w:p>
      <w:pPr>
        <w:ind w:right="60" w:firstLine="987"/>
        <w:spacing w:after="0" w:line="272"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177" w:lineRule="exact"/>
        <w:rPr>
          <w:rFonts w:ascii="Arial" w:cs="Arial" w:eastAsia="Arial" w:hAnsi="Arial"/>
          <w:sz w:val="17"/>
          <w:szCs w:val="17"/>
          <w:color w:val="auto"/>
        </w:rPr>
      </w:pPr>
    </w:p>
    <w:p>
      <w:pPr>
        <w:ind w:right="80" w:firstLine="987"/>
        <w:spacing w:after="0" w:line="257" w:lineRule="auto"/>
        <w:tabs>
          <w:tab w:leader="none" w:pos="1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or (ii) an Approved Dealer having (or being a member of a consolidated group having) at such date of acquisition, a credit rating of at least A-1 from S&amp;P and at least P-1 from Moody’s (or if only one of S&amp;P or Moody’s provides such rating, such investment shall also have an equivalent credit rating from any other rating agency);</w:t>
      </w:r>
    </w:p>
    <w:p>
      <w:pPr>
        <w:spacing w:after="0" w:line="187" w:lineRule="exact"/>
        <w:rPr>
          <w:rFonts w:ascii="Arial" w:cs="Arial" w:eastAsia="Arial" w:hAnsi="Arial"/>
          <w:sz w:val="18"/>
          <w:szCs w:val="18"/>
          <w:color w:val="auto"/>
        </w:rPr>
      </w:pPr>
    </w:p>
    <w:p>
      <w:pPr>
        <w:ind w:right="820" w:firstLine="987"/>
        <w:spacing w:after="0" w:line="342" w:lineRule="auto"/>
        <w:tabs>
          <w:tab w:leader="none" w:pos="1236"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investments in money market funds that invest solely, and which are restricted by their respective charters to invest solely, in investments of the type described in the immediately preceding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(including as to credit quality and maturity);</w:t>
      </w:r>
    </w:p>
    <w:p>
      <w:pPr>
        <w:spacing w:after="0" w:line="123" w:lineRule="exact"/>
        <w:rPr>
          <w:rFonts w:ascii="Arial" w:cs="Arial" w:eastAsia="Arial" w:hAnsi="Arial"/>
          <w:sz w:val="16"/>
          <w:szCs w:val="16"/>
          <w:color w:val="auto"/>
        </w:rPr>
      </w:pPr>
    </w:p>
    <w:p>
      <w:pPr>
        <w:ind w:right="520" w:firstLine="987"/>
        <w:spacing w:after="0" w:line="277" w:lineRule="auto"/>
        <w:tabs>
          <w:tab w:leader="none" w:pos="1216"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money market funds that have, at all times, credit ratings of “Aaa” and “MR1+” by Moody’s and “AAAm” or “Aam-G” by S&amp;P, respectively; and</w:t>
      </w:r>
    </w:p>
    <w:p>
      <w:pPr>
        <w:spacing w:after="0" w:line="103"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20" w:name="page21"/>
    <w:bookmarkEnd w:id="20"/>
    <w:p>
      <w:pPr>
        <w:ind w:right="220" w:firstLine="987"/>
        <w:spacing w:after="0" w:line="259" w:lineRule="auto"/>
        <w:tabs>
          <w:tab w:leader="none" w:pos="1246"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the following offered by State Street Bank and Trust Company (or any successor custodian or other entity acting in a similar capacity with respect to the Borrower) (I) money market deposit accounts, (II) eurodollar time deposits, (III) commercial eurodollar sweep services or (IV) open commercial paper services, in each case having, at such date of acquisition, a credit rating at least A-1 from S&amp;P and at least P-1 from Moody’s and maturing not later than 270 days from the date of acquisition thereof;</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78" w:lineRule="exact"/>
        <w:rPr>
          <w:sz w:val="20"/>
          <w:szCs w:val="20"/>
          <w:color w:val="auto"/>
        </w:rPr>
      </w:pPr>
    </w:p>
    <w:p>
      <w:pPr>
        <w:ind w:right="10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Central Bank Rate</w:t>
      </w:r>
      <w:r>
        <w:rPr>
          <w:rFonts w:ascii="Arial" w:cs="Arial" w:eastAsia="Arial" w:hAnsi="Arial"/>
          <w:sz w:val="16"/>
          <w:szCs w:val="16"/>
          <w:color w:val="auto"/>
        </w:rPr>
        <w:t>” means the greater of (A) the sum of (i) for any Loan denominated in (x) Sterling, the Bank of England (or any successor thereto)’s “Bank Rate” as published by the Bank of England (or any successor thereto) from time to time, (y)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spacing w:after="0" w:line="166"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Central Bank Rate Adjustment</w:t>
      </w:r>
      <w:r>
        <w:rPr>
          <w:rFonts w:ascii="Arial" w:cs="Arial" w:eastAsia="Arial" w:hAnsi="Arial"/>
          <w:sz w:val="17"/>
          <w:szCs w:val="17"/>
          <w:color w:val="auto"/>
        </w:rPr>
        <w:t>” means , for any date, for any Loan denominated in (A) Sterling, a rate equal to the difference (which may be a positive or negative value or zero) of (i) the average of the Daily Simple RFR for Sterling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 Days for Euro preceding such day for which the EURIBOR Screen Rate was available (excluding, from such averaging, the highest and the lowest EURIBOR Screen Rate applicable during such period of five Term Benchmark Bank Days for Euro) minus (ii) the Central Bank Rate in respect of Euro in effect on the last Term Benchmark Bank Day for Euro in such period 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spacing w:after="0" w:line="111"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21" w:name="page22"/>
    <w:bookmarkEnd w:id="21"/>
    <w:p>
      <w:pPr>
        <w:ind w:left="4" w:right="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w:t>
      </w:r>
    </w:p>
    <w:p>
      <w:pPr>
        <w:spacing w:after="0" w:line="1" w:lineRule="exact"/>
        <w:rPr>
          <w:sz w:val="20"/>
          <w:szCs w:val="20"/>
          <w:color w:val="auto"/>
        </w:rPr>
      </w:pPr>
    </w:p>
    <w:p>
      <w:pPr>
        <w:ind w:left="4" w:right="200" w:hanging="4"/>
        <w:spacing w:after="0" w:line="253" w:lineRule="auto"/>
        <w:tabs>
          <w:tab w:leader="none" w:pos="2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 (or any of its Affiliates).</w:t>
      </w:r>
    </w:p>
    <w:p>
      <w:pPr>
        <w:spacing w:after="0" w:line="191"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(or with respect to a Person becoming a Lender by assignment or joinder after the date of this Agreement, the effective date thereof)),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76"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is, or the Loans constituting such Borrowing are, Syndicated Dollar Loans, Syndicated Multicurrency Loans or Swingline Loans; when used in reference to any Lender, refers to whether such Lender is a Dollar Lender or a Multicurrency Lender; and, when used in reference to any Commitment, refers to whether such Commitment is a Dollar Commitment or a Multicurrency Commitment. The “</w:t>
      </w:r>
      <w:r>
        <w:rPr>
          <w:rFonts w:ascii="Arial" w:cs="Arial" w:eastAsia="Arial" w:hAnsi="Arial"/>
          <w:sz w:val="18"/>
          <w:szCs w:val="18"/>
          <w:u w:val="single" w:color="auto"/>
          <w:color w:val="auto"/>
        </w:rPr>
        <w:t>Class</w:t>
      </w:r>
      <w:r>
        <w:rPr>
          <w:rFonts w:ascii="Arial" w:cs="Arial" w:eastAsia="Arial" w:hAnsi="Arial"/>
          <w:sz w:val="18"/>
          <w:szCs w:val="18"/>
          <w:color w:val="auto"/>
        </w:rPr>
        <w:t>” of a Letter of Credit refers to whether such Letter of Credit is a Dollar Letter of Credit or a Multicurrency Letter of Credit.</w:t>
      </w:r>
    </w:p>
    <w:p>
      <w:pPr>
        <w:spacing w:after="0" w:line="120"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22" w:name="page23"/>
    <w:bookmarkEnd w:id="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assigned to such term in the Guarantee and Security Agreement.</w:t>
      </w:r>
    </w:p>
    <w:p>
      <w:pPr>
        <w:spacing w:after="0" w:line="225"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Truist in its capacity as Collateral Agent under the Guarantee and Security Agreement, and includes any successor Collateral Agent thereunder.</w:t>
      </w:r>
    </w:p>
    <w:p>
      <w:pPr>
        <w:spacing w:after="0" w:line="170"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Pool</w:t>
      </w:r>
      <w:r>
        <w:rPr>
          <w:rFonts w:ascii="Arial" w:cs="Arial" w:eastAsia="Arial" w:hAnsi="Arial"/>
          <w:sz w:val="16"/>
          <w:szCs w:val="16"/>
          <w:color w:val="auto"/>
        </w:rPr>
        <w:t xml:space="preserve">” 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hereof);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66"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Debt Amount</w:t>
      </w:r>
      <w:r>
        <w:rPr>
          <w:rFonts w:ascii="Arial" w:cs="Arial" w:eastAsia="Arial" w:hAnsi="Arial"/>
          <w:sz w:val="18"/>
          <w:szCs w:val="18"/>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January 19, 2027.</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Dollar Commitments and the Multicurrency Commitments.</w:t>
      </w:r>
    </w:p>
    <w:p>
      <w:pPr>
        <w:spacing w:after="0" w:line="225" w:lineRule="exact"/>
        <w:rPr>
          <w:sz w:val="20"/>
          <w:szCs w:val="20"/>
          <w:color w:val="auto"/>
        </w:rPr>
      </w:pPr>
    </w:p>
    <w:p>
      <w:pPr>
        <w:ind w:right="40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Conforming Changes</w:t>
      </w:r>
      <w:r>
        <w:rPr>
          <w:rFonts w:ascii="Arial" w:cs="Arial" w:eastAsia="Arial" w:hAnsi="Arial"/>
          <w:sz w:val="16"/>
          <w:szCs w:val="16"/>
          <w:color w:val="auto"/>
        </w:rPr>
        <w:t>” 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“Business Day”, the definition of “Term Benchmark Banking Day”, the definition of “U.S. Government Securities Business Day”, the definition of “Interest Period”, the definition of “Daily</w:t>
      </w:r>
    </w:p>
    <w:p>
      <w:pPr>
        <w:spacing w:after="0" w:line="90"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23" w:name="page24"/>
    <w:bookmarkEnd w:id="23"/>
    <w:p>
      <w:pPr>
        <w:ind w:left="4"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Simple RFR”, the definition of “RFR”, the definition of “RFR Business Day”, the definition of “RFR Interest Day”, the definition of “RFR Reference Day”, the definition of any similar or analogous definition,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Administrative Agent, after consultation with the Borrower,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(after consultation with the Borrower) decides is reasonably necessary in connection with the administration of this Agreement and the other Loan Documents).</w:t>
      </w:r>
    </w:p>
    <w:p>
      <w:pPr>
        <w:spacing w:after="0" w:line="181"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Asset Coverage Ratio</w:t>
      </w:r>
      <w:r>
        <w:rPr>
          <w:rFonts w:ascii="Arial" w:cs="Arial" w:eastAsia="Arial" w:hAnsi="Arial"/>
          <w:sz w:val="16"/>
          <w:szCs w:val="16"/>
          <w:color w:val="auto"/>
        </w:rPr>
        <w:t>” means the ratio, determined on a consolidated basis for Borrower and its Subsidiaries, without duplication, of (a) the value of total assets of the Borrower and its Subsidiaries, less all liabilities and indebtedness not represented by senior securities to</w:t>
      </w:r>
    </w:p>
    <w:p>
      <w:pPr>
        <w:ind w:left="4" w:right="80" w:hanging="4"/>
        <w:spacing w:after="0" w:line="253" w:lineRule="auto"/>
        <w:tabs>
          <w:tab w:leader="none" w:pos="2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amount of senior securities representing indebtedness of Borrower and its Subsidiaries (including this Agreement and any Capital Call Facility),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9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4" w:right="4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xml:space="preserve">” have meanings correlative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“Control” shall not include “negative” control or “blocking” rights whereby action cannot be taken without the vote or consent of any Person.</w:t>
      </w:r>
    </w:p>
    <w:p>
      <w:pPr>
        <w:spacing w:after="0" w:line="187" w:lineRule="exact"/>
        <w:rPr>
          <w:sz w:val="20"/>
          <w:szCs w:val="20"/>
          <w:color w:val="auto"/>
        </w:rPr>
      </w:pPr>
    </w:p>
    <w:p>
      <w:pPr>
        <w:ind w:left="4" w:right="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Debt Amount</w:t>
      </w:r>
      <w:r>
        <w:rPr>
          <w:rFonts w:ascii="Arial" w:cs="Arial" w:eastAsia="Arial" w:hAnsi="Arial"/>
          <w:sz w:val="16"/>
          <w:szCs w:val="16"/>
          <w:color w:val="auto"/>
        </w:rPr>
        <w:t xml:space="preserve">” means, on any date, the sum of (x) all of the Revolving Credit Exposures of all Lenders on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aggregate amount of Other Covered Indebtedness, Special Unsecured Indebtedness and Unsecured Longer-Term Indebtedness on such date </w:t>
      </w:r>
      <w:r>
        <w:rPr>
          <w:rFonts w:ascii="Arial" w:cs="Arial" w:eastAsia="Arial" w:hAnsi="Arial"/>
          <w:sz w:val="16"/>
          <w:szCs w:val="16"/>
          <w:u w:val="single" w:color="auto"/>
          <w:color w:val="auto"/>
        </w:rPr>
        <w:t>minus</w:t>
      </w:r>
    </w:p>
    <w:p>
      <w:pPr>
        <w:ind w:left="4" w:right="100" w:hanging="4"/>
        <w:spacing w:after="0" w:line="281"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LC Exposures fully Cash Collateralized on such date pursuant to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and the last paragraph of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Special Unsecured Indebtedness and Unsecured Longer-Term Indebtedness shall be excluded from the calculation of the Covered Debt Amount, in each case, until the date that is nine (9) months prior to the scheduled maturity date of such Special Unsecured Indebtedness or such Unsecured Longer-Term Indebtedness, as applicable (provided that, to the extent, but only to the extent, any portion of Special Unsecured Indebtedness or Unsecured Longer-Term Indebtedness is subject to a contractually scheduled amortization payment or other principal payment or mandatory redemption earlier than six</w:t>
      </w:r>
    </w:p>
    <w:p>
      <w:pPr>
        <w:spacing w:after="0" w:line="2" w:lineRule="exact"/>
        <w:rPr>
          <w:rFonts w:ascii="Arial" w:cs="Arial" w:eastAsia="Arial" w:hAnsi="Arial"/>
          <w:sz w:val="16"/>
          <w:szCs w:val="16"/>
          <w:color w:val="auto"/>
        </w:rPr>
      </w:pPr>
    </w:p>
    <w:p>
      <w:pPr>
        <w:ind w:left="4" w:right="80"/>
        <w:spacing w:after="0" w:line="323" w:lineRule="auto"/>
        <w:rPr>
          <w:rFonts w:ascii="Arial" w:cs="Arial" w:eastAsia="Arial" w:hAnsi="Arial"/>
          <w:sz w:val="16"/>
          <w:szCs w:val="16"/>
          <w:color w:val="auto"/>
        </w:rPr>
      </w:pPr>
      <w:r>
        <w:rPr>
          <w:rFonts w:ascii="Arial" w:cs="Arial" w:eastAsia="Arial" w:hAnsi="Arial"/>
          <w:sz w:val="16"/>
          <w:szCs w:val="16"/>
          <w:color w:val="auto"/>
        </w:rPr>
        <w:t>(6) months after the Final Maturity Date (in the case of Unsecured Longer-Term Indebtedness) or earlier than the original final maturity date of such Indebtedness (in the case of Special Unsecured Indebtedness), such portion of such Indebtedness, to the extent then outstanding, shall be included in the</w:t>
      </w:r>
    </w:p>
    <w:p>
      <w:pPr>
        <w:spacing w:after="0" w:line="71"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24" w:name="page25"/>
    <w:bookmarkEnd w:id="24"/>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Foreign Currency.</w:t>
      </w:r>
    </w:p>
    <w:p>
      <w:pPr>
        <w:spacing w:after="0" w:line="225" w:lineRule="exact"/>
        <w:rPr>
          <w:sz w:val="20"/>
          <w:szCs w:val="20"/>
          <w:color w:val="auto"/>
        </w:rPr>
      </w:pPr>
    </w:p>
    <w:p>
      <w:pPr>
        <w:ind w:right="80"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RFR</w:t>
      </w:r>
      <w:r>
        <w:rPr>
          <w:rFonts w:ascii="Arial" w:cs="Arial" w:eastAsia="Arial" w:hAnsi="Arial"/>
          <w:sz w:val="17"/>
          <w:szCs w:val="17"/>
          <w:color w:val="auto"/>
        </w:rPr>
        <w:t>” means, for any day (an “</w:t>
      </w:r>
      <w:r>
        <w:rPr>
          <w:rFonts w:ascii="Arial" w:cs="Arial" w:eastAsia="Arial" w:hAnsi="Arial"/>
          <w:sz w:val="17"/>
          <w:szCs w:val="17"/>
          <w:u w:val="single" w:color="auto"/>
          <w:color w:val="auto"/>
        </w:rPr>
        <w:t>RFR Interest Day</w:t>
      </w:r>
      <w:r>
        <w:rPr>
          <w:rFonts w:ascii="Arial" w:cs="Arial" w:eastAsia="Arial" w:hAnsi="Arial"/>
          <w:sz w:val="17"/>
          <w:szCs w:val="17"/>
          <w:color w:val="auto"/>
        </w:rPr>
        <w:t>”), an interest rate per annum equal to (a) for any RFR Loan denominated in Sterling, the greater of (i) SONIA for the day (the “</w:t>
      </w:r>
      <w:r>
        <w:rPr>
          <w:rFonts w:ascii="Arial" w:cs="Arial" w:eastAsia="Arial" w:hAnsi="Arial"/>
          <w:sz w:val="17"/>
          <w:szCs w:val="17"/>
          <w:u w:val="single" w:color="auto"/>
          <w:color w:val="auto"/>
        </w:rPr>
        <w:t>RFR Reference Day</w:t>
      </w:r>
      <w:r>
        <w:rPr>
          <w:rFonts w:ascii="Arial" w:cs="Arial" w:eastAsia="Arial" w:hAnsi="Arial"/>
          <w:sz w:val="17"/>
          <w:szCs w:val="17"/>
          <w:color w:val="auto"/>
        </w:rPr>
        <w:t xml:space="preserve">”) that is five RFR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and (b) for any RFR Loan denominated in Swiss Francs, the greater of (i) SARON for the RFR Reference Day that is five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w:t>
      </w:r>
    </w:p>
    <w:p>
      <w:pPr>
        <w:spacing w:after="0" w:line="182" w:lineRule="exact"/>
        <w:rPr>
          <w:sz w:val="20"/>
          <w:szCs w:val="20"/>
          <w:color w:val="auto"/>
        </w:rPr>
      </w:pPr>
    </w:p>
    <w:p>
      <w:pPr>
        <w:ind w:right="1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means, for any day (a “</w:t>
      </w:r>
      <w:r>
        <w:rPr>
          <w:rFonts w:ascii="Arial" w:cs="Arial" w:eastAsia="Arial" w:hAnsi="Arial"/>
          <w:sz w:val="16"/>
          <w:szCs w:val="16"/>
          <w:u w:val="single" w:color="auto"/>
          <w:color w:val="auto"/>
        </w:rPr>
        <w:t>Daily Simple SOFR Interest Day</w:t>
      </w:r>
      <w:r>
        <w:rPr>
          <w:rFonts w:ascii="Arial" w:cs="Arial" w:eastAsia="Arial" w:hAnsi="Arial"/>
          <w:sz w:val="16"/>
          <w:szCs w:val="16"/>
          <w:color w:val="auto"/>
        </w:rPr>
        <w:t>”) the greater of (i) SOFR for the day that is five Business Days prior to (A) if such Daily Simple SOFR Interest Day is a Business Day, such Daily Simple SOFR Interest Day, (B) if such Daily Simple SOFR Interest Day is not a Business Day, the Business Day immediately preceding such Daily Simple SOFR Interest Day and (ii) 0.00%.</w:t>
      </w:r>
    </w:p>
    <w:p>
      <w:pPr>
        <w:spacing w:after="0" w:line="149"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2.19(b)</w:t>
      </w:r>
      <w:r>
        <w:rPr>
          <w:rFonts w:ascii="Arial" w:cs="Arial" w:eastAsia="Arial" w:hAnsi="Arial"/>
          <w:sz w:val="18"/>
          <w:szCs w:val="18"/>
          <w:color w:val="auto"/>
        </w:rPr>
        <w:t>, any Lender that (a) has failed to (i) fund all or any portion of its Loans or participations in Letters of Credit or Swingline Loans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has not otherwise been</w:t>
      </w:r>
    </w:p>
    <w:p>
      <w:pPr>
        <w:spacing w:after="0" w:line="120"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25" w:name="page26"/>
    <w:bookmarkEnd w:id="25"/>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waived in accordance with the terms of this Agreement, or (ii) pay to the Administrative Agent, any Issuing Bank, any Swingline Lender or any Lender any other amount required to be paid by it hereunder (including in respect of its participation in Letters of Credit or Swingline Loans) within two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2.19(b)</w:t>
      </w:r>
      <w:r>
        <w:rPr>
          <w:rFonts w:ascii="Arial" w:cs="Arial" w:eastAsia="Arial" w:hAnsi="Arial"/>
          <w:sz w:val="17"/>
          <w:szCs w:val="17"/>
          <w:color w:val="auto"/>
        </w:rPr>
        <w:t>) upon such determination (and the Administrative Agent shall deliver written notice of such determination to the Borrower, each Issuing Bank and each Lender and each Swingline Lender).</w:t>
      </w:r>
    </w:p>
    <w:p>
      <w:pPr>
        <w:spacing w:after="0" w:line="182"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Borrower with respect to (a) principal of and interest on the Loans and (b) accrued and unpaid fees under the Loan Documents.</w:t>
      </w:r>
    </w:p>
    <w:p>
      <w:pPr>
        <w:spacing w:after="0" w:line="170" w:lineRule="exact"/>
        <w:rPr>
          <w:sz w:val="20"/>
          <w:szCs w:val="20"/>
          <w:color w:val="auto"/>
        </w:rPr>
      </w:pPr>
    </w:p>
    <w:p>
      <w:pPr>
        <w:ind w:right="3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“Disposition” or “Dispose” shall not include the disposition of Investments originated by the Borrower and immediately transferred to a Financing Subsidiary pursuant to a transaction not prohibited hereunder.</w:t>
      </w:r>
    </w:p>
    <w:p>
      <w:pPr>
        <w:spacing w:after="0" w:line="120"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26" w:name="page27"/>
    <w:bookmarkEnd w:id="26"/>
    <w:p>
      <w:pPr>
        <w:ind w:right="1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Dollar Commitment</w:t>
      </w:r>
      <w:r>
        <w:rPr>
          <w:rFonts w:ascii="Arial" w:cs="Arial" w:eastAsia="Arial" w:hAnsi="Arial"/>
          <w:sz w:val="18"/>
          <w:szCs w:val="18"/>
          <w:color w:val="auto"/>
        </w:rPr>
        <w:t xml:space="preserve">” means, with respect to each Dollar Lender,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and (b) reduced or increased from time to time pursuant to assignments by or to such Lender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initial amount of each Lender’s Dollar Commitment is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or in the Assignment and Assumption pursuant to which such Lender shall have assumed its Dollar Commitment, as applicable. The aggregate amount of the Lenders’ Dollar Commitments as of the Effective Date is $25,000,000.</w:t>
      </w:r>
    </w:p>
    <w:p>
      <w:pPr>
        <w:spacing w:after="0" w:line="195"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Principal Financial Center for such Foreign Currency at approximately 11:00 a.m., local time in such Principal Financial Center, for delivery two Business Days later.</w:t>
      </w:r>
    </w:p>
    <w:p>
      <w:pPr>
        <w:spacing w:after="0" w:line="171" w:lineRule="exact"/>
        <w:rPr>
          <w:sz w:val="20"/>
          <w:szCs w:val="20"/>
          <w:color w:val="auto"/>
        </w:rPr>
      </w:pPr>
    </w:p>
    <w:p>
      <w:pPr>
        <w:jc w:val="both"/>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LC Exposure</w:t>
      </w:r>
      <w:r>
        <w:rPr>
          <w:rFonts w:ascii="Arial" w:cs="Arial" w:eastAsia="Arial" w:hAnsi="Arial"/>
          <w:sz w:val="18"/>
          <w:szCs w:val="18"/>
          <w:color w:val="auto"/>
        </w:rPr>
        <w:t xml:space="preserve">” means, at any time, the sum of (a) the aggregate undrawn amount of all outstanding Dollar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87"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Lender</w:t>
      </w:r>
      <w:r>
        <w:rPr>
          <w:rFonts w:ascii="Arial" w:cs="Arial" w:eastAsia="Arial" w:hAnsi="Arial"/>
          <w:sz w:val="17"/>
          <w:szCs w:val="17"/>
          <w:color w:val="auto"/>
        </w:rPr>
        <w:t xml:space="preserve">” means the Persons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means Letters of Credit that utilize the Dollar Commitments.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Loan</w:t>
      </w:r>
      <w:r>
        <w:rPr>
          <w:rFonts w:ascii="Arial" w:cs="Arial" w:eastAsia="Arial" w:hAnsi="Arial"/>
          <w:sz w:val="18"/>
          <w:szCs w:val="18"/>
          <w:color w:val="auto"/>
        </w:rPr>
        <w:t>” means a Loan denominated in Dollars.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58"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27" w:name="page28"/>
    <w:bookmarkEnd w:id="27"/>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10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the date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which date is January 19, 2023.</w:t>
      </w:r>
    </w:p>
    <w:p>
      <w:pPr>
        <w:spacing w:after="0" w:line="170" w:lineRule="exact"/>
        <w:rPr>
          <w:sz w:val="20"/>
          <w:szCs w:val="20"/>
          <w:color w:val="auto"/>
        </w:rPr>
      </w:pPr>
    </w:p>
    <w:p>
      <w:pPr>
        <w:ind w:right="24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8.09(a)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8.09(d)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Impacted Class</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8.09(d)</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8.09(d)</w:t>
      </w:r>
      <w:r>
        <w:rPr>
          <w:rFonts w:ascii="Arial" w:cs="Arial" w:eastAsia="Arial" w:hAnsi="Arial"/>
          <w:sz w:val="18"/>
          <w:szCs w:val="18"/>
          <w:color w:val="auto"/>
        </w:rPr>
        <w:t>.</w:t>
      </w:r>
    </w:p>
    <w:p>
      <w:pPr>
        <w:spacing w:after="0" w:line="158"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28" w:name="page29"/>
    <w:bookmarkEnd w:id="28"/>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Erroneous Payment Subrogation Rights</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8.09(d)</w:t>
      </w:r>
      <w:r>
        <w:rPr>
          <w:rFonts w:ascii="Arial" w:cs="Arial" w:eastAsia="Arial" w:hAnsi="Arial"/>
          <w:sz w:val="18"/>
          <w:szCs w:val="18"/>
          <w:color w:val="auto"/>
        </w:rPr>
        <w:t>.</w:t>
      </w:r>
    </w:p>
    <w:p>
      <w:pPr>
        <w:spacing w:after="0" w:line="225" w:lineRule="exact"/>
        <w:rPr>
          <w:sz w:val="20"/>
          <w:szCs w:val="20"/>
          <w:color w:val="auto"/>
        </w:rPr>
      </w:pPr>
    </w:p>
    <w:p>
      <w:pPr>
        <w:ind w:left="4" w:right="6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a single currency of the Participating Member States.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at the time of such assignment or designation (other than to the extent such withholding is as a result of a CAM Exchange), or (ii) that is attributable to such Lender’s failure or inability to comply with </w:t>
      </w:r>
      <w:r>
        <w:rPr>
          <w:rFonts w:ascii="Arial" w:cs="Arial" w:eastAsia="Arial" w:hAnsi="Arial"/>
          <w:sz w:val="16"/>
          <w:szCs w:val="16"/>
          <w:u w:val="single" w:color="auto"/>
          <w:color w:val="auto"/>
        </w:rPr>
        <w:t>Section 2.16(f)</w:t>
      </w:r>
      <w:r>
        <w:rPr>
          <w:rFonts w:ascii="Arial" w:cs="Arial" w:eastAsia="Arial" w:hAnsi="Arial"/>
          <w:sz w:val="16"/>
          <w:szCs w:val="16"/>
          <w:color w:val="auto"/>
        </w:rPr>
        <w:t>, (c) any U.S. federal, state or local backup withholding Taxes imposed on payments made under any Loan Document, and (d) any Taxes that are imposed under FATCA.</w:t>
      </w:r>
    </w:p>
    <w:p>
      <w:pPr>
        <w:spacing w:after="0" w:line="17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External Manager</w:t>
      </w:r>
      <w:r>
        <w:rPr>
          <w:rFonts w:ascii="Arial" w:cs="Arial" w:eastAsia="Arial" w:hAnsi="Arial"/>
          <w:sz w:val="18"/>
          <w:szCs w:val="18"/>
          <w:color w:val="auto"/>
        </w:rPr>
        <w:t>” means Sixth Street Lending Partners Advisers, LLC.</w:t>
      </w:r>
    </w:p>
    <w:p>
      <w:pPr>
        <w:spacing w:after="0" w:line="225" w:lineRule="exact"/>
        <w:rPr>
          <w:sz w:val="20"/>
          <w:szCs w:val="20"/>
          <w:color w:val="auto"/>
        </w:rPr>
      </w:pPr>
    </w:p>
    <w:p>
      <w:pPr>
        <w:ind w:left="4" w:right="18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Extraordinary Receipts</w:t>
      </w:r>
      <w:r>
        <w:rPr>
          <w:rFonts w:ascii="Arial" w:cs="Arial" w:eastAsia="Arial" w:hAnsi="Arial"/>
          <w:sz w:val="16"/>
          <w:szCs w:val="16"/>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Extraordinary Receipts shall not include any (x) amounts that the Borrower receives from the Administrative Agent or any Lender pursuant to </w:t>
      </w:r>
      <w:r>
        <w:rPr>
          <w:rFonts w:ascii="Arial" w:cs="Arial" w:eastAsia="Arial" w:hAnsi="Arial"/>
          <w:sz w:val="16"/>
          <w:szCs w:val="16"/>
          <w:u w:val="single" w:color="auto"/>
          <w:color w:val="auto"/>
        </w:rPr>
        <w:t>Section 2.16(f)</w:t>
      </w:r>
      <w:r>
        <w:rPr>
          <w:rFonts w:ascii="Arial" w:cs="Arial" w:eastAsia="Arial" w:hAnsi="Arial"/>
          <w:sz w:val="16"/>
          <w:szCs w:val="16"/>
          <w:color w:val="auto"/>
        </w:rPr>
        <w:t>, or</w:t>
      </w:r>
    </w:p>
    <w:p>
      <w:pPr>
        <w:spacing w:after="0" w:line="4" w:lineRule="exact"/>
        <w:rPr>
          <w:sz w:val="20"/>
          <w:szCs w:val="20"/>
          <w:color w:val="auto"/>
        </w:rPr>
      </w:pPr>
    </w:p>
    <w:p>
      <w:pPr>
        <w:ind w:left="4" w:hanging="4"/>
        <w:spacing w:after="0" w:line="273" w:lineRule="auto"/>
        <w:tabs>
          <w:tab w:leader="none" w:pos="259"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09"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29" w:name="page30"/>
    <w:bookmarkEnd w:id="29"/>
    <w:p>
      <w:pPr>
        <w:ind w:right="1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8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January 19, 2028.</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an SPE Subsidiary or an SBIC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a rate of interest equal to zero percent (0.00%).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at any time any Currency other than Dollars.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Equivalent</w:t>
      </w:r>
      <w:r>
        <w:rPr>
          <w:rFonts w:ascii="Arial" w:cs="Arial" w:eastAsia="Arial" w:hAnsi="Arial"/>
          <w:sz w:val="18"/>
          <w:szCs w:val="18"/>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under Section 7701(a)(30) of the Code.</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20"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30" w:name="page31"/>
    <w:bookmarkEnd w:id="30"/>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with respect to any Issuing Bank, such Defaulting Lender’s</w:t>
      </w:r>
    </w:p>
    <w:p>
      <w:pPr>
        <w:spacing w:after="0" w:line="35" w:lineRule="exact"/>
        <w:rPr>
          <w:sz w:val="20"/>
          <w:szCs w:val="20"/>
          <w:color w:val="auto"/>
        </w:rPr>
      </w:pPr>
    </w:p>
    <w:p>
      <w:pPr>
        <w:jc w:val="both"/>
        <w:ind w:left="4" w:right="100" w:hanging="4"/>
        <w:spacing w:after="0" w:line="253" w:lineRule="auto"/>
        <w:tabs>
          <w:tab w:leader="none" w:pos="2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9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jc w:val="both"/>
        <w:ind w:left="4" w:right="3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49" w:lineRule="exact"/>
        <w:rPr>
          <w:sz w:val="20"/>
          <w:szCs w:val="20"/>
          <w:color w:val="auto"/>
        </w:rPr>
      </w:pPr>
    </w:p>
    <w:p>
      <w:pPr>
        <w:ind w:left="4" w:right="6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72"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means that certain Guarantee and Security Agreement dated as of January 19, 2023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restated, modified and supplemented and in effect from time to time.</w:t>
      </w:r>
    </w:p>
    <w:p>
      <w:pPr>
        <w:spacing w:after="0" w:line="187" w:lineRule="exact"/>
        <w:rPr>
          <w:sz w:val="20"/>
          <w:szCs w:val="20"/>
          <w:color w:val="auto"/>
        </w:rPr>
      </w:pPr>
    </w:p>
    <w:p>
      <w:pPr>
        <w:ind w:left="4" w:right="1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Assumption Agreement</w:t>
      </w:r>
      <w:r>
        <w:rPr>
          <w:rFonts w:ascii="Arial" w:cs="Arial" w:eastAsia="Arial" w:hAnsi="Arial"/>
          <w:sz w:val="16"/>
          <w:szCs w:val="16"/>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81"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31" w:name="page32"/>
    <w:bookmarkEnd w:id="31"/>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170"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2.08(e)(i)</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representing extensions of credit, (c) all obligations of such Person under conditional sale or other title retention agreements relating to property acquired by such Person (excluding accounts payable and accrued expenses incurred in the ordinary course of business),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escrows or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6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the Borrower under this Agreement.</w:t>
      </w:r>
    </w:p>
    <w:p>
      <w:pPr>
        <w:spacing w:after="0" w:line="103"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32" w:name="page33"/>
    <w:bookmarkEnd w:id="32"/>
    <w:p>
      <w:pPr>
        <w:ind w:left="4" w:right="2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Independent</w:t>
      </w:r>
      <w:r>
        <w:rPr>
          <w:rFonts w:ascii="Arial" w:cs="Arial" w:eastAsia="Arial" w:hAnsi="Arial"/>
          <w:sz w:val="16"/>
          <w:szCs w:val="16"/>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w:t>
      </w:r>
    </w:p>
    <w:p>
      <w:pPr>
        <w:ind w:left="4" w:right="640" w:hanging="4"/>
        <w:spacing w:after="0" w:line="260"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not connected with the Borrower or of its Subsidiaries or Affiliates (including its investment advisor or any Affiliate thereof) as an officer, employee, promoter, underwriter, trustee, partner, director or Person performing similar functions.</w:t>
      </w:r>
    </w:p>
    <w:p>
      <w:pPr>
        <w:spacing w:after="0" w:line="185" w:lineRule="exact"/>
        <w:rPr>
          <w:sz w:val="20"/>
          <w:szCs w:val="20"/>
          <w:color w:val="auto"/>
        </w:rPr>
      </w:pPr>
    </w:p>
    <w:p>
      <w:pPr>
        <w:jc w:val="both"/>
        <w:ind w:left="4" w:right="3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Classification Group</w:t>
      </w:r>
      <w:r>
        <w:rPr>
          <w:rFonts w:ascii="Arial" w:cs="Arial" w:eastAsia="Arial" w:hAnsi="Arial"/>
          <w:sz w:val="18"/>
          <w:szCs w:val="18"/>
          <w:color w:val="auto"/>
        </w:rPr>
        <w:t xml:space="preserve">” means (a) any of the classification groups set forth in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Syndicated Borrowing in accordance with</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11" w:lineRule="exact"/>
        <w:rPr>
          <w:sz w:val="20"/>
          <w:szCs w:val="20"/>
          <w:color w:val="auto"/>
        </w:rPr>
      </w:pPr>
    </w:p>
    <w:p>
      <w:pPr>
        <w:ind w:left="4"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Syndicated ABR Loan, each Quarterly Date, (b) with respect to any Term Benchmark Loan or RFR Loan, in each case, in respect of which the Borrower has selected a one- or three-month Interest Period, the last day of such Interest Period therefor and, in the case of any Term Benchmark Loan with an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88"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any Term Benchmark Loan or Borrowing or any RFR Loan or Borrowing, the period commencing on the date of such Loan or Borrowing and ending on the numerically corresponding day in the calendar month that is one month, three months or, except with respect to Term Benchmark Loans denominated in Canadian Dollars and RFR Loans, six months thereafter or, with respect to such portion of any Term Benchmark Loan or Borrowing or any RFR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denominated in a Foreign Currency or RFR Borrowing that 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Arial" w:cs="Arial" w:eastAsia="Arial" w:hAnsi="Arial"/>
          <w:sz w:val="16"/>
          <w:szCs w:val="16"/>
          <w:u w:val="single" w:color="auto"/>
          <w:color w:val="auto"/>
        </w:rPr>
        <w:t>Section 2.20(d)</w:t>
      </w:r>
      <w:r>
        <w:rPr>
          <w:rFonts w:ascii="Arial" w:cs="Arial" w:eastAsia="Arial" w:hAnsi="Arial"/>
          <w:sz w:val="16"/>
          <w:szCs w:val="16"/>
          <w:color w:val="auto"/>
        </w:rPr>
        <w:t xml:space="preserve"> shall be available for specification in such Borrowing Request or notice of conversion or continuation unless or until it is reinstated pursuant to </w:t>
      </w:r>
      <w:r>
        <w:rPr>
          <w:rFonts w:ascii="Arial" w:cs="Arial" w:eastAsia="Arial" w:hAnsi="Arial"/>
          <w:sz w:val="16"/>
          <w:szCs w:val="16"/>
          <w:u w:val="single" w:color="auto"/>
          <w:color w:val="auto"/>
        </w:rPr>
        <w:t>Section 2.20(d)</w:t>
      </w:r>
      <w:r>
        <w:rPr>
          <w:rFonts w:ascii="Arial" w:cs="Arial" w:eastAsia="Arial" w:hAnsi="Arial"/>
          <w:sz w:val="16"/>
          <w:szCs w:val="16"/>
          <w:color w:val="auto"/>
        </w:rPr>
        <w:t>.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09"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33" w:name="page34"/>
    <w:bookmarkEnd w:id="33"/>
    <w:p>
      <w:pPr>
        <w:ind w:left="4" w:right="2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Investment</w:t>
      </w:r>
      <w:r>
        <w:rPr>
          <w:rFonts w:ascii="Arial" w:cs="Arial" w:eastAsia="Arial" w:hAnsi="Arial"/>
          <w:sz w:val="17"/>
          <w:szCs w:val="17"/>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225" w:lineRule="exact"/>
        <w:rPr>
          <w:sz w:val="20"/>
          <w:szCs w:val="20"/>
          <w:color w:val="auto"/>
        </w:rPr>
      </w:pPr>
    </w:p>
    <w:p>
      <w:pPr>
        <w:ind w:left="4" w:right="3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Policies</w:t>
      </w:r>
      <w:r>
        <w:rPr>
          <w:rFonts w:ascii="Arial" w:cs="Arial" w:eastAsia="Arial" w:hAnsi="Arial"/>
          <w:sz w:val="16"/>
          <w:szCs w:val="16"/>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24" w:lineRule="exact"/>
        <w:rPr>
          <w:sz w:val="20"/>
          <w:szCs w:val="20"/>
          <w:color w:val="auto"/>
        </w:rPr>
      </w:pPr>
    </w:p>
    <w:p>
      <w:pPr>
        <w:ind w:left="4" w:right="16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Bank</w:t>
      </w:r>
      <w:r>
        <w:rPr>
          <w:rFonts w:ascii="Arial" w:cs="Arial" w:eastAsia="Arial" w:hAnsi="Arial"/>
          <w:sz w:val="16"/>
          <w:szCs w:val="16"/>
          <w:color w:val="auto"/>
        </w:rPr>
        <w:t xml:space="preserve">” means Truist, JPMorgan Chase Bank, N.A., Royal Bank of Canada, Wells Fargo Bank, N.A., and any other Issuing Bank designated pursuant to </w:t>
      </w:r>
      <w:r>
        <w:rPr>
          <w:rFonts w:ascii="Arial" w:cs="Arial" w:eastAsia="Arial" w:hAnsi="Arial"/>
          <w:sz w:val="16"/>
          <w:szCs w:val="16"/>
          <w:u w:val="single" w:color="auto"/>
          <w:color w:val="auto"/>
        </w:rPr>
        <w:t>Section 2.05(l)</w:t>
      </w:r>
      <w:r>
        <w:rPr>
          <w:rFonts w:ascii="Arial" w:cs="Arial" w:eastAsia="Arial" w:hAnsi="Arial"/>
          <w:sz w:val="16"/>
          <w:szCs w:val="16"/>
          <w:color w:val="auto"/>
        </w:rPr>
        <w:t xml:space="preserve">, in their capacity as the issuers of Letters of Credit hereunder, and their respective successors in such capacity as provided in </w:t>
      </w:r>
      <w:r>
        <w:rPr>
          <w:rFonts w:ascii="Arial" w:cs="Arial" w:eastAsia="Arial" w:hAnsi="Arial"/>
          <w:sz w:val="16"/>
          <w:szCs w:val="16"/>
          <w:u w:val="single" w:color="auto"/>
          <w:color w:val="auto"/>
        </w:rPr>
        <w:t>Section 2.05(j)</w:t>
      </w:r>
      <w:r>
        <w:rPr>
          <w:rFonts w:ascii="Arial" w:cs="Arial" w:eastAsia="Arial" w:hAnsi="Arial"/>
          <w:sz w:val="16"/>
          <w:szCs w:val="16"/>
          <w:color w:val="auto"/>
        </w:rPr>
        <w:t>. In the case of any Letter of Credit to be issued in an Agreed Foreign Currency, Truist and JPMorgan Chase Bank, N.A., respectively, may designate any of their respective affiliates as the “Issuing Bank” for purposes of such Letter of Credit.</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Japanese Yen</w:t>
      </w:r>
      <w:r>
        <w:rPr>
          <w:rFonts w:ascii="Arial" w:cs="Arial" w:eastAsia="Arial" w:hAnsi="Arial"/>
          <w:sz w:val="18"/>
          <w:szCs w:val="18"/>
          <w:color w:val="auto"/>
        </w:rPr>
        <w:t>” means the lawful currency of Japan.</w:t>
      </w:r>
    </w:p>
    <w:p>
      <w:pPr>
        <w:spacing w:after="0" w:line="225" w:lineRule="exact"/>
        <w:rPr>
          <w:sz w:val="20"/>
          <w:szCs w:val="20"/>
          <w:color w:val="auto"/>
        </w:rPr>
      </w:pPr>
    </w:p>
    <w:p>
      <w:pPr>
        <w:ind w:left="4"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means Truist Securities, Inc., JPMorgan Chase Bank, N.A., Royal Bank of Canada, State Street Bank and Trust Company and Wells Fargo Bank, N.A..</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any Issuing Bank pursuant to a Letter of Credit.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Dollar LC Exposure and the Multicurrency LC Exposure.</w:t>
      </w:r>
    </w:p>
    <w:p>
      <w:pPr>
        <w:spacing w:after="0" w:line="225" w:lineRule="exact"/>
        <w:rPr>
          <w:sz w:val="20"/>
          <w:szCs w:val="20"/>
          <w:color w:val="auto"/>
        </w:rPr>
      </w:pPr>
    </w:p>
    <w:p>
      <w:pPr>
        <w:ind w:left="4"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the Dollar Lenders and the Multicurrency Lenders. Unless the context otherwise requires, the term “Lenders” includes each Swingline Lender.</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2.05(k)</w:t>
      </w:r>
      <w:r>
        <w:rPr>
          <w:rFonts w:ascii="Arial" w:cs="Arial" w:eastAsia="Arial" w:hAnsi="Arial"/>
          <w:sz w:val="18"/>
          <w:szCs w:val="18"/>
          <w:color w:val="auto"/>
        </w:rPr>
        <w:t>.</w:t>
      </w:r>
    </w:p>
    <w:p>
      <w:pPr>
        <w:spacing w:after="0" w:line="225" w:lineRule="exact"/>
        <w:rPr>
          <w:sz w:val="20"/>
          <w:szCs w:val="20"/>
          <w:color w:val="auto"/>
        </w:rPr>
      </w:pPr>
    </w:p>
    <w:p>
      <w:pPr>
        <w:ind w:left="4" w:right="10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 Documents</w:t>
      </w:r>
      <w:r>
        <w:rPr>
          <w:rFonts w:ascii="Arial" w:cs="Arial" w:eastAsia="Arial" w:hAnsi="Arial"/>
          <w:sz w:val="16"/>
          <w:szCs w:val="16"/>
          <w:color w:val="auto"/>
        </w:rPr>
        <w:t>” means, with respect to any Letter of Credit, collectively, any application therefor and any other agreements, instruments, guarantees or other documents (whether general in application or applicable only to such Letter of Credit) governing or providing for</w:t>
      </w:r>
    </w:p>
    <w:p>
      <w:pPr>
        <w:ind w:left="4" w:right="640" w:hanging="4"/>
        <w:spacing w:after="0" w:line="260"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rights and obligations of the parties concerned or at risk with respect to such Letter of Credit or (b) any collateral security for any of such obligations, each as the same may be modified and supplemented and in effect from time to time.</w:t>
      </w:r>
    </w:p>
    <w:p>
      <w:pPr>
        <w:spacing w:after="0" w:line="118"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34" w:name="page35"/>
    <w:bookmarkEnd w:id="34"/>
    <w:p>
      <w:pPr>
        <w:ind w:right="14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Letter of Credit Documents and the Security Documents.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Collateral Agent, the Administrative Agent and the Lenders thereunder.</w:t>
      </w:r>
    </w:p>
    <w:p>
      <w:pPr>
        <w:spacing w:after="0" w:line="157"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(a) Indebtedness (other than the Loans, Letters of Credit and Hedging Agreements), of any one or more of the Borrower and its Subsidiaries in an aggregate principal amount exceeding $50,000,000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$50,000,000.</w:t>
      </w:r>
    </w:p>
    <w:p>
      <w:pPr>
        <w:spacing w:after="0" w:line="171"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thereto.</w:t>
      </w:r>
    </w:p>
    <w:p>
      <w:pPr>
        <w:spacing w:after="0" w:line="225"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Commitment</w:t>
      </w:r>
      <w:r>
        <w:rPr>
          <w:rFonts w:ascii="Arial" w:cs="Arial" w:eastAsia="Arial" w:hAnsi="Arial"/>
          <w:sz w:val="17"/>
          <w:szCs w:val="17"/>
          <w:color w:val="auto"/>
        </w:rPr>
        <w:t xml:space="preserve">” means, with respect to each Multicurrency Lender, the commitment of such Multicurrency Lender to make Syndicated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or increased from time to time pursuant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w:t>
      </w:r>
    </w:p>
    <w:p>
      <w:pPr>
        <w:spacing w:after="0" w:line="104"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35" w:name="page36"/>
    <w:bookmarkEnd w:id="35"/>
    <w:p>
      <w:pPr>
        <w:jc w:val="both"/>
        <w:ind w:left="4" w:right="180" w:hanging="4"/>
        <w:spacing w:after="0" w:line="259"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reduced or increased from time to time pursuant to assignments by or to such Lender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The initial amount of each Lender’s Multicurrency Commitment is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or in the Assignment and Assumption pursuant to which such Lender shall have assumed its Multicurrency commitment, as applicable. The aggregate amount of the Lenders’ Multicurrency Commitments as of the Effective Date is $575,000,000.</w:t>
      </w:r>
    </w:p>
    <w:p>
      <w:pPr>
        <w:spacing w:after="0" w:line="187"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Exposure</w:t>
      </w:r>
      <w:r>
        <w:rPr>
          <w:rFonts w:ascii="Arial" w:cs="Arial" w:eastAsia="Arial" w:hAnsi="Arial"/>
          <w:sz w:val="18"/>
          <w:szCs w:val="18"/>
          <w:color w:val="auto"/>
        </w:rPr>
        <w:t xml:space="preserve">” means, at any time, the sum of (a) the aggregate undrawn amount of all outstanding Multicurrency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87" w:lineRule="exact"/>
        <w:rPr>
          <w:sz w:val="20"/>
          <w:szCs w:val="20"/>
          <w:color w:val="auto"/>
        </w:rPr>
      </w:pPr>
    </w:p>
    <w:p>
      <w:pPr>
        <w:jc w:val="both"/>
        <w:ind w:left="4" w:right="1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Lender</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4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means Letters of Credit that utilize the Multicurrency Commitments.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w:t>
      </w:r>
      <w:r>
        <w:rPr>
          <w:rFonts w:ascii="Arial" w:cs="Arial" w:eastAsia="Arial" w:hAnsi="Arial"/>
          <w:sz w:val="18"/>
          <w:szCs w:val="18"/>
          <w:color w:val="auto"/>
        </w:rPr>
        <w:t>” means a Loan denominated in Dollars or an Agreed Foreign Currency.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 Currency</w:t>
      </w:r>
      <w:r>
        <w:rPr>
          <w:rFonts w:ascii="Arial" w:cs="Arial" w:eastAsia="Arial" w:hAnsi="Arial"/>
          <w:sz w:val="18"/>
          <w:szCs w:val="18"/>
          <w:color w:val="auto"/>
        </w:rPr>
        <w:t>” means the currency, other than the Euro, of a Participating Member State.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17" w:lineRule="exact"/>
        <w:rPr>
          <w:sz w:val="20"/>
          <w:szCs w:val="20"/>
          <w:color w:val="auto"/>
        </w:rPr>
      </w:pPr>
    </w:p>
    <w:p>
      <w:pPr>
        <w:ind w:left="4" w:right="20" w:firstLine="987"/>
        <w:spacing w:after="0" w:line="287"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04"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36" w:name="page37"/>
    <w:bookmarkEnd w:id="36"/>
    <w:p>
      <w:pPr>
        <w:ind w:left="4" w:right="80" w:firstLine="987"/>
        <w:spacing w:after="0" w:line="270" w:lineRule="auto"/>
        <w:tabs>
          <w:tab w:leader="none" w:pos="1250"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an amount equal to (i) the sum of the cash and Cash Equivalents received in connection with such transaction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sum of (1) reasonable out-of-pocket fees, costs and expenses, incurred by the Borrower or such Subsidiary in connection therewith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any reasonable costs, fees, commissions, premiums, expenses, or underwriting discounts or commissions incurred by the Borrower or any of its Subsidiaries in connection with such sale or issuance.</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Zealand Dollars</w:t>
      </w:r>
      <w:r>
        <w:rPr>
          <w:rFonts w:ascii="Arial" w:cs="Arial" w:eastAsia="Arial" w:hAnsi="Arial"/>
          <w:sz w:val="18"/>
          <w:szCs w:val="18"/>
          <w:color w:val="auto"/>
        </w:rPr>
        <w:t>” means the lawful currency of New Zealand.</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at such time.</w:t>
      </w:r>
    </w:p>
    <w:p>
      <w:pPr>
        <w:spacing w:after="0" w:line="225"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means material non-public information (within the meaning of United States federal, state or other applicable securities laws) with respect to Borrower or its Affiliates or their Securities.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collectively, the Borrower and the Subsidiary Guarantors.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Benchmark Rate Election</w:t>
      </w:r>
      <w:r>
        <w:rPr>
          <w:rFonts w:ascii="Arial" w:cs="Arial" w:eastAsia="Arial" w:hAnsi="Arial"/>
          <w:sz w:val="18"/>
          <w:szCs w:val="18"/>
          <w:color w:val="auto"/>
        </w:rPr>
        <w:t>” means, with respect to any Loan denominated in Dollars, if a Benchmark Replacement for the Term SOFR Reference Rate has been determined in accordance with clause (1) of the definition of “Benchmark Replacement”, that the Administrative Agent, in its sole discretion, and the Borrower have jointly elected to trigger a fallback from the then-current Benchmark and the Administrative Agent has provided written notice of such election to the Borrower and the Lenders.</w:t>
      </w:r>
    </w:p>
    <w:p>
      <w:pPr>
        <w:spacing w:after="0" w:line="187" w:lineRule="exact"/>
        <w:rPr>
          <w:sz w:val="20"/>
          <w:szCs w:val="20"/>
          <w:color w:val="auto"/>
        </w:rPr>
      </w:pPr>
    </w:p>
    <w:p>
      <w:pPr>
        <w:ind w:left="4" w:right="20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Covered Indebtedness</w:t>
      </w:r>
      <w:r>
        <w:rPr>
          <w:rFonts w:ascii="Arial" w:cs="Arial" w:eastAsia="Arial" w:hAnsi="Arial"/>
          <w:sz w:val="17"/>
          <w:szCs w:val="17"/>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Arial" w:cs="Arial" w:eastAsia="Arial" w:hAnsi="Arial"/>
          <w:sz w:val="17"/>
          <w:szCs w:val="17"/>
          <w:u w:val="single" w:color="auto"/>
          <w:color w:val="auto"/>
        </w:rPr>
        <w:t>Section 6.02(e)</w:t>
      </w:r>
      <w:r>
        <w:rPr>
          <w:rFonts w:ascii="Arial" w:cs="Arial" w:eastAsia="Arial" w:hAnsi="Arial"/>
          <w:sz w:val="17"/>
          <w:szCs w:val="17"/>
          <w:color w:val="auto"/>
        </w:rPr>
        <w:t xml:space="preserve"> or any Indebtedness under a Capital Call Facility.</w:t>
      </w:r>
    </w:p>
    <w:p>
      <w:pPr>
        <w:spacing w:after="0" w:line="165" w:lineRule="exact"/>
        <w:rPr>
          <w:sz w:val="20"/>
          <w:szCs w:val="20"/>
          <w:color w:val="auto"/>
        </w:rPr>
      </w:pPr>
    </w:p>
    <w:p>
      <w:pPr>
        <w:ind w:left="4" w:right="3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Permitted Indebtedness</w:t>
      </w:r>
      <w:r>
        <w:rPr>
          <w:rFonts w:ascii="Arial" w:cs="Arial" w:eastAsia="Arial" w:hAnsi="Arial"/>
          <w:sz w:val="16"/>
          <w:szCs w:val="16"/>
          <w:color w:val="auto"/>
        </w:rPr>
        <w:t>” means (a) accrued expenses and current trade accounts payable incurred in the ordinary course of the Borrower’s business which are not overdue for a period of more than 90 days or which are being contested in good faith by appropriate proceedings,</w:t>
      </w:r>
    </w:p>
    <w:p>
      <w:pPr>
        <w:ind w:left="4" w:right="20" w:hanging="4"/>
        <w:spacing w:after="0" w:line="260"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Indebtedness (other than Indebtedness for borrowed money) arising in connection with transactions in the ordinary course of the Borrower’s business in connection with its securities</w:t>
      </w:r>
    </w:p>
    <w:p>
      <w:pPr>
        <w:spacing w:after="0" w:line="118"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37" w:name="page38"/>
    <w:bookmarkEnd w:id="37"/>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8"/>
          <w:szCs w:val="18"/>
          <w:u w:val="single" w:color="auto"/>
          <w:color w:val="auto"/>
        </w:rPr>
        <w:t>clause (l)</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88" w:lineRule="exact"/>
        <w:rPr>
          <w:sz w:val="20"/>
          <w:szCs w:val="20"/>
          <w:color w:val="auto"/>
        </w:rPr>
      </w:pPr>
    </w:p>
    <w:p>
      <w:pPr>
        <w:ind w:right="22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hereof (unless such assignment is made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9.04(f)</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9.04(f)</w:t>
      </w:r>
      <w:r>
        <w:rPr>
          <w:rFonts w:ascii="Arial" w:cs="Arial" w:eastAsia="Arial" w:hAnsi="Arial"/>
          <w:sz w:val="18"/>
          <w:szCs w:val="18"/>
          <w:color w:val="auto"/>
        </w:rPr>
        <w:t>.</w:t>
      </w:r>
    </w:p>
    <w:p>
      <w:pPr>
        <w:spacing w:after="0" w:line="225"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Community that adopts or has adopted the Euro as its lawful currency in accordance with the legislation of the European Union relating to the European Monetary Union.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Periodic Term SOFR Determination Day</w:t>
      </w:r>
      <w:r>
        <w:rPr>
          <w:rFonts w:ascii="Arial" w:cs="Arial" w:eastAsia="Arial" w:hAnsi="Arial"/>
          <w:sz w:val="18"/>
          <w:szCs w:val="18"/>
          <w:color w:val="auto"/>
        </w:rPr>
        <w:t>” has the meaning set forth in the definition of “Term SOFR”.</w:t>
      </w:r>
    </w:p>
    <w:p>
      <w:pPr>
        <w:spacing w:after="0" w:line="225"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Equity Interests</w:t>
      </w:r>
      <w:r>
        <w:rPr>
          <w:rFonts w:ascii="Arial" w:cs="Arial" w:eastAsia="Arial" w:hAnsi="Arial"/>
          <w:sz w:val="18"/>
          <w:szCs w:val="18"/>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84"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w:t>
      </w:r>
    </w:p>
    <w:p>
      <w:pPr>
        <w:spacing w:after="0" w:line="9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38" w:name="page39"/>
    <w:bookmarkEnd w:id="38"/>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liens in respect of employee benefit plans arising under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w:t>
      </w:r>
    </w:p>
    <w:p>
      <w:pPr>
        <w:spacing w:after="0" w:line="5" w:lineRule="exact"/>
        <w:rPr>
          <w:sz w:val="20"/>
          <w:szCs w:val="20"/>
          <w:color w:val="auto"/>
        </w:rPr>
      </w:pPr>
    </w:p>
    <w:p>
      <w:pPr>
        <w:ind w:left="4" w:right="40" w:hanging="4"/>
        <w:spacing w:after="0" w:line="288" w:lineRule="auto"/>
        <w:tabs>
          <w:tab w:leader="none" w:pos="259"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168" w:lineRule="exact"/>
        <w:rPr>
          <w:sz w:val="20"/>
          <w:szCs w:val="20"/>
          <w:color w:val="auto"/>
        </w:rPr>
      </w:pPr>
    </w:p>
    <w:p>
      <w:pPr>
        <w:ind w:left="4" w:right="16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Policy Amendment</w:t>
      </w:r>
      <w:r>
        <w:rPr>
          <w:rFonts w:ascii="Arial" w:cs="Arial" w:eastAsia="Arial" w:hAnsi="Arial"/>
          <w:sz w:val="18"/>
          <w:szCs w:val="18"/>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92" w:lineRule="exact"/>
        <w:rPr>
          <w:sz w:val="20"/>
          <w:szCs w:val="20"/>
          <w:color w:val="auto"/>
        </w:rPr>
      </w:pPr>
    </w:p>
    <w:p>
      <w:pPr>
        <w:ind w:left="4" w:right="2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SBIC Guarantee</w:t>
      </w:r>
      <w:r>
        <w:rPr>
          <w:rFonts w:ascii="Arial" w:cs="Arial" w:eastAsia="Arial" w:hAnsi="Arial"/>
          <w:sz w:val="18"/>
          <w:szCs w:val="18"/>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Arial" w:cs="Arial" w:eastAsia="Arial" w:hAnsi="Arial"/>
          <w:sz w:val="18"/>
          <w:szCs w:val="18"/>
          <w:u w:val="single" w:color="auto"/>
          <w:color w:val="auto"/>
        </w:rPr>
        <w:t>clause (s)</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it shall be an Event of Default hereunder if any such event or condition giving rise to such recourse occurs).</w:t>
      </w:r>
    </w:p>
    <w:p>
      <w:pPr>
        <w:spacing w:after="0" w:line="187" w:lineRule="exact"/>
        <w:rPr>
          <w:sz w:val="20"/>
          <w:szCs w:val="20"/>
          <w:color w:val="auto"/>
        </w:rPr>
      </w:pPr>
    </w:p>
    <w:p>
      <w:pPr>
        <w:ind w:left="4"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03"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39" w:name="page40"/>
    <w:bookmarkEnd w:id="39"/>
    <w:p>
      <w:pPr>
        <w:jc w:val="both"/>
        <w:ind w:right="3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5.01(i)</w:t>
      </w:r>
      <w:r>
        <w:rPr>
          <w:rFonts w:ascii="Arial" w:cs="Arial" w:eastAsia="Arial" w:hAnsi="Arial"/>
          <w:sz w:val="18"/>
          <w:szCs w:val="18"/>
          <w:color w:val="auto"/>
        </w:rPr>
        <w:t>.</w:t>
      </w:r>
    </w:p>
    <w:p>
      <w:pPr>
        <w:spacing w:after="0" w:line="225" w:lineRule="exact"/>
        <w:rPr>
          <w:sz w:val="20"/>
          <w:szCs w:val="20"/>
          <w:color w:val="auto"/>
        </w:rPr>
      </w:pPr>
    </w:p>
    <w:p>
      <w:pPr>
        <w:ind w:right="10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Portfolio Investment</w:t>
      </w:r>
      <w:r>
        <w:rPr>
          <w:rFonts w:ascii="Arial" w:cs="Arial" w:eastAsia="Arial" w:hAnsi="Arial"/>
          <w:sz w:val="17"/>
          <w:szCs w:val="17"/>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 or the secured parties under a Capital Call Facility have a lien.</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xml:space="preserve">” means the rate which is quoted as the “prime rate” in the print edition of </w:t>
      </w:r>
      <w:r>
        <w:rPr>
          <w:rFonts w:ascii="Arial" w:cs="Arial" w:eastAsia="Arial" w:hAnsi="Arial"/>
          <w:sz w:val="17"/>
          <w:szCs w:val="17"/>
          <w:i w:val="1"/>
          <w:iCs w:val="1"/>
          <w:color w:val="auto"/>
        </w:rPr>
        <w:t>The Wall Street Journal</w:t>
      </w:r>
      <w:r>
        <w:rPr>
          <w:rFonts w:ascii="Arial" w:cs="Arial" w:eastAsia="Arial" w:hAnsi="Arial"/>
          <w:sz w:val="17"/>
          <w:szCs w:val="17"/>
          <w:color w:val="auto"/>
        </w:rPr>
        <w:t>, Money Rates Section.</w:t>
      </w:r>
    </w:p>
    <w:p>
      <w:pPr>
        <w:spacing w:after="0" w:line="23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Center</w:t>
      </w:r>
      <w:r>
        <w:rPr>
          <w:rFonts w:ascii="Arial" w:cs="Arial" w:eastAsia="Arial" w:hAnsi="Arial"/>
          <w:sz w:val="18"/>
          <w:szCs w:val="18"/>
          <w:color w:val="auto"/>
        </w:rPr>
        <w:t>” means, in the case of any Currency, the principal financial center where such Currency is cleared and settled, as determined by the Administrative Agent.</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means Lenders that do not wish to receive Non-Public Information with respect to the Borrower or any of its Subsidiaries or their Securities.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Quarterly Dates</w:t>
      </w:r>
      <w:r>
        <w:rPr>
          <w:rFonts w:ascii="Arial" w:cs="Arial" w:eastAsia="Arial" w:hAnsi="Arial"/>
          <w:sz w:val="16"/>
          <w:szCs w:val="16"/>
          <w:color w:val="auto"/>
        </w:rPr>
        <w:t>” means the last Business Day of March, June, September and December in each year, commencing on March 31, 2023.</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Quoted Investments</w:t>
      </w:r>
      <w:r>
        <w:rPr>
          <w:rFonts w:ascii="Arial" w:cs="Arial" w:eastAsia="Arial" w:hAnsi="Arial"/>
          <w:sz w:val="18"/>
          <w:szCs w:val="18"/>
          <w:color w:val="auto"/>
        </w:rPr>
        <w:t xml:space="preserve">” means a Portfolio Investment with a value assigned by the Borrower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9.04(c)</w:t>
      </w:r>
      <w:r>
        <w:rPr>
          <w:rFonts w:ascii="Arial" w:cs="Arial" w:eastAsia="Arial" w:hAnsi="Arial"/>
          <w:sz w:val="18"/>
          <w:szCs w:val="18"/>
          <w:color w:val="auto"/>
        </w:rPr>
        <w:t>.</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filed by the Borrower with the Securities and Exchange Commission on June 28, 2022.</w:t>
      </w:r>
    </w:p>
    <w:p>
      <w:pPr>
        <w:spacing w:after="0" w:line="103"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40" w:name="page41"/>
    <w:bookmarkEnd w:id="40"/>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Regulations D, T, U and X</w:t>
      </w:r>
      <w:r>
        <w:rPr>
          <w:rFonts w:ascii="Arial" w:cs="Arial" w:eastAsia="Arial" w:hAnsi="Arial"/>
          <w:sz w:val="18"/>
          <w:szCs w:val="18"/>
          <w:color w:val="auto"/>
        </w:rPr>
        <w:t>” means, respectively, Regulations D, T, U and X of the Board, as the same may be modified and supplemented and in effect from time to time.</w:t>
      </w:r>
    </w:p>
    <w:p>
      <w:pPr>
        <w:spacing w:after="0" w:line="170"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employees, agents and advisors of such Person and such Person’s Affiliates.</w:t>
      </w:r>
    </w:p>
    <w:p>
      <w:pPr>
        <w:spacing w:after="0" w:line="170"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(a) with respect to a Benchmark Replacement in respect of obligations, interest, fees, commissions or other amounts owing hereunder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 owing hereunder denominated in, or calculated with respect to, Sterling, the Bank of England, or a committee officially endorsed or convened by the Bank of England or, in each case, any successor thereto, (c) with respect to a Benchmark Replacement in respect of obligations, interest, fees, commissions or other amounts owing hereunder denominated in, or calculated with respect to, Euro, the European Central Bank, or a committee officially endorsed or convened by the European Central Bank or, in each case, any successor thereto, and (d) with respect to a Benchmark Replacement in respect of obligations, interest, fees, commissions or other amounts owing hereunder denominated in, or calculated with respect to, any Currency (other than Dollars, Sterling or Euro), (1) the central bank for the Currency in which such obligations, interest, fees, commissions or other amounts are denominated, or calculated with respect thereto,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67" w:lineRule="exact"/>
        <w:rPr>
          <w:sz w:val="20"/>
          <w:szCs w:val="20"/>
          <w:color w:val="auto"/>
        </w:rPr>
      </w:pPr>
    </w:p>
    <w:p>
      <w:pPr>
        <w:ind w:right="80" w:firstLine="9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 For purposes of this definition, the Swingline Exposure of any Lender that is a Swingline Lender shall be deemed to exclude that portion of its Swingline Exposure that exceeds its Applicable Dollar Percentage or Applicable Multicurrency Percentage, as applicable, of all outstanding Swingline Loans under its Class of Commitments, and the unused Commitments of any such Lender shall be determined without regard to any such excess amount.</w:t>
      </w:r>
    </w:p>
    <w:p>
      <w:pPr>
        <w:spacing w:after="0" w:line="101"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41" w:name="page42"/>
    <w:bookmarkEnd w:id="41"/>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the chief executive officer, president, chief financial officer, treasurer, assistant treasurer or controller of an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Obligor.</w:t>
      </w:r>
    </w:p>
    <w:p>
      <w:pPr>
        <w:spacing w:after="0" w:line="211" w:lineRule="exact"/>
        <w:rPr>
          <w:sz w:val="20"/>
          <w:szCs w:val="20"/>
          <w:color w:val="auto"/>
        </w:rPr>
      </w:pPr>
    </w:p>
    <w:p>
      <w:pPr>
        <w:ind w:left="4" w:right="2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spacing w:after="0" w:line="192" w:lineRule="exact"/>
        <w:rPr>
          <w:sz w:val="20"/>
          <w:szCs w:val="20"/>
          <w:color w:val="auto"/>
        </w:rPr>
      </w:pPr>
    </w:p>
    <w:p>
      <w:pPr>
        <w:ind w:left="4" w:right="4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6"/>
          <w:szCs w:val="16"/>
          <w:u w:val="single" w:color="auto"/>
          <w:color w:val="auto"/>
        </w:rPr>
        <w:t>clause (a)</w:t>
      </w:r>
      <w:r>
        <w:rPr>
          <w:rFonts w:ascii="Arial" w:cs="Arial" w:eastAsia="Arial" w:hAnsi="Arial"/>
          <w:sz w:val="16"/>
          <w:szCs w:val="16"/>
          <w:color w:val="auto"/>
        </w:rPr>
        <w:t>,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w:t>
      </w:r>
    </w:p>
    <w:p>
      <w:pPr>
        <w:spacing w:after="0" w:line="2" w:lineRule="exact"/>
        <w:rPr>
          <w:sz w:val="20"/>
          <w:szCs w:val="20"/>
          <w:color w:val="auto"/>
        </w:rPr>
      </w:pPr>
    </w:p>
    <w:p>
      <w:pPr>
        <w:jc w:val="both"/>
        <w:ind w:left="4" w:right="140" w:hanging="4"/>
        <w:spacing w:after="0" w:line="253" w:lineRule="auto"/>
        <w:tabs>
          <w:tab w:leader="none" w:pos="2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net of any fees, costs, expenses and taxes payable with respect thereto).</w:t>
      </w:r>
    </w:p>
    <w:p>
      <w:pPr>
        <w:spacing w:after="0" w:line="193"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Dollar Credit Exposure and Revolving Multicurrency Credit Exposure at such time.</w:t>
      </w:r>
    </w:p>
    <w:p>
      <w:pPr>
        <w:spacing w:after="0" w:line="170" w:lineRule="exact"/>
        <w:rPr>
          <w:sz w:val="20"/>
          <w:szCs w:val="20"/>
          <w:color w:val="auto"/>
        </w:rPr>
      </w:pPr>
    </w:p>
    <w:p>
      <w:pPr>
        <w:ind w:left="4"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Dollar Credit Exposure</w:t>
      </w:r>
      <w:r>
        <w:rPr>
          <w:rFonts w:ascii="Arial" w:cs="Arial" w:eastAsia="Arial" w:hAnsi="Arial"/>
          <w:sz w:val="17"/>
          <w:szCs w:val="17"/>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46" w:lineRule="exact"/>
        <w:rPr>
          <w:sz w:val="20"/>
          <w:szCs w:val="20"/>
          <w:color w:val="auto"/>
        </w:rPr>
      </w:pPr>
    </w:p>
    <w:p>
      <w:pPr>
        <w:ind w:left="4"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Multicurrency Credit Exposure</w:t>
      </w:r>
      <w:r>
        <w:rPr>
          <w:rFonts w:ascii="Arial" w:cs="Arial" w:eastAsia="Arial" w:hAnsi="Arial"/>
          <w:sz w:val="16"/>
          <w:szCs w:val="16"/>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24"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means, as of any date of determination, the result, expressed as a percentage, of the Revolving Credit Exposure on such date divided by the aggregate outstanding Covered Debt Amount on such date.</w:t>
      </w:r>
    </w:p>
    <w:p>
      <w:pPr>
        <w:spacing w:after="0" w:line="103"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42" w:name="page43"/>
    <w:bookmarkEnd w:id="42"/>
    <w:p>
      <w:pPr>
        <w:ind w:left="4"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RFR</w:t>
      </w:r>
      <w:r>
        <w:rPr>
          <w:rFonts w:ascii="Arial" w:cs="Arial" w:eastAsia="Arial" w:hAnsi="Arial"/>
          <w:sz w:val="18"/>
          <w:szCs w:val="18"/>
          <w:color w:val="auto"/>
        </w:rPr>
        <w:t>”, when used in reference to any Loan or Borrowing, refers to whether such Loan is, or the Loans constituting such Borrowing are, bearing interest at a rate determined by reference to the Daily Simple RFR for the applicable Currency.</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Administrator</w:t>
      </w:r>
      <w:r>
        <w:rPr>
          <w:rFonts w:ascii="Arial" w:cs="Arial" w:eastAsia="Arial" w:hAnsi="Arial"/>
          <w:sz w:val="18"/>
          <w:szCs w:val="18"/>
          <w:color w:val="auto"/>
        </w:rPr>
        <w:t>” means the SONIA Administrator or the SARON Administrator, as applicable.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RFR Administrator’s Website</w:t>
      </w:r>
      <w:r>
        <w:rPr>
          <w:rFonts w:ascii="Arial" w:cs="Arial" w:eastAsia="Arial" w:hAnsi="Arial"/>
          <w:sz w:val="17"/>
          <w:szCs w:val="17"/>
          <w:color w:val="auto"/>
        </w:rPr>
        <w:t>” means the SONIA Administrator’s Website or the SARON Administrator’s Website, as applicable.</w:t>
      </w:r>
    </w:p>
    <w:p>
      <w:pPr>
        <w:spacing w:after="0" w:line="237" w:lineRule="exact"/>
        <w:rPr>
          <w:sz w:val="20"/>
          <w:szCs w:val="20"/>
          <w:color w:val="auto"/>
        </w:rPr>
      </w:pPr>
    </w:p>
    <w:p>
      <w:pPr>
        <w:jc w:val="both"/>
        <w:ind w:left="4" w:right="6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RFR Applicable Credit Adjustment Spread</w:t>
      </w:r>
      <w:r>
        <w:rPr>
          <w:rFonts w:ascii="Arial" w:cs="Arial" w:eastAsia="Arial" w:hAnsi="Arial"/>
          <w:sz w:val="17"/>
          <w:szCs w:val="17"/>
          <w:color w:val="auto"/>
        </w:rPr>
        <w:t>” means, (a) with respect to RFR Loans denominated in Sterling, (i) with an Interest Period of three months, 0.1193% and (ii) with an Interest Period of one month, 0.0326%, and (b) with respect to RFR Loans denominated in Swiss Francs (i) with an Interest Period of three months, 0.0031% and (ii) with an Interest Period of one month, -0.0571%.</w:t>
      </w:r>
    </w:p>
    <w:p>
      <w:pPr>
        <w:spacing w:after="0" w:line="165" w:lineRule="exact"/>
        <w:rPr>
          <w:sz w:val="20"/>
          <w:szCs w:val="20"/>
          <w:color w:val="auto"/>
        </w:rPr>
      </w:pPr>
    </w:p>
    <w:p>
      <w:pPr>
        <w:ind w:left="4" w:right="1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RFR Business Day</w:t>
      </w:r>
      <w:r>
        <w:rPr>
          <w:rFonts w:ascii="Arial" w:cs="Arial" w:eastAsia="Arial" w:hAnsi="Arial"/>
          <w:sz w:val="16"/>
          <w:szCs w:val="16"/>
          <w:color w:val="auto"/>
        </w:rPr>
        <w:t>” means, for any Loans, Borrowings, interest, fees, commissions or other amounts denominated in, or calculated with respect to, (a) Sterling, any day except for (i) a Saturday, (ii) a Sunday or (iii) a day on which banks are closed for general business in London, and</w:t>
      </w:r>
    </w:p>
    <w:p>
      <w:pPr>
        <w:ind w:left="4" w:right="380" w:hanging="4"/>
        <w:spacing w:after="0" w:line="260"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Swiss Francs, any day except for (i) a Saturday, (ii) a Sunday or (iii) a day on which banks are closed for the settlement of payments and foreign exchange transactions in Zurich.</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Interest Day</w:t>
      </w:r>
      <w:r>
        <w:rPr>
          <w:rFonts w:ascii="Arial" w:cs="Arial" w:eastAsia="Arial" w:hAnsi="Arial"/>
          <w:sz w:val="18"/>
          <w:szCs w:val="18"/>
          <w:color w:val="auto"/>
        </w:rPr>
        <w:t>” has the meaning specified in the definition of “Daily Simple RFR”.</w:t>
      </w:r>
    </w:p>
    <w:p>
      <w:pPr>
        <w:spacing w:after="0" w:line="225"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Rate</w:t>
      </w:r>
      <w:r>
        <w:rPr>
          <w:rFonts w:ascii="Arial" w:cs="Arial" w:eastAsia="Arial" w:hAnsi="Arial"/>
          <w:sz w:val="18"/>
          <w:szCs w:val="18"/>
          <w:color w:val="auto"/>
        </w:rPr>
        <w:t>” means, for any Loans, Borrowings, interest, fees, commissions or other amounts denominated in, or calculated with respect to (a) Sterling, SONIA, and (b) Swiss Francs, SARON.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Reference Day</w:t>
      </w:r>
      <w:r>
        <w:rPr>
          <w:rFonts w:ascii="Arial" w:cs="Arial" w:eastAsia="Arial" w:hAnsi="Arial"/>
          <w:sz w:val="18"/>
          <w:szCs w:val="18"/>
          <w:color w:val="auto"/>
        </w:rPr>
        <w:t>” has the meaning specified in the definition of “Daily Simple RFR”.</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Code.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or any successor thereto.</w:t>
      </w:r>
    </w:p>
    <w:p>
      <w:pPr>
        <w:spacing w:after="0" w:line="225" w:lineRule="exact"/>
        <w:rPr>
          <w:sz w:val="20"/>
          <w:szCs w:val="20"/>
          <w:color w:val="auto"/>
        </w:rPr>
      </w:pPr>
    </w:p>
    <w:p>
      <w:pPr>
        <w:ind w:left="4"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territory or region that is the subject or the target of country-wide or territory-wide Sanctions broadly prohibiting dealings with such country, territory or region (currently, Cuba, Iran, North Korea and Syria, the Crimea Region of Ukraine, the so-called Donetsk People’s Republic, the so-called Luhansk People’s Republic and non-government-controlled areas of the Zaporizhzhia and Kherson Regions of Ukraine).</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3.15(a)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SARON</w:t>
      </w:r>
      <w:r>
        <w:rPr>
          <w:rFonts w:ascii="Arial" w:cs="Arial" w:eastAsia="Arial" w:hAnsi="Arial"/>
          <w:sz w:val="18"/>
          <w:szCs w:val="18"/>
          <w:color w:val="auto"/>
        </w:rPr>
        <w:t>” means a rate equal to the Swiss Average Rate Overnight as administered by the SARON Administrator.</w:t>
      </w:r>
    </w:p>
    <w:p>
      <w:pPr>
        <w:spacing w:after="0" w:line="158"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43" w:name="page44"/>
    <w:bookmarkEnd w:id="43"/>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SARON Administrator</w:t>
      </w:r>
      <w:r>
        <w:rPr>
          <w:rFonts w:ascii="Arial" w:cs="Arial" w:eastAsia="Arial" w:hAnsi="Arial"/>
          <w:sz w:val="17"/>
          <w:szCs w:val="17"/>
          <w:color w:val="auto"/>
        </w:rPr>
        <w:t>” means the SIX Swiss Exchange AG (or any successor administrator of the Swiss Average Rate Overnight).</w:t>
      </w:r>
    </w:p>
    <w:p>
      <w:pPr>
        <w:spacing w:after="0" w:line="237"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SARON Administrator’s Website</w:t>
      </w:r>
      <w:r>
        <w:rPr>
          <w:rFonts w:ascii="Arial" w:cs="Arial" w:eastAsia="Arial" w:hAnsi="Arial"/>
          <w:sz w:val="18"/>
          <w:szCs w:val="18"/>
          <w:color w:val="auto"/>
        </w:rPr>
        <w:t>” means SIX Swiss Exchange AG’s website, currently at https://www.six-group.com, or any successor source for the Swiss Average Rate Overnight identified as such by the SARON Administrator from time to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means the United States Small Business Administration.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SBIC Equity Commitment</w:t>
      </w:r>
      <w:r>
        <w:rPr>
          <w:rFonts w:ascii="Arial" w:cs="Arial" w:eastAsia="Arial" w:hAnsi="Arial"/>
          <w:sz w:val="17"/>
          <w:szCs w:val="17"/>
          <w:color w:val="auto"/>
        </w:rPr>
        <w:t>” means a commitment by the Borrower to make one or more capital contributions to an SBIC Subsidiary.</w:t>
      </w:r>
    </w:p>
    <w:p>
      <w:pPr>
        <w:spacing w:after="0" w:line="237" w:lineRule="exact"/>
        <w:rPr>
          <w:sz w:val="20"/>
          <w:szCs w:val="20"/>
          <w:color w:val="auto"/>
        </w:rPr>
      </w:pPr>
    </w:p>
    <w:p>
      <w:pPr>
        <w:ind w:left="4" w:right="4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SBIC Subsidiary</w:t>
      </w:r>
      <w:r>
        <w:rPr>
          <w:rFonts w:ascii="Arial" w:cs="Arial" w:eastAsia="Arial" w:hAnsi="Arial"/>
          <w:sz w:val="17"/>
          <w:szCs w:val="17"/>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79" w:lineRule="exact"/>
        <w:rPr>
          <w:sz w:val="20"/>
          <w:szCs w:val="20"/>
          <w:color w:val="auto"/>
        </w:rPr>
      </w:pPr>
    </w:p>
    <w:p>
      <w:pPr>
        <w:ind w:left="4" w:right="14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Longer-Term Indebtedness</w:t>
      </w:r>
      <w:r>
        <w:rPr>
          <w:rFonts w:ascii="Arial" w:cs="Arial" w:eastAsia="Arial" w:hAnsi="Arial"/>
          <w:sz w:val="16"/>
          <w:szCs w:val="16"/>
          <w:color w:val="auto"/>
        </w:rPr>
        <w:t xml:space="preserve">” means, as at any date, Indebtedness (other than Indebtedness hereunder) of an Obligor (which may be Guaranteed by Subsidiary Guarantors)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Arial" w:cs="Arial" w:eastAsia="Arial" w:hAnsi="Arial"/>
          <w:sz w:val="16"/>
          <w:szCs w:val="16"/>
          <w:u w:val="single" w:color="auto"/>
          <w:color w:val="auto"/>
        </w:rPr>
        <w:t>Section 6.01(i)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6.01(o</w:t>
      </w:r>
      <w:r>
        <w:rPr>
          <w:rFonts w:ascii="Arial" w:cs="Arial" w:eastAsia="Arial" w:hAnsi="Arial"/>
          <w:sz w:val="16"/>
          <w:szCs w:val="16"/>
          <w:color w:val="auto"/>
        </w:rPr>
        <w:t xml:space="preserve">)) prior to, and a final maturity date not earlier than, six months after the Final Maturity Date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4" w:lineRule="exact"/>
        <w:rPr>
          <w:sz w:val="20"/>
          <w:szCs w:val="20"/>
          <w:color w:val="auto"/>
        </w:rPr>
      </w:pPr>
    </w:p>
    <w:p>
      <w:pPr>
        <w:ind w:left="4" w:right="180" w:hanging="4"/>
        <w:spacing w:after="0" w:line="281" w:lineRule="auto"/>
        <w:tabs>
          <w:tab w:leader="none" w:pos="25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(or an authorized agent, representative or trustee of such holders) have either executed</w:t>
      </w:r>
    </w:p>
    <w:p>
      <w:pPr>
        <w:spacing w:after="0" w:line="1" w:lineRule="exact"/>
        <w:rPr>
          <w:rFonts w:ascii="Arial" w:cs="Arial" w:eastAsia="Arial" w:hAnsi="Arial"/>
          <w:sz w:val="16"/>
          <w:szCs w:val="16"/>
          <w:color w:val="auto"/>
        </w:rPr>
      </w:pPr>
    </w:p>
    <w:p>
      <w:pPr>
        <w:ind w:left="4" w:right="460" w:hanging="4"/>
        <w:spacing w:after="0" w:line="260"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joinder agreement to the Guarantee and Security Agreement or (ii) such other document or agreement, in a form reasonably satisfactory to the Administrative Agent and the</w:t>
      </w:r>
    </w:p>
    <w:p>
      <w:pPr>
        <w:spacing w:after="0" w:line="118"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44" w:name="page45"/>
    <w:bookmarkEnd w:id="44"/>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 Secured Longer-Term Indebtedness shall not include any Indebtedness under any Capital Call Facility.</w:t>
      </w:r>
    </w:p>
    <w:p>
      <w:pPr>
        <w:spacing w:after="0" w:line="187" w:lineRule="exact"/>
        <w:rPr>
          <w:sz w:val="20"/>
          <w:szCs w:val="20"/>
          <w:color w:val="auto"/>
        </w:rPr>
      </w:pPr>
    </w:p>
    <w:p>
      <w:pPr>
        <w:ind w:right="8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Shorter-Term Indebtedness</w:t>
      </w:r>
      <w:r>
        <w:rPr>
          <w:rFonts w:ascii="Arial" w:cs="Arial" w:eastAsia="Arial" w:hAnsi="Arial"/>
          <w:sz w:val="17"/>
          <w:szCs w:val="17"/>
          <w:color w:val="auto"/>
        </w:rPr>
        <w:t xml:space="preserve">”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7"/>
          <w:szCs w:val="17"/>
          <w:u w:val="single" w:color="auto"/>
          <w:color w:val="auto"/>
        </w:rPr>
        <w:t>Section 6.11(a)</w:t>
      </w:r>
      <w:r>
        <w:rPr>
          <w:rFonts w:ascii="Arial" w:cs="Arial" w:eastAsia="Arial" w:hAnsi="Arial"/>
          <w:sz w:val="17"/>
          <w:szCs w:val="17"/>
          <w:color w:val="auto"/>
        </w:rPr>
        <w:t>. Secured Shorter-Term Indebtedness shall not include any Indebtedness under any Capital Call Facility.</w:t>
      </w:r>
    </w:p>
    <w:p>
      <w:pPr>
        <w:spacing w:after="0" w:line="181" w:lineRule="exact"/>
        <w:rPr>
          <w:sz w:val="20"/>
          <w:szCs w:val="20"/>
          <w:color w:val="auto"/>
        </w:rPr>
      </w:pPr>
    </w:p>
    <w:p>
      <w:pPr>
        <w:ind w:right="28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8"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at any date, the amount determined on a consolidated basis, without duplication, in accordance with GAAP, of shareholders equity for the Borrower and its Subsidiaries at such date.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 Administrator</w:t>
      </w:r>
      <w:r>
        <w:rPr>
          <w:rFonts w:ascii="Arial" w:cs="Arial" w:eastAsia="Arial" w:hAnsi="Arial"/>
          <w:sz w:val="17"/>
          <w:szCs w:val="17"/>
          <w:color w:val="auto"/>
        </w:rPr>
        <w:t>” means the Federal Reserve Bank of New York (or a successor administrator of the secured overnight 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03"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45" w:name="page46"/>
    <w:bookmarkEnd w:id="45"/>
    <w:p>
      <w:pPr>
        <w:ind w:left="4" w:right="52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SPE Subsidiary</w:t>
      </w:r>
      <w:r>
        <w:rPr>
          <w:rFonts w:ascii="Arial" w:cs="Arial" w:eastAsia="Arial" w:hAnsi="Arial"/>
          <w:sz w:val="16"/>
          <w:szCs w:val="16"/>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49" w:lineRule="exact"/>
        <w:rPr>
          <w:sz w:val="20"/>
          <w:szCs w:val="20"/>
          <w:color w:val="auto"/>
        </w:rPr>
      </w:pPr>
    </w:p>
    <w:p>
      <w:pPr>
        <w:ind w:left="4" w:right="80" w:firstLine="987"/>
        <w:spacing w:after="0" w:line="259"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86" w:lineRule="exact"/>
        <w:rPr>
          <w:rFonts w:ascii="Arial" w:cs="Arial" w:eastAsia="Arial" w:hAnsi="Arial"/>
          <w:sz w:val="18"/>
          <w:szCs w:val="18"/>
          <w:color w:val="auto"/>
        </w:rPr>
      </w:pPr>
    </w:p>
    <w:p>
      <w:pPr>
        <w:ind w:left="4" w:right="20" w:firstLine="987"/>
        <w:spacing w:after="0" w:line="263" w:lineRule="auto"/>
        <w:tabs>
          <w:tab w:leader="none" w:pos="12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83" w:lineRule="exact"/>
        <w:rPr>
          <w:rFonts w:ascii="Arial" w:cs="Arial" w:eastAsia="Arial" w:hAnsi="Arial"/>
          <w:sz w:val="18"/>
          <w:szCs w:val="18"/>
          <w:color w:val="auto"/>
        </w:rPr>
      </w:pPr>
    </w:p>
    <w:p>
      <w:pPr>
        <w:ind w:left="4" w:right="120" w:firstLine="987"/>
        <w:spacing w:after="0" w:line="277"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which no Obligor has any obligation to maintain or preserve such entity’s financial condition or cause such entity to achieve certain levels of operating results.</w:t>
      </w:r>
    </w:p>
    <w:p>
      <w:pPr>
        <w:spacing w:after="0" w:line="170"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87" w:lineRule="exact"/>
        <w:rPr>
          <w:sz w:val="20"/>
          <w:szCs w:val="20"/>
          <w:color w:val="auto"/>
        </w:rPr>
      </w:pPr>
    </w:p>
    <w:p>
      <w:pPr>
        <w:ind w:left="4" w:right="18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Equity Interest</w:t>
      </w:r>
      <w:r>
        <w:rPr>
          <w:rFonts w:ascii="Arial" w:cs="Arial" w:eastAsia="Arial" w:hAnsi="Arial"/>
          <w:sz w:val="16"/>
          <w:szCs w:val="16"/>
          <w:color w:val="auto"/>
        </w:rPr>
        <w:t xml:space="preserve">” means any Equity Interest that is subject to a Lien in favor of creditors of the issuer of such Equity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w:t>
      </w:r>
    </w:p>
    <w:p>
      <w:pPr>
        <w:spacing w:after="0" w:line="2" w:lineRule="exact"/>
        <w:rPr>
          <w:sz w:val="20"/>
          <w:szCs w:val="20"/>
          <w:color w:val="auto"/>
        </w:rPr>
      </w:pPr>
    </w:p>
    <w:p>
      <w:pPr>
        <w:ind w:left="4" w:right="920" w:hanging="4"/>
        <w:spacing w:after="0" w:line="290" w:lineRule="auto"/>
        <w:tabs>
          <w:tab w:leader="none" w:pos="319"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61" w:lineRule="exact"/>
        <w:rPr>
          <w:sz w:val="20"/>
          <w:szCs w:val="20"/>
          <w:color w:val="auto"/>
        </w:rPr>
      </w:pPr>
    </w:p>
    <w:p>
      <w:pPr>
        <w:ind w:left="4" w:right="22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Unsecured Indebtedness</w:t>
      </w:r>
      <w:r>
        <w:rPr>
          <w:rFonts w:ascii="Arial" w:cs="Arial" w:eastAsia="Arial" w:hAnsi="Arial"/>
          <w:sz w:val="16"/>
          <w:szCs w:val="16"/>
          <w:color w:val="auto"/>
        </w:rPr>
        <w:t xml:space="preserve">” means Indebtedness of an Obligor issued after the Effective Date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6.01(o</w:t>
      </w:r>
      <w:r>
        <w:rPr>
          <w:rFonts w:ascii="Arial" w:cs="Arial" w:eastAsia="Arial" w:hAnsi="Arial"/>
          <w:sz w:val="16"/>
          <w:szCs w:val="16"/>
          <w:color w:val="auto"/>
        </w:rPr>
        <w:t>)) prior to, and a final maturity date not earlier than, five years from the date such Indebtedness is issued (it being understood that (A) none of: (w) the conversion features under convertible notes;</w:t>
      </w:r>
    </w:p>
    <w:p>
      <w:pPr>
        <w:spacing w:after="0" w:line="2" w:lineRule="exact"/>
        <w:rPr>
          <w:sz w:val="20"/>
          <w:szCs w:val="20"/>
          <w:color w:val="auto"/>
        </w:rPr>
      </w:pPr>
    </w:p>
    <w:p>
      <w:pPr>
        <w:ind w:left="4" w:right="220" w:hanging="4"/>
        <w:spacing w:after="0" w:line="260" w:lineRule="auto"/>
        <w:tabs>
          <w:tab w:leader="none" w:pos="2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triggering and/or settlement thereof or (y) any cash payment made in respect thereof, shall constitute “amortization” for purposes of this clause (a); and (B) any mandatory amortization that is contingent upon the</w:t>
      </w:r>
    </w:p>
    <w:p>
      <w:pPr>
        <w:spacing w:after="0" w:line="118"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46" w:name="page47"/>
    <w:bookmarkEnd w:id="46"/>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happening of an event that is not certain to occur (including a change of control or bankruptcy) shall not in and of itself be deemed to disqualify such Indebtedness under this clause (a)),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Special Unsecured Indebtedness shall not include any Indebtedness permitted pursuant to </w:t>
      </w:r>
      <w:r>
        <w:rPr>
          <w:rFonts w:ascii="Arial" w:cs="Arial" w:eastAsia="Arial" w:hAnsi="Arial"/>
          <w:sz w:val="16"/>
          <w:szCs w:val="16"/>
          <w:u w:val="single" w:color="auto"/>
          <w:color w:val="auto"/>
        </w:rPr>
        <w:t>Section 6.01(l)</w:t>
      </w:r>
      <w:r>
        <w:rPr>
          <w:rFonts w:ascii="Arial" w:cs="Arial" w:eastAsia="Arial" w:hAnsi="Arial"/>
          <w:sz w:val="16"/>
          <w:szCs w:val="16"/>
          <w:color w:val="auto"/>
        </w:rPr>
        <w: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xml:space="preserve">” means an Event of Default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(j) and (k).</w:t>
      </w:r>
    </w:p>
    <w:p>
      <w:pPr>
        <w:spacing w:after="0" w:line="22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right="6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81"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means any Subsidiary that is a Guarantor under the Guarantee and Security Agreement. It is understood and agreed that no Financing Subsidiary, Immaterial Subsidiary, Foreign Subsidiary or a Subsidiary of a Foreign Subsidiary shall be a Subsidiary Guarantor.</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Swedish Krona</w:t>
      </w:r>
      <w:r>
        <w:rPr>
          <w:rFonts w:ascii="Arial" w:cs="Arial" w:eastAsia="Arial" w:hAnsi="Arial"/>
          <w:sz w:val="18"/>
          <w:szCs w:val="18"/>
          <w:color w:val="auto"/>
        </w:rPr>
        <w:t>” means the lawful currency of Sweden.</w:t>
      </w:r>
    </w:p>
    <w:p>
      <w:pPr>
        <w:spacing w:after="0" w:line="158"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47" w:name="page48"/>
    <w:bookmarkEnd w:id="47"/>
    <w:p>
      <w:pPr>
        <w:ind w:right="4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Swingline Exposure</w:t>
      </w:r>
      <w:r>
        <w:rPr>
          <w:rFonts w:ascii="Arial" w:cs="Arial" w:eastAsia="Arial" w:hAnsi="Arial"/>
          <w:sz w:val="17"/>
          <w:szCs w:val="17"/>
          <w:color w:val="auto"/>
        </w:rPr>
        <w:t>” means, at any time, the aggregate principal amount of all Swingline Loans outstanding at such time. The Swingline Exposure of any Lender at any time shall be the sum of (a)(i) in the case of any Dollar Lender, its Applicable Dollar Percentage of the total Swingline Exposure at such time incurred under the Dollar Commitments and (ii) in the case of any Multicurrency Lender, its Applicable Multicurrency Percentage of the total Swingline Exposure at such time incurred under the Multicurrency Commitments (excluding, for purpose of this clause (a), in the case of any Lender that is a Swingline Lender, Swingline Loans made by it that are outstanding at such time to the extent that the other Lenders under such Lender’s Class of Commitments shall not have funded their participations in such Swingline Loans), adjusted, in each case, to give effect to any reallocation under Section 2.19 of the Swingline Exposure of Defaulting Lenders in effect at such time, plus (b) in the case of any Lender that is a Swingline Lender, the aggregate principal amount of all Swingline Loans made by such Lender outstanding at such time, less the amount of participations funded by the other Lenders under such Lender’s Class of Commitments in such Swingline Loans.</w:t>
      </w:r>
    </w:p>
    <w:p>
      <w:pPr>
        <w:spacing w:after="0" w:line="181" w:lineRule="exact"/>
        <w:rPr>
          <w:sz w:val="20"/>
          <w:szCs w:val="20"/>
          <w:color w:val="auto"/>
        </w:rPr>
      </w:pPr>
    </w:p>
    <w:p>
      <w:pPr>
        <w:jc w:val="both"/>
        <w:ind w:right="1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Lender</w:t>
      </w:r>
      <w:r>
        <w:rPr>
          <w:rFonts w:ascii="Arial" w:cs="Arial" w:eastAsia="Arial" w:hAnsi="Arial"/>
          <w:sz w:val="16"/>
          <w:szCs w:val="16"/>
          <w:color w:val="auto"/>
        </w:rPr>
        <w:t xml:space="preserve">” means any of Truist, JPMorgan Chase Bank, N.A., Royal Bank of Canada, State Street Bank and Trust Company and Wells Fargo Bank, N.A., each in its capacity as lender of Swingline Loans hereunder, and its successors in such capacity as provided in </w:t>
      </w:r>
      <w:r>
        <w:rPr>
          <w:rFonts w:ascii="Arial" w:cs="Arial" w:eastAsia="Arial" w:hAnsi="Arial"/>
          <w:sz w:val="16"/>
          <w:szCs w:val="16"/>
          <w:u w:val="single" w:color="auto"/>
          <w:color w:val="auto"/>
        </w:rPr>
        <w:t>Section 2.04(d)</w:t>
      </w:r>
      <w:r>
        <w:rPr>
          <w:rFonts w:ascii="Arial" w:cs="Arial" w:eastAsia="Arial" w:hAnsi="Arial"/>
          <w:sz w:val="16"/>
          <w:szCs w:val="16"/>
          <w:color w:val="auto"/>
        </w:rPr>
        <w: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Franc</w:t>
      </w:r>
      <w:r>
        <w:rPr>
          <w:rFonts w:ascii="Arial" w:cs="Arial" w:eastAsia="Arial" w:hAnsi="Arial"/>
          <w:sz w:val="18"/>
          <w:szCs w:val="18"/>
          <w:color w:val="auto"/>
        </w:rPr>
        <w:t>” means the lawful currency of Switzerland.</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Syndicated</w:t>
      </w:r>
      <w:r>
        <w:rPr>
          <w:rFonts w:ascii="Arial" w:cs="Arial" w:eastAsia="Arial" w:hAnsi="Arial"/>
          <w:sz w:val="18"/>
          <w:szCs w:val="18"/>
          <w:color w:val="auto"/>
        </w:rPr>
        <w:t xml:space="preserve">”, when used in reference to any Loan or Borrowing, refers to whether such Loan is, or the Loans constituting such Borrowing are,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payment system (or any successor settlement system as determined by the Administrative Agent to be a suitable replacement) is open for the settlement of payments in Euros.</w:t>
      </w:r>
    </w:p>
    <w:p>
      <w:pPr>
        <w:spacing w:after="0" w:line="184" w:lineRule="exact"/>
        <w:rPr>
          <w:sz w:val="20"/>
          <w:szCs w:val="20"/>
          <w:color w:val="auto"/>
        </w:rPr>
      </w:pPr>
    </w:p>
    <w:p>
      <w:pPr>
        <w:jc w:val="both"/>
        <w:ind w:right="7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84"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w:t>
      </w:r>
      <w:r>
        <w:rPr>
          <w:rFonts w:ascii="Arial" w:cs="Arial" w:eastAsia="Arial" w:hAnsi="Arial"/>
          <w:sz w:val="18"/>
          <w:szCs w:val="18"/>
          <w:color w:val="auto"/>
        </w:rPr>
        <w:t>”, when used in reference to any Loan or Borrowing, refers to whether such Loan is, or the Loans constituting such Borrowing are, bearing interest at a rate determined by reference to the Adjusted Term Benchmark Rate.</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 Banking Day</w:t>
      </w:r>
      <w:r>
        <w:rPr>
          <w:rFonts w:ascii="Arial" w:cs="Arial" w:eastAsia="Arial" w:hAnsi="Arial"/>
          <w:sz w:val="18"/>
          <w:szCs w:val="18"/>
          <w:color w:val="auto"/>
        </w:rPr>
        <w:t>” means for Term Benchmark Loans, Term Benchmark Borrowings, interest, fees, commissions or other amounts denominated in, or calculated with respect to:</w:t>
      </w:r>
    </w:p>
    <w:p>
      <w:pPr>
        <w:spacing w:after="0" w:line="170" w:lineRule="exact"/>
        <w:rPr>
          <w:sz w:val="20"/>
          <w:szCs w:val="20"/>
          <w:color w:val="auto"/>
        </w:rPr>
      </w:pPr>
    </w:p>
    <w:p>
      <w:pPr>
        <w:ind w:left="1240" w:hanging="253"/>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Dollars, a U.S. Government Securities Business Day;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Euros, a TARGET Day;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Canadian Dollars, any day (other than a Saturday or Sunday) on which banks are open for business in Toronto, Canada;</w:t>
      </w:r>
    </w:p>
    <w:p>
      <w:pPr>
        <w:spacing w:after="0" w:line="158"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48" w:name="page49"/>
    <w:bookmarkEnd w:id="48"/>
    <w:p>
      <w:pPr>
        <w:ind w:left="381" w:hanging="253"/>
        <w:spacing w:after="0"/>
        <w:tabs>
          <w:tab w:leader="none" w:pos="381"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Australian Dollars, any day (other than a Saturday or Sunday) on which banks are open for business in Melbourne, Australia;</w:t>
      </w:r>
    </w:p>
    <w:p>
      <w:pPr>
        <w:spacing w:after="0" w:line="236" w:lineRule="exact"/>
        <w:rPr>
          <w:rFonts w:ascii="Arial" w:cs="Arial" w:eastAsia="Arial" w:hAnsi="Arial"/>
          <w:sz w:val="17"/>
          <w:szCs w:val="17"/>
          <w:color w:val="auto"/>
        </w:rPr>
      </w:pPr>
    </w:p>
    <w:p>
      <w:pPr>
        <w:ind w:left="381" w:hanging="253"/>
        <w:spacing w:after="0"/>
        <w:tabs>
          <w:tab w:leader="none" w:pos="381"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New Zealand Dollars, any day (other than a Saturday or Sunday) on which banks are open for business in Auckland, New Zealand;</w:t>
      </w:r>
    </w:p>
    <w:p>
      <w:pPr>
        <w:spacing w:after="0" w:line="248" w:lineRule="exact"/>
        <w:rPr>
          <w:rFonts w:ascii="Arial" w:cs="Arial" w:eastAsia="Arial" w:hAnsi="Arial"/>
          <w:sz w:val="16"/>
          <w:szCs w:val="16"/>
          <w:color w:val="auto"/>
        </w:rPr>
      </w:pPr>
    </w:p>
    <w:p>
      <w:pPr>
        <w:ind w:left="361" w:hanging="233"/>
        <w:spacing w:after="0"/>
        <w:tabs>
          <w:tab w:leader="none" w:pos="361" w:val="left"/>
        </w:tabs>
        <w:numPr>
          <w:ilvl w:val="0"/>
          <w:numId w:val="31"/>
        </w:numPr>
        <w:rPr>
          <w:rFonts w:ascii="Arial" w:cs="Arial" w:eastAsia="Arial" w:hAnsi="Arial"/>
          <w:sz w:val="17"/>
          <w:szCs w:val="17"/>
          <w:color w:val="auto"/>
        </w:rPr>
      </w:pPr>
      <w:r>
        <w:rPr>
          <w:rFonts w:ascii="Arial" w:cs="Arial" w:eastAsia="Arial" w:hAnsi="Arial"/>
          <w:sz w:val="17"/>
          <w:szCs w:val="17"/>
          <w:color w:val="auto"/>
        </w:rPr>
        <w:t>Swedish Krona, any day (other than a Saturday or Sunday) on which banks are open for business in Stockholm, Sweden; or</w:t>
      </w:r>
    </w:p>
    <w:p>
      <w:pPr>
        <w:spacing w:after="0" w:line="236" w:lineRule="exact"/>
        <w:rPr>
          <w:rFonts w:ascii="Arial" w:cs="Arial" w:eastAsia="Arial" w:hAnsi="Arial"/>
          <w:sz w:val="17"/>
          <w:szCs w:val="17"/>
          <w:color w:val="auto"/>
        </w:rPr>
      </w:pPr>
    </w:p>
    <w:p>
      <w:pPr>
        <w:ind w:left="381" w:hanging="253"/>
        <w:spacing w:after="0"/>
        <w:tabs>
          <w:tab w:leader="none" w:pos="3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Japanese Yen, any day (other than a Saturday or Sunday) on which banks are open for business in Tokyo, Japan.</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Benchmark Rate</w:t>
      </w:r>
      <w:r>
        <w:rPr>
          <w:rFonts w:ascii="Arial" w:cs="Arial" w:eastAsia="Arial" w:hAnsi="Arial"/>
          <w:sz w:val="18"/>
          <w:szCs w:val="18"/>
          <w:color w:val="auto"/>
        </w:rPr>
        <w:t>” means, for any Interest Period:</w:t>
      </w:r>
    </w:p>
    <w:p>
      <w:pPr>
        <w:spacing w:after="0" w:line="117" w:lineRule="exact"/>
        <w:rPr>
          <w:sz w:val="20"/>
          <w:szCs w:val="20"/>
          <w:color w:val="auto"/>
        </w:rPr>
      </w:pPr>
    </w:p>
    <w:p>
      <w:pPr>
        <w:ind w:left="241" w:hanging="241"/>
        <w:spacing w:after="0"/>
        <w:tabs>
          <w:tab w:leader="none" w:pos="2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Term Benchmark Borrowings denominated in Dollars, Term SOFR for such Interest Period;</w:t>
      </w:r>
    </w:p>
    <w:p>
      <w:pPr>
        <w:spacing w:after="0" w:line="225" w:lineRule="exact"/>
        <w:rPr>
          <w:rFonts w:ascii="Arial" w:cs="Arial" w:eastAsia="Arial" w:hAnsi="Arial"/>
          <w:sz w:val="18"/>
          <w:szCs w:val="18"/>
          <w:color w:val="auto"/>
        </w:rPr>
      </w:pPr>
    </w:p>
    <w:p>
      <w:pPr>
        <w:ind w:left="-859" w:right="140" w:firstLine="987"/>
        <w:spacing w:after="0" w:line="257" w:lineRule="auto"/>
        <w:tabs>
          <w:tab w:leader="none" w:pos="3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(Brussels time) two Term Benchmark Banking Days for Euros prior to the first day of such Interest Period;</w:t>
      </w:r>
    </w:p>
    <w:p>
      <w:pPr>
        <w:spacing w:after="0" w:line="187" w:lineRule="exact"/>
        <w:rPr>
          <w:rFonts w:ascii="Arial" w:cs="Arial" w:eastAsia="Arial" w:hAnsi="Arial"/>
          <w:sz w:val="18"/>
          <w:szCs w:val="18"/>
          <w:color w:val="auto"/>
        </w:rPr>
      </w:pPr>
    </w:p>
    <w:p>
      <w:pPr>
        <w:ind w:left="-859" w:right="20" w:firstLine="987"/>
        <w:spacing w:after="0" w:line="254" w:lineRule="auto"/>
        <w:tabs>
          <w:tab w:leader="none" w:pos="387"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case of Term Benchmark Borrowings denominated in Canadian Dollars, the rate per annum equal to the average of the annual yield rates applicable to Canadian Dollar banker’s acceptances at or about 10:00 a.m. (Toronto, Ontario time) on the first day of such Interest Period (or if such day is not a Term Benchmark Banking Day, then on the immediately preceding Term Benchmark Banking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in its reasonable discretion) for a term equivalent to such Interest Period (or if such Interest Period is not equal to a number of months, for a term equivalent to the number of months closest to such Interest Period);</w:t>
      </w:r>
    </w:p>
    <w:p>
      <w:pPr>
        <w:spacing w:after="0" w:line="194" w:lineRule="exact"/>
        <w:rPr>
          <w:rFonts w:ascii="Arial" w:cs="Arial" w:eastAsia="Arial" w:hAnsi="Arial"/>
          <w:sz w:val="18"/>
          <w:szCs w:val="18"/>
          <w:color w:val="auto"/>
        </w:rPr>
      </w:pPr>
    </w:p>
    <w:p>
      <w:pPr>
        <w:ind w:left="-859" w:right="60" w:firstLine="987"/>
        <w:spacing w:after="0" w:line="255" w:lineRule="auto"/>
        <w:tabs>
          <w:tab w:leader="none" w:pos="3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case of Term Benchmark Borrowings denominated in Australian Dollars, the rate per annum equal to the Bank Bill Swap Reference Bid rate or a successor thereto approved by the Administrative Agent (“</w:t>
      </w:r>
      <w:r>
        <w:rPr>
          <w:rFonts w:ascii="Arial" w:cs="Arial" w:eastAsia="Arial" w:hAnsi="Arial"/>
          <w:sz w:val="18"/>
          <w:szCs w:val="18"/>
          <w:u w:val="single" w:color="auto"/>
          <w:color w:val="auto"/>
        </w:rPr>
        <w:t>BBSY</w:t>
      </w:r>
      <w:r>
        <w:rPr>
          <w:rFonts w:ascii="Arial" w:cs="Arial" w:eastAsia="Arial" w:hAnsi="Arial"/>
          <w:sz w:val="18"/>
          <w:szCs w:val="18"/>
          <w:color w:val="auto"/>
        </w:rPr>
        <w:t>”) as published by Reuters (or such other page or commercially available source providing BBSY (Bid) quotations as may be designated by the Administrative Agent from time to time) at or about 10:30 a.m. (Melbourne, Australia time) on the day that is two Term Benchmark Banking Days for Australian Dollars prior to the first day of the Interest Period (or if such day is not an Term Benchmark Banking Day for Australian Dollars, then on the immediately preceding Term Benchmark Banking Day for Australian Dollars) with a term equivalent to such Interest Period;</w:t>
      </w:r>
    </w:p>
    <w:p>
      <w:pPr>
        <w:spacing w:after="0" w:line="125" w:lineRule="exact"/>
        <w:rPr>
          <w:sz w:val="20"/>
          <w:szCs w:val="20"/>
          <w:color w:val="auto"/>
        </w:rPr>
      </w:pPr>
    </w:p>
    <w:p>
      <w:pPr>
        <w:jc w:val="both"/>
        <w:ind w:left="4801"/>
        <w:spacing w:after="0"/>
        <w:tabs>
          <w:tab w:leader="none" w:pos="81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161"/>
          </w:cols>
          <w:pgMar w:left="1299" w:top="274" w:right="439" w:bottom="1440" w:gutter="0" w:footer="0" w:header="0"/>
        </w:sectPr>
      </w:pPr>
    </w:p>
    <w:bookmarkStart w:id="49" w:name="page50"/>
    <w:bookmarkEnd w:id="49"/>
    <w:p>
      <w:pPr>
        <w:jc w:val="both"/>
        <w:ind w:left="-980" w:right="20" w:firstLine="987"/>
        <w:spacing w:after="0" w:line="255" w:lineRule="auto"/>
        <w:tabs>
          <w:tab w:leader="none" w:pos="26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Term Benchmark Borrowings denominated in New Zealand Dollars, the rate per annum equal to the Bank Bill Reference Bid Rate or a successor thereto approved by the Administrative Agent (“</w:t>
      </w:r>
      <w:r>
        <w:rPr>
          <w:rFonts w:ascii="Arial" w:cs="Arial" w:eastAsia="Arial" w:hAnsi="Arial"/>
          <w:sz w:val="18"/>
          <w:szCs w:val="18"/>
          <w:u w:val="single" w:color="auto"/>
          <w:color w:val="auto"/>
        </w:rPr>
        <w:t>BKBM</w:t>
      </w:r>
      <w:r>
        <w:rPr>
          <w:rFonts w:ascii="Arial" w:cs="Arial" w:eastAsia="Arial" w:hAnsi="Arial"/>
          <w:sz w:val="18"/>
          <w:szCs w:val="18"/>
          <w:color w:val="auto"/>
        </w:rPr>
        <w:t>”) as published by Reuters (or such other page or commercially available source providing BKBM (Bid) quotations as may be designated by the Administrative Agent from time to time) at or about 10:45 a.m. (Auckland, New Zealand time) on the day that is two Term Benchmark Banking Days for New Zealand Dollars prior to the first day of the Interest Period (or if such day is not an Term Benchmark Banking Day for New Zealand Dollars, then on the immediately preceding Term Benchmark Banking Day for New Zealand Dollars) with a term equivalent to such Interest Period;</w:t>
      </w:r>
    </w:p>
    <w:p>
      <w:pPr>
        <w:spacing w:after="0" w:line="192" w:lineRule="exact"/>
        <w:rPr>
          <w:rFonts w:ascii="Arial" w:cs="Arial" w:eastAsia="Arial" w:hAnsi="Arial"/>
          <w:sz w:val="18"/>
          <w:szCs w:val="18"/>
          <w:color w:val="auto"/>
        </w:rPr>
      </w:pPr>
    </w:p>
    <w:p>
      <w:pPr>
        <w:ind w:left="-980" w:right="40" w:firstLine="987"/>
        <w:spacing w:after="0" w:line="255" w:lineRule="auto"/>
        <w:tabs>
          <w:tab w:leader="none" w:pos="2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Term Benchmark Borrowings denominated in Swedish Krona, the rate per annum equal to the Stockholm Interbank Offered Rate or a successor thereto approved by the Administrative Agent (“</w:t>
      </w:r>
      <w:r>
        <w:rPr>
          <w:rFonts w:ascii="Arial" w:cs="Arial" w:eastAsia="Arial" w:hAnsi="Arial"/>
          <w:sz w:val="18"/>
          <w:szCs w:val="18"/>
          <w:u w:val="single" w:color="auto"/>
          <w:color w:val="auto"/>
        </w:rPr>
        <w:t>STIBOR</w:t>
      </w:r>
      <w:r>
        <w:rPr>
          <w:rFonts w:ascii="Arial" w:cs="Arial" w:eastAsia="Arial" w:hAnsi="Arial"/>
          <w:sz w:val="18"/>
          <w:szCs w:val="18"/>
          <w:color w:val="auto"/>
        </w:rPr>
        <w:t>”) as published by Reuters (or such other page or commercially available source providing STIBOR quotations as may be designated by the Administrative Agent from time to time) at or about 11:00 a.m. (Stockholm, Sweden time) on the day that is two Term Benchmark Banking Days for Swedish Krona prior to the first day of the Interest Period (or if such day is not an Term Benchmark Banking Day for Swedish Krona, then on the immediately preceding Term Benchmark Banking Day for Swedish Krona) with a term equivalent to such Interest Period; and</w:t>
      </w:r>
    </w:p>
    <w:p>
      <w:pPr>
        <w:spacing w:after="0" w:line="192" w:lineRule="exact"/>
        <w:rPr>
          <w:rFonts w:ascii="Arial" w:cs="Arial" w:eastAsia="Arial" w:hAnsi="Arial"/>
          <w:sz w:val="18"/>
          <w:szCs w:val="18"/>
          <w:color w:val="auto"/>
        </w:rPr>
      </w:pPr>
    </w:p>
    <w:p>
      <w:pPr>
        <w:ind w:left="-980" w:right="200" w:firstLine="987"/>
        <w:spacing w:after="0" w:line="275" w:lineRule="auto"/>
        <w:tabs>
          <w:tab w:leader="none" w:pos="2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case of Term Benchmark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(Tokyo time) two Term Benchmark Banking Days for Japanese Yen prior to the first day of such Interest Period;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in each case, if such rate for any Currency is less than zero, such rate shall be deemed to be zero for purposes of this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w:t>
      </w:r>
    </w:p>
    <w:p>
      <w:pPr>
        <w:spacing w:after="0" w:line="225" w:lineRule="exact"/>
        <w:rPr>
          <w:sz w:val="20"/>
          <w:szCs w:val="20"/>
          <w:color w:val="auto"/>
        </w:rPr>
      </w:pPr>
    </w:p>
    <w:p>
      <w:pPr>
        <w:ind w:left="-980" w:right="20" w:firstLine="987"/>
        <w:spacing w:after="0" w:line="289" w:lineRule="auto"/>
        <w:tabs>
          <w:tab w:leader="none" w:pos="256"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any calculation with respect to a Term Benchmark Loan denominated in Dollars for any Interest Period, the sum of (i) the Term SOFR Credit Adjustment Spread and (ii) the Term SOFR Reference Rate for a tenor comparable to the applicable Interest Period on the day (such day, the “</w:t>
      </w:r>
      <w:r>
        <w:rPr>
          <w:rFonts w:ascii="Arial" w:cs="Arial" w:eastAsia="Arial" w:hAnsi="Arial"/>
          <w:sz w:val="16"/>
          <w:szCs w:val="16"/>
          <w:u w:val="single" w:color="auto"/>
          <w:color w:val="auto"/>
        </w:rPr>
        <w:t>Periodic Term SOFR Determination Day</w:t>
      </w:r>
      <w:r>
        <w:rPr>
          <w:rFonts w:ascii="Arial" w:cs="Arial" w:eastAsia="Arial" w:hAnsi="Arial"/>
          <w:sz w:val="16"/>
          <w:szCs w:val="16"/>
          <w:color w:val="auto"/>
        </w:rPr>
        <w:t xml:space="preserve">”) that is two (2) U.S. Government Securities Business Days prior to the first day of such Interest Period, as such rate is published by the Term SOFR Administrator; </w:t>
      </w:r>
      <w:r>
        <w:rPr>
          <w:rFonts w:ascii="Arial" w:cs="Arial" w:eastAsia="Arial" w:hAnsi="Arial"/>
          <w:sz w:val="16"/>
          <w:szCs w:val="16"/>
          <w:u w:val="single" w:color="auto"/>
          <w:color w:val="auto"/>
        </w:rPr>
        <w:t>provided</w:t>
      </w:r>
      <w:r>
        <w:rPr>
          <w:rFonts w:ascii="Arial" w:cs="Arial" w:eastAsia="Arial" w:hAnsi="Arial"/>
          <w:sz w:val="16"/>
          <w:szCs w:val="16"/>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99" w:lineRule="exact"/>
        <w:rPr>
          <w:sz w:val="20"/>
          <w:szCs w:val="20"/>
          <w:color w:val="auto"/>
        </w:rPr>
      </w:pPr>
    </w:p>
    <w:p>
      <w:pPr>
        <w:jc w:val="both"/>
        <w:ind w:left="4680"/>
        <w:spacing w:after="0"/>
        <w:tabs>
          <w:tab w:leader="none" w:pos="79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50" w:name="page51"/>
    <w:bookmarkEnd w:id="50"/>
    <w:p>
      <w:pPr>
        <w:ind w:right="40" w:firstLine="987"/>
        <w:spacing w:after="0" w:line="253"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any calculation with respect to an ABR Loan on any day, the sum of (i) the Term SOFR Credit Adjustment Spread and (ii) the Term SOFR Reference Rate for a tenor of one month on the day (such day, the “</w:t>
      </w:r>
      <w:r>
        <w:rPr>
          <w:rFonts w:ascii="Arial" w:cs="Arial" w:eastAsia="Arial" w:hAnsi="Arial"/>
          <w:sz w:val="18"/>
          <w:szCs w:val="18"/>
          <w:u w:val="single" w:color="auto"/>
          <w:color w:val="auto"/>
        </w:rPr>
        <w:t>Base Rate Term SOFR Determination Day</w:t>
      </w:r>
      <w:r>
        <w:rPr>
          <w:rFonts w:ascii="Arial" w:cs="Arial" w:eastAsia="Arial" w:hAnsi="Arial"/>
          <w:sz w:val="18"/>
          <w:szCs w:val="18"/>
          <w:color w:val="auto"/>
        </w:rPr>
        <w:t xml:space="preserve">”) that is two (2) U.S. Government Securities Business Days prior to such day, as such rate is published by the Term SOFR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6"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Administrator</w:t>
      </w:r>
      <w:r>
        <w:rPr>
          <w:rFonts w:ascii="Arial" w:cs="Arial" w:eastAsia="Arial" w:hAnsi="Arial"/>
          <w:sz w:val="18"/>
          <w:szCs w:val="18"/>
          <w:color w:val="auto"/>
        </w:rPr>
        <w:t>” means the CME Group Benchmark Administration Limited (CBA) (or a successor administrator of the Term SOFR Reference Rate selected by the Administrative Agent in its reasonable discretion).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Credit Adjustment Spread</w:t>
      </w:r>
      <w:r>
        <w:rPr>
          <w:rFonts w:ascii="Arial" w:cs="Arial" w:eastAsia="Arial" w:hAnsi="Arial"/>
          <w:sz w:val="18"/>
          <w:szCs w:val="18"/>
          <w:color w:val="auto"/>
        </w:rPr>
        <w:t>” means 0.10%.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Reference Rate</w:t>
      </w:r>
      <w:r>
        <w:rPr>
          <w:rFonts w:ascii="Arial" w:cs="Arial" w:eastAsia="Arial" w:hAnsi="Arial"/>
          <w:sz w:val="18"/>
          <w:szCs w:val="18"/>
          <w:color w:val="auto"/>
        </w:rPr>
        <w:t>” means the forward-looking term rate based on SOFR.</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earliest to occur of (i) the Final Maturity Date, (ii) the date of the termination of the Commitments in full pursuant to </w:t>
      </w:r>
      <w:r>
        <w:rPr>
          <w:rFonts w:ascii="Arial" w:cs="Arial" w:eastAsia="Arial" w:hAnsi="Arial"/>
          <w:sz w:val="18"/>
          <w:szCs w:val="18"/>
          <w:u w:val="single" w:color="auto"/>
          <w:color w:val="auto"/>
        </w:rPr>
        <w:t>Section 2.08(c)</w:t>
      </w:r>
      <w:r>
        <w:rPr>
          <w:rFonts w:ascii="Arial" w:cs="Arial" w:eastAsia="Arial" w:hAnsi="Arial"/>
          <w:sz w:val="18"/>
          <w:szCs w:val="18"/>
          <w:color w:val="auto"/>
        </w:rPr>
        <w:t xml:space="preserve">, or (iii) the date on which the Commitments are terminated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5.12(b)(ii)(E)(x)</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5.12(b)(ii)(B)</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as of any date of determination, the value of the total assets of the Obligors, less all liabilities and indebtedness not represented by senior securities, in each case, as of such date of determination.</w:t>
      </w:r>
    </w:p>
    <w:p>
      <w:pPr>
        <w:spacing w:after="0" w:line="170" w:lineRule="exact"/>
        <w:rPr>
          <w:sz w:val="20"/>
          <w:szCs w:val="20"/>
          <w:color w:val="auto"/>
        </w:rPr>
      </w:pPr>
    </w:p>
    <w:p>
      <w:pPr>
        <w:ind w:right="5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 Concentration Limitation</w:t>
      </w:r>
      <w:r>
        <w:rPr>
          <w:rFonts w:ascii="Arial" w:cs="Arial" w:eastAsia="Arial" w:hAnsi="Arial"/>
          <w:sz w:val="18"/>
          <w:szCs w:val="18"/>
          <w:color w:val="auto"/>
        </w:rPr>
        <w:t>” means, as of any date of determination, the amount by which the aggregate value of Equity Interests in Financing Subsidiaries held by the Obligors as of such date of determination exceeds 15% of the Total Assets as of such date of determination.</w:t>
      </w:r>
    </w:p>
    <w:p>
      <w:pPr>
        <w:spacing w:after="0" w:line="184" w:lineRule="exact"/>
        <w:rPr>
          <w:sz w:val="20"/>
          <w:szCs w:val="20"/>
          <w:color w:val="auto"/>
        </w:rPr>
      </w:pPr>
    </w:p>
    <w:p>
      <w:pPr>
        <w:ind w:right="1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Secured Debt</w:t>
      </w:r>
      <w:r>
        <w:rPr>
          <w:rFonts w:ascii="Arial" w:cs="Arial" w:eastAsia="Arial" w:hAnsi="Arial"/>
          <w:sz w:val="16"/>
          <w:szCs w:val="16"/>
          <w:color w:val="auto"/>
        </w:rPr>
        <w:t>” means, as of any date of determination, the aggregate amount of senior securities representing secured indebtedness of the Obligors as of such date of determination, which, for the avoidance of doubt, shall not include any indebtedness under any Capital Call Facility.</w:t>
      </w:r>
    </w:p>
    <w:p>
      <w:pPr>
        <w:spacing w:after="0" w:line="56"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51" w:name="page52"/>
    <w:bookmarkEnd w:id="51"/>
    <w:p>
      <w:pPr>
        <w:ind w:left="4" w:right="3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and the other Loan Documents, the borrowing of Loans, the use of the proceeds thereof and the issuance of Letters of Credit hereunder.</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Truist</w:t>
      </w:r>
      <w:r>
        <w:rPr>
          <w:rFonts w:ascii="Arial" w:cs="Arial" w:eastAsia="Arial" w:hAnsi="Arial"/>
          <w:sz w:val="18"/>
          <w:szCs w:val="18"/>
          <w:color w:val="auto"/>
        </w:rPr>
        <w:t>” means Truist Bank.</w:t>
      </w:r>
    </w:p>
    <w:p>
      <w:pPr>
        <w:spacing w:after="0" w:line="225" w:lineRule="exact"/>
        <w:rPr>
          <w:sz w:val="20"/>
          <w:szCs w:val="20"/>
          <w:color w:val="auto"/>
        </w:rPr>
      </w:pPr>
    </w:p>
    <w:p>
      <w:pPr>
        <w:ind w:left="4" w:right="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when used in reference to any Loan or Borrowing, refers to whether the rate of interest on such Loan, or on the Loans constituting such Borrowing, is determined by reference to the Adjusted Term Benchmark Rate, the Daily Simple RFR or the Alternate Base Rate.</w:t>
      </w:r>
    </w:p>
    <w:p>
      <w:pPr>
        <w:spacing w:after="0" w:line="146" w:lineRule="exact"/>
        <w:rPr>
          <w:sz w:val="20"/>
          <w:szCs w:val="20"/>
          <w:color w:val="auto"/>
        </w:rPr>
      </w:pPr>
    </w:p>
    <w:p>
      <w:pPr>
        <w:jc w:val="both"/>
        <w:ind w:left="4"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4"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Unasserted Contingent Obligations</w:t>
      </w:r>
      <w:r>
        <w:rPr>
          <w:rFonts w:ascii="Arial" w:cs="Arial" w:eastAsia="Arial" w:hAnsi="Arial"/>
          <w:sz w:val="17"/>
          <w:szCs w:val="17"/>
          <w:color w:val="auto"/>
        </w:rPr>
        <w:t>” means all (i) unasserted contingent indemnification obligations not then due and payable and</w:t>
      </w:r>
    </w:p>
    <w:p>
      <w:pPr>
        <w:spacing w:after="0" w:line="35" w:lineRule="exact"/>
        <w:rPr>
          <w:sz w:val="20"/>
          <w:szCs w:val="20"/>
          <w:color w:val="auto"/>
        </w:rPr>
      </w:pPr>
    </w:p>
    <w:p>
      <w:pPr>
        <w:ind w:left="4" w:right="100" w:hanging="4"/>
        <w:spacing w:after="0" w:line="260" w:lineRule="auto"/>
        <w:tabs>
          <w:tab w:leader="none" w:pos="2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unasserted expense reimbursement obligations not then due and payable. For the avoidance of doubt, “Unasserted Contingent Obligations” shall not include any reimbursement obligations in respect of any Letter of Credit.</w:t>
      </w:r>
    </w:p>
    <w:p>
      <w:pPr>
        <w:spacing w:after="0" w:line="185"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Undisclosed Administration</w:t>
      </w:r>
      <w:r>
        <w:rPr>
          <w:rFonts w:ascii="Arial" w:cs="Arial" w:eastAsia="Arial" w:hAnsi="Arial"/>
          <w:sz w:val="17"/>
          <w:szCs w:val="17"/>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Unsecured Longer-Term Indebtedness</w:t>
      </w:r>
      <w:r>
        <w:rPr>
          <w:rFonts w:ascii="Arial" w:cs="Arial" w:eastAsia="Arial" w:hAnsi="Arial"/>
          <w:sz w:val="16"/>
          <w:szCs w:val="16"/>
          <w:color w:val="auto"/>
        </w:rPr>
        <w:t>” means any Indebtedness of an Obligor (which may be Guaranteed by Subsidiary Guarantors) that</w:t>
      </w:r>
    </w:p>
    <w:p>
      <w:pPr>
        <w:spacing w:after="0" w:line="46" w:lineRule="exact"/>
        <w:rPr>
          <w:sz w:val="20"/>
          <w:szCs w:val="20"/>
          <w:color w:val="auto"/>
        </w:rPr>
      </w:pPr>
    </w:p>
    <w:p>
      <w:pPr>
        <w:ind w:left="4" w:right="120" w:hanging="4"/>
        <w:spacing w:after="0" w:line="281" w:lineRule="auto"/>
        <w:tabs>
          <w:tab w:leader="none" w:pos="2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6.01(o</w:t>
      </w:r>
      <w:r>
        <w:rPr>
          <w:rFonts w:ascii="Arial" w:cs="Arial" w:eastAsia="Arial" w:hAnsi="Arial"/>
          <w:sz w:val="16"/>
          <w:szCs w:val="16"/>
          <w:color w:val="auto"/>
        </w:rPr>
        <w:t>)) prior to, and a final maturity date not earlier than, six months after the Final Maturity Date (it being understood that (A) none of: (w) the conversion features under convertible notes; (x) the triggering and/or settlement thereof or</w:t>
      </w:r>
    </w:p>
    <w:p>
      <w:pPr>
        <w:spacing w:after="0" w:line="2" w:lineRule="exact"/>
        <w:rPr>
          <w:rFonts w:ascii="Arial" w:cs="Arial" w:eastAsia="Arial" w:hAnsi="Arial"/>
          <w:sz w:val="16"/>
          <w:szCs w:val="16"/>
          <w:color w:val="auto"/>
        </w:rPr>
      </w:pPr>
    </w:p>
    <w:p>
      <w:pPr>
        <w:ind w:left="4" w:right="100" w:hanging="4"/>
        <w:spacing w:after="0" w:line="260" w:lineRule="auto"/>
        <w:tabs>
          <w:tab w:leader="none" w:pos="2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cash payment made in respect thereof, shall constitute “amortization” for purposes of this clause (a); and (B) any mandatory amortization that is contingent upon the happening of an event that is not certain to</w:t>
      </w:r>
    </w:p>
    <w:p>
      <w:pPr>
        <w:spacing w:after="0" w:line="118"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52" w:name="page53"/>
    <w:bookmarkEnd w:id="52"/>
    <w:p>
      <w:pPr>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occur (including a change of control or bankruptcy) shall not in and of itself be deemed to disqualify such Indebtedness under this clause (a)),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6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Shorter-Term Indebtedness</w:t>
      </w:r>
      <w:r>
        <w:rPr>
          <w:rFonts w:ascii="Arial" w:cs="Arial" w:eastAsia="Arial" w:hAnsi="Arial"/>
          <w:sz w:val="18"/>
          <w:szCs w:val="18"/>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8"/>
          <w:szCs w:val="18"/>
          <w:u w:val="single" w:color="auto"/>
          <w:color w:val="auto"/>
        </w:rPr>
        <w:t>Section 6.11(a)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Unsecured Shorter-Term Indebtedness shall not include any Indebtedness permitted pursuant to </w:t>
      </w:r>
      <w:r>
        <w:rPr>
          <w:rFonts w:ascii="Arial" w:cs="Arial" w:eastAsia="Arial" w:hAnsi="Arial"/>
          <w:sz w:val="18"/>
          <w:szCs w:val="18"/>
          <w:u w:val="single" w:color="auto"/>
          <w:color w:val="auto"/>
        </w:rPr>
        <w:t>Section 6.01(l)</w:t>
      </w:r>
      <w:r>
        <w:rPr>
          <w:rFonts w:ascii="Arial" w:cs="Arial" w:eastAsia="Arial" w:hAnsi="Arial"/>
          <w:sz w:val="18"/>
          <w:szCs w:val="18"/>
          <w:color w:val="auto"/>
        </w:rPr>
        <w: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Unquoted Investments</w:t>
      </w:r>
      <w:r>
        <w:rPr>
          <w:rFonts w:ascii="Arial" w:cs="Arial" w:eastAsia="Arial" w:hAnsi="Arial"/>
          <w:sz w:val="17"/>
          <w:szCs w:val="17"/>
          <w:color w:val="auto"/>
        </w:rPr>
        <w:t xml:space="preserve">” means a Portfolio Investment with a value assigned by the Borrower pursuant to </w:t>
      </w:r>
      <w:r>
        <w:rPr>
          <w:rFonts w:ascii="Arial" w:cs="Arial" w:eastAsia="Arial" w:hAnsi="Arial"/>
          <w:sz w:val="17"/>
          <w:szCs w:val="17"/>
          <w:u w:val="single" w:color="auto"/>
          <w:color w:val="auto"/>
        </w:rPr>
        <w:t>Section 5.12(b)(ii)(B)</w:t>
      </w:r>
      <w:r>
        <w:rPr>
          <w:rFonts w:ascii="Arial" w:cs="Arial" w:eastAsia="Arial" w:hAnsi="Arial"/>
          <w:sz w:val="17"/>
          <w:szCs w:val="17"/>
          <w:color w:val="auto"/>
        </w:rPr>
        <w:t>.</w:t>
      </w:r>
    </w:p>
    <w:p>
      <w:pPr>
        <w:spacing w:after="0" w:line="237"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4"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8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9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53" w:name="page54"/>
    <w:bookmarkEnd w:id="53"/>
    <w:p>
      <w:pPr>
        <w:ind w:right="6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Arial" w:cs="Arial" w:eastAsia="Arial" w:hAnsi="Arial"/>
          <w:sz w:val="17"/>
          <w:szCs w:val="17"/>
          <w:u w:val="single" w:color="auto"/>
          <w:color w:val="auto"/>
        </w:rPr>
        <w:t>Classification of Loans and Borrowings</w:t>
      </w:r>
      <w:r>
        <w:rPr>
          <w:rFonts w:ascii="Arial" w:cs="Arial" w:eastAsia="Arial" w:hAnsi="Arial"/>
          <w:sz w:val="17"/>
          <w:szCs w:val="17"/>
          <w:color w:val="auto"/>
        </w:rPr>
        <w:t>. For purposes of this Agreement, Loans may be classified and referred to by Class (e.g., a “Syndicated Dollar Loan” or “Syndicated Multicurrency Loan”), by Type (e.g., an “ABR Loan”) or by Class and Type (e.g., a “Syndicated Multicurrency Term Benchmark Loan”). Borrowings also may be classified and referred to by Class (e.g., a “Dollar Borrowing”, “Multicurrency Borrowing” or “Syndicated Borrowing”), by Type (e.g., an “ABR Borrowing”) or by Class and Type (e.g., a “Syndicated ABR Borrowing” or “Syndicated Multicurrency Term Benchmark Borrowing”). Loans and Borrowings may also be identified by Currency.</w:t>
      </w:r>
    </w:p>
    <w:p>
      <w:pPr>
        <w:spacing w:after="0" w:line="176"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67" w:lineRule="exact"/>
        <w:rPr>
          <w:sz w:val="20"/>
          <w:szCs w:val="20"/>
          <w:color w:val="auto"/>
        </w:rPr>
      </w:pPr>
    </w:p>
    <w:p>
      <w:pPr>
        <w:ind w:right="80" w:firstLine="991"/>
        <w:spacing w:after="0" w:line="289"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Arial" w:cs="Arial" w:eastAsia="Arial" w:hAnsi="Arial"/>
          <w:sz w:val="16"/>
          <w:szCs w:val="16"/>
          <w:u w:val="single" w:color="auto"/>
          <w:color w:val="auto"/>
        </w:rPr>
        <w:t>ASU</w:t>
      </w:r>
      <w:r>
        <w:rPr>
          <w:rFonts w:ascii="Arial" w:cs="Arial" w:eastAsia="Arial" w:hAnsi="Arial"/>
          <w:sz w:val="16"/>
          <w:szCs w:val="16"/>
          <w:color w:val="auto"/>
        </w:rPr>
        <w:t>”) shall continue to be accounted for as operating leases for purposes of all financial definitions and calculations for purposes of the</w:t>
      </w:r>
    </w:p>
    <w:p>
      <w:pPr>
        <w:spacing w:after="0" w:line="9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54" w:name="page55"/>
    <w:bookmarkEnd w:id="54"/>
    <w:p>
      <w:pPr>
        <w:ind w:left="4"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Currencies; Currency Equivalents</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87" w:lineRule="auto"/>
        <w:tabs>
          <w:tab w:leader="none" w:pos="1240"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Currencies Generally</w:t>
      </w:r>
      <w:r>
        <w:rPr>
          <w:rFonts w:ascii="Arial" w:cs="Arial" w:eastAsia="Arial" w:hAnsi="Arial"/>
          <w:sz w:val="16"/>
          <w:szCs w:val="16"/>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the last sentence of </w:t>
      </w:r>
      <w:r>
        <w:rPr>
          <w:rFonts w:ascii="Arial" w:cs="Arial" w:eastAsia="Arial" w:hAnsi="Arial"/>
          <w:sz w:val="16"/>
          <w:szCs w:val="16"/>
          <w:u w:val="single" w:color="auto"/>
          <w:color w:val="auto"/>
        </w:rPr>
        <w:t>Section 2.17(a)</w:t>
      </w:r>
      <w:r>
        <w:rPr>
          <w:rFonts w:ascii="Arial" w:cs="Arial" w:eastAsia="Arial" w:hAnsi="Arial"/>
          <w:sz w:val="16"/>
          <w:szCs w:val="16"/>
          <w:color w:val="auto"/>
        </w:rPr>
        <w:t>, for purposes of determining</w:t>
      </w:r>
    </w:p>
    <w:p>
      <w:pPr>
        <w:spacing w:after="0" w:line="2" w:lineRule="exact"/>
        <w:rPr>
          <w:rFonts w:ascii="Arial" w:cs="Arial" w:eastAsia="Arial" w:hAnsi="Arial"/>
          <w:sz w:val="16"/>
          <w:szCs w:val="16"/>
          <w:color w:val="auto"/>
        </w:rPr>
      </w:pPr>
    </w:p>
    <w:p>
      <w:pPr>
        <w:ind w:left="4" w:right="20" w:hanging="4"/>
        <w:spacing w:after="0" w:line="285" w:lineRule="auto"/>
        <w:tabs>
          <w:tab w:leader="none" w:pos="219"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Arial" w:cs="Arial" w:eastAsia="Arial" w:hAnsi="Arial"/>
          <w:sz w:val="16"/>
          <w:szCs w:val="16"/>
          <w:u w:val="single" w:color="auto"/>
          <w:color w:val="auto"/>
        </w:rPr>
        <w:t>Sections 6.03(g)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6.04(f)</w:t>
      </w:r>
      <w:r>
        <w:rPr>
          <w:rFonts w:ascii="Arial" w:cs="Arial" w:eastAsia="Arial" w:hAnsi="Arial"/>
          <w:sz w:val="16"/>
          <w:szCs w:val="16"/>
          <w:color w:val="auto"/>
        </w:rPr>
        <w:t>, in no event shall the Borrower or any Obligor be deemed to not be in compliance with any such basket solely as a result of a change in exchange rates.</w:t>
      </w:r>
    </w:p>
    <w:p>
      <w:pPr>
        <w:spacing w:after="0" w:line="169" w:lineRule="exact"/>
        <w:rPr>
          <w:rFonts w:ascii="Arial" w:cs="Arial" w:eastAsia="Arial" w:hAnsi="Arial"/>
          <w:sz w:val="16"/>
          <w:szCs w:val="16"/>
          <w:color w:val="auto"/>
        </w:rPr>
      </w:pPr>
    </w:p>
    <w:p>
      <w:pPr>
        <w:ind w:left="4" w:right="20" w:firstLine="987"/>
        <w:spacing w:after="0" w:line="259" w:lineRule="auto"/>
        <w:tabs>
          <w:tab w:leader="none" w:pos="125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Special Provisions Relating to Euro</w:t>
      </w:r>
      <w:r>
        <w:rPr>
          <w:rFonts w:ascii="Arial" w:cs="Arial" w:eastAsia="Arial" w:hAnsi="Arial"/>
          <w:sz w:val="18"/>
          <w:szCs w:val="18"/>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and to the extent</w:t>
      </w:r>
    </w:p>
    <w:p>
      <w:pPr>
        <w:spacing w:after="0" w:line="119"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55" w:name="page56"/>
    <w:bookmarkEnd w:id="55"/>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Borrowing denominated in such currency that is outstanding immediately prior to such date, such replacement shall take effect at the end of the Interest Period therefor.</w:t>
      </w:r>
    </w:p>
    <w:p>
      <w:pPr>
        <w:spacing w:after="0" w:line="19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92"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Rates</w:t>
      </w:r>
      <w:r>
        <w:rPr>
          <w:rFonts w:ascii="Arial" w:cs="Arial" w:eastAsia="Arial" w:hAnsi="Arial"/>
          <w:sz w:val="16"/>
          <w:szCs w:val="16"/>
          <w:color w:val="auto"/>
        </w:rPr>
        <w:t>. The Administrative Agent does not warrant or accept responsibility for, and shall not have any liability with respect to (a) the continuation of, administration of, submission of, calculation of or any other matter related to the Alternate Base Rate, the Daily Simple RFR, or the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Daily Simple RFR, the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the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the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by any such information source or service of any such rate (or component thereof).</w:t>
      </w:r>
    </w:p>
    <w:p>
      <w:pPr>
        <w:spacing w:after="0" w:line="103"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Commitments</w:t>
      </w:r>
      <w:r>
        <w:rPr>
          <w:rFonts w:ascii="Arial" w:cs="Arial" w:eastAsia="Arial" w:hAnsi="Arial"/>
          <w:sz w:val="18"/>
          <w:szCs w:val="18"/>
          <w:color w:val="auto"/>
        </w:rPr>
        <w:t>. Subject to the terms and conditions set forth herein:</w:t>
      </w:r>
    </w:p>
    <w:p>
      <w:pPr>
        <w:spacing w:after="0" w:line="117" w:lineRule="exact"/>
        <w:rPr>
          <w:sz w:val="20"/>
          <w:szCs w:val="20"/>
          <w:color w:val="auto"/>
        </w:rPr>
      </w:pPr>
    </w:p>
    <w:p>
      <w:pPr>
        <w:ind w:right="320" w:firstLine="987"/>
        <w:spacing w:after="0" w:line="259" w:lineRule="auto"/>
        <w:tabs>
          <w:tab w:leader="none" w:pos="12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Dollar Lender severally agrees to make Syndicated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at such time or (iii) the total Covered Debt Amount exceeding the Borrowing Base then in effect; and</w:t>
      </w:r>
    </w:p>
    <w:p>
      <w:pPr>
        <w:spacing w:after="0" w:line="186" w:lineRule="exact"/>
        <w:rPr>
          <w:rFonts w:ascii="Arial" w:cs="Arial" w:eastAsia="Arial" w:hAnsi="Arial"/>
          <w:sz w:val="18"/>
          <w:szCs w:val="18"/>
          <w:color w:val="auto"/>
        </w:rPr>
      </w:pPr>
    </w:p>
    <w:p>
      <w:pPr>
        <w:ind w:right="240" w:firstLine="987"/>
        <w:spacing w:after="0" w:line="257" w:lineRule="auto"/>
        <w:tabs>
          <w:tab w:leader="none" w:pos="12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Multicurrency Lender severally agrees to make Syndicated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at such time or (iii) the total Covered Debt Amount exceeding the Borrowing Base then in effect.</w:t>
      </w:r>
    </w:p>
    <w:p>
      <w:pPr>
        <w:spacing w:after="0" w:line="188"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Within the foregoing limits and subject to the terms and conditions set forth herein, the Borrower may borrow, prepay and reborrow Syndicated Loans.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79" w:lineRule="auto"/>
        <w:tabs>
          <w:tab w:leader="none" w:pos="123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Obligations of Lenders</w:t>
      </w:r>
      <w:r>
        <w:rPr>
          <w:rFonts w:ascii="Arial" w:cs="Arial" w:eastAsia="Arial" w:hAnsi="Arial"/>
          <w:sz w:val="17"/>
          <w:szCs w:val="17"/>
          <w:color w:val="auto"/>
        </w:rPr>
        <w:t xml:space="preserve">.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the Lenders are several and no Lender shall be responsible for any other Lender’s failure to make Loans as required.</w:t>
      </w:r>
    </w:p>
    <w:p>
      <w:pPr>
        <w:spacing w:after="0" w:line="171" w:lineRule="exact"/>
        <w:rPr>
          <w:rFonts w:ascii="Arial" w:cs="Arial" w:eastAsia="Arial" w:hAnsi="Arial"/>
          <w:sz w:val="17"/>
          <w:szCs w:val="17"/>
          <w:color w:val="auto"/>
        </w:rPr>
      </w:pPr>
    </w:p>
    <w:p>
      <w:pPr>
        <w:ind w:right="60" w:firstLine="987"/>
        <w:spacing w:after="0" w:line="273" w:lineRule="auto"/>
        <w:tabs>
          <w:tab w:leader="none" w:pos="124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Type of Loans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each Syndicated Borrowing of a Class shall be constituted entirely of ABR Loans, Term Benchmark Loans or RFR Loans of such Class denominated in a single Currency as the Borrower may request in accordance herewith. Each ABR Loan shall be denominated in Dollars. Each Term Benchmark Loan shall be denominated in Dollars or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Borrower to repay such Loan in accordance with the terms of this Agreement.</w:t>
      </w:r>
    </w:p>
    <w:p>
      <w:pPr>
        <w:spacing w:after="0" w:line="110"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57" w:name="page58"/>
    <w:bookmarkEnd w:id="57"/>
    <w:p>
      <w:pPr>
        <w:ind w:left="-980" w:right="20" w:firstLine="987"/>
        <w:spacing w:after="0" w:line="255" w:lineRule="auto"/>
        <w:tabs>
          <w:tab w:leader="none" w:pos="25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Minimum Amounts</w:t>
      </w:r>
      <w:r>
        <w:rPr>
          <w:rFonts w:ascii="Arial" w:cs="Arial" w:eastAsia="Arial" w:hAnsi="Arial"/>
          <w:sz w:val="18"/>
          <w:szCs w:val="18"/>
          <w:color w:val="auto"/>
        </w:rPr>
        <w:t xml:space="preserve">. Each Term Benchmark Borrowing and RFR Borrowing shall be in an aggregate amount of $1,000,000 or a larger multiple of $1,000,000, and each ABR Borrowing (whether a Syndicated Loan or a Swingline Loan) shall be in an aggregate amount of $1,000,000 or a larger multiple of $100,000 (or, in each case, such smaller amounts as may be agreed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8"/>
          <w:szCs w:val="18"/>
          <w:u w:val="single" w:color="auto"/>
          <w:color w:val="auto"/>
        </w:rPr>
        <w:t>Section 2.05(f)</w:t>
      </w:r>
      <w:r>
        <w:rPr>
          <w:rFonts w:ascii="Arial" w:cs="Arial" w:eastAsia="Arial" w:hAnsi="Arial"/>
          <w:sz w:val="18"/>
          <w:szCs w:val="18"/>
          <w:color w:val="auto"/>
        </w:rPr>
        <w:t>. Borrowings of more than one Class, Currency and Type may be outstanding at the same time.</w:t>
      </w:r>
    </w:p>
    <w:p>
      <w:pPr>
        <w:spacing w:after="0" w:line="192" w:lineRule="exact"/>
        <w:rPr>
          <w:rFonts w:ascii="Arial" w:cs="Arial" w:eastAsia="Arial" w:hAnsi="Arial"/>
          <w:sz w:val="18"/>
          <w:szCs w:val="18"/>
          <w:color w:val="auto"/>
        </w:rPr>
      </w:pPr>
    </w:p>
    <w:p>
      <w:pPr>
        <w:ind w:left="-980" w:right="40" w:firstLine="987"/>
        <w:spacing w:after="0" w:line="263" w:lineRule="auto"/>
        <w:tabs>
          <w:tab w:leader="none" w:pos="26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Limitations on Interest Periods</w:t>
      </w:r>
      <w:r>
        <w:rPr>
          <w:rFonts w:ascii="Arial" w:cs="Arial" w:eastAsia="Arial" w:hAnsi="Arial"/>
          <w:sz w:val="18"/>
          <w:szCs w:val="18"/>
          <w:color w:val="auto"/>
        </w:rPr>
        <w:t>. Notwithstanding any other provision of this Agreement, the Borrower shall not be entitled to request (or to elect to convert to or continue as a Term Benchmark Borrowing or RFR Borrowing) any Borrowing if the Interest Period requested therefor would end after the Final Maturity Date.</w:t>
      </w:r>
    </w:p>
    <w:p>
      <w:pPr>
        <w:spacing w:after="0" w:line="183" w:lineRule="exact"/>
        <w:rPr>
          <w:rFonts w:ascii="Arial" w:cs="Arial" w:eastAsia="Arial" w:hAnsi="Arial"/>
          <w:sz w:val="18"/>
          <w:szCs w:val="18"/>
          <w:color w:val="auto"/>
        </w:rPr>
      </w:pPr>
    </w:p>
    <w:p>
      <w:pPr>
        <w:ind w:left="-980" w:right="80" w:firstLine="987"/>
        <w:spacing w:after="0" w:line="272" w:lineRule="auto"/>
        <w:tabs>
          <w:tab w:leader="none" w:pos="25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Treatment of Classes</w:t>
      </w:r>
      <w:r>
        <w:rPr>
          <w:rFonts w:ascii="Arial" w:cs="Arial" w:eastAsia="Arial" w:hAnsi="Arial"/>
          <w:sz w:val="17"/>
          <w:szCs w:val="17"/>
          <w:color w:val="auto"/>
        </w:rPr>
        <w:t xml:space="preserve">. Notwithstanding anything to the contrary contained herein, with respect to each Syndicated Loan, Swingline Loan or Letter of Credit designated in Dollars,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ratable share of such Syndicated Loan, Swingline Loan or Letter of Credit that would be applied to the Multicurrency Commitments pursuant to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exceeds the unused Multicurrency Commitments, such excess shall be allocated to the Dollar Commitments (rather than the Multicurrency Commitments) up to an amount not to exceed the unused Dollar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Syndicated Borrowings</w:t>
      </w:r>
      <w:r>
        <w:rPr>
          <w:rFonts w:ascii="Arial" w:cs="Arial" w:eastAsia="Arial" w:hAnsi="Arial"/>
          <w:sz w:val="18"/>
          <w:szCs w:val="18"/>
          <w:color w:val="auto"/>
        </w:rPr>
        <w:t>.</w:t>
      </w:r>
    </w:p>
    <w:p>
      <w:pPr>
        <w:spacing w:after="0" w:line="225" w:lineRule="exact"/>
        <w:rPr>
          <w:sz w:val="20"/>
          <w:szCs w:val="20"/>
          <w:color w:val="auto"/>
        </w:rPr>
      </w:pPr>
    </w:p>
    <w:p>
      <w:pPr>
        <w:ind w:left="-980" w:right="80" w:firstLine="987"/>
        <w:spacing w:after="0" w:line="271" w:lineRule="auto"/>
        <w:tabs>
          <w:tab w:leader="none" w:pos="256"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Notice by the Borrower</w:t>
      </w:r>
      <w:r>
        <w:rPr>
          <w:rFonts w:ascii="Arial" w:cs="Arial" w:eastAsia="Arial" w:hAnsi="Arial"/>
          <w:sz w:val="17"/>
          <w:szCs w:val="17"/>
          <w:color w:val="auto"/>
        </w:rPr>
        <w:t>. To request a Syndicated Borrowing, the Borrower shall notify the Administrative Agent of such request by telephone (i) in the case of a Term Benchmark Borrowing denominated in Dollars, not later than 11:00 a.m., New York City time, three Business Days before the date of the proposed Borrowing, (ii) in the case of a Term Benchmark Borrowing denominated in a Foreign Currency, not later than 11:00 a.m., New York City time, four Business Days before the date of the proposed Borrowing, (iii) in the case of an RFR Borrowing, not later than 11:00 a.m., New York City time, four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electronic communication or telecopy to the Administrative Agent of a written Borrowing Request in a form reasonably approved by the Administrative Agent and signed by the Borrower.</w:t>
      </w:r>
    </w:p>
    <w:p>
      <w:pPr>
        <w:spacing w:after="0" w:line="178" w:lineRule="exact"/>
        <w:rPr>
          <w:rFonts w:ascii="Arial" w:cs="Arial" w:eastAsia="Arial" w:hAnsi="Arial"/>
          <w:sz w:val="17"/>
          <w:szCs w:val="17"/>
          <w:color w:val="auto"/>
        </w:rPr>
      </w:pPr>
    </w:p>
    <w:p>
      <w:pPr>
        <w:ind w:left="-980" w:right="20" w:firstLine="987"/>
        <w:spacing w:after="0" w:line="277" w:lineRule="auto"/>
        <w:tabs>
          <w:tab w:leader="none" w:pos="26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Content of Borrowing Requests</w:t>
      </w:r>
      <w:r>
        <w:rPr>
          <w:rFonts w:ascii="Arial" w:cs="Arial" w:eastAsia="Arial" w:hAnsi="Arial"/>
          <w:sz w:val="18"/>
          <w:szCs w:val="18"/>
          <w:color w:val="auto"/>
        </w:rPr>
        <w:t xml:space="preserve">. Each telephonic and written Borrowing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20" w:hanging="212"/>
        <w:spacing w:after="0"/>
        <w:tabs>
          <w:tab w:leader="none" w:pos="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whether such Borrowing is to be made under the Dollar Commitments or the Multicurrency Commitments;</w:t>
      </w:r>
    </w:p>
    <w:p>
      <w:pPr>
        <w:spacing w:after="0" w:line="117" w:lineRule="exact"/>
        <w:rPr>
          <w:rFonts w:ascii="Arial" w:cs="Arial" w:eastAsia="Arial" w:hAnsi="Arial"/>
          <w:sz w:val="18"/>
          <w:szCs w:val="18"/>
          <w:color w:val="auto"/>
        </w:rPr>
      </w:pPr>
    </w:p>
    <w:p>
      <w:pPr>
        <w:ind w:left="680" w:hanging="272"/>
        <w:spacing w:after="0"/>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aggregate amount and Currency of the requested Borrowing;</w:t>
      </w:r>
    </w:p>
    <w:p>
      <w:pPr>
        <w:spacing w:after="0" w:line="117" w:lineRule="exact"/>
        <w:rPr>
          <w:rFonts w:ascii="Arial" w:cs="Arial" w:eastAsia="Arial" w:hAnsi="Arial"/>
          <w:sz w:val="18"/>
          <w:szCs w:val="18"/>
          <w:color w:val="auto"/>
        </w:rPr>
      </w:pPr>
    </w:p>
    <w:p>
      <w:pPr>
        <w:ind w:left="720" w:hanging="312"/>
        <w:spacing w:after="0"/>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58" w:lineRule="exact"/>
        <w:rPr>
          <w:sz w:val="20"/>
          <w:szCs w:val="20"/>
          <w:color w:val="auto"/>
        </w:rPr>
      </w:pPr>
    </w:p>
    <w:p>
      <w:pPr>
        <w:jc w:val="both"/>
        <w:ind w:left="4680"/>
        <w:spacing w:after="0"/>
        <w:tabs>
          <w:tab w:leader="none" w:pos="79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58" w:name="page59"/>
    <w:bookmarkEnd w:id="58"/>
    <w:p>
      <w:pPr>
        <w:ind w:right="220" w:firstLine="408"/>
        <w:spacing w:after="0" w:line="277" w:lineRule="auto"/>
        <w:tabs>
          <w:tab w:leader="none" w:pos="706"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Syndicated Borrowing denominated in Dollars, whether such Borrowing is to be an ABR Borrowing or a Term Benchmark Borrowing;</w:t>
      </w:r>
    </w:p>
    <w:p>
      <w:pPr>
        <w:spacing w:after="0" w:line="62" w:lineRule="exact"/>
        <w:rPr>
          <w:rFonts w:ascii="Arial" w:cs="Arial" w:eastAsia="Arial" w:hAnsi="Arial"/>
          <w:sz w:val="18"/>
          <w:szCs w:val="18"/>
          <w:color w:val="auto"/>
        </w:rPr>
      </w:pPr>
    </w:p>
    <w:p>
      <w:pPr>
        <w:ind w:right="380" w:firstLine="408"/>
        <w:spacing w:after="0" w:line="277" w:lineRule="auto"/>
        <w:tabs>
          <w:tab w:leader="none" w:pos="656"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case of a Borrowing denominated in an Agreed Foreign Currency, whether such Borrowing is to be a Term Benchmark Borrowing or an RFR Borrowing;</w:t>
      </w:r>
    </w:p>
    <w:p>
      <w:pPr>
        <w:spacing w:after="0" w:line="62" w:lineRule="exact"/>
        <w:rPr>
          <w:rFonts w:ascii="Arial" w:cs="Arial" w:eastAsia="Arial" w:hAnsi="Arial"/>
          <w:sz w:val="18"/>
          <w:szCs w:val="18"/>
          <w:color w:val="auto"/>
        </w:rPr>
      </w:pPr>
    </w:p>
    <w:p>
      <w:pPr>
        <w:ind w:right="940" w:firstLine="408"/>
        <w:spacing w:after="0" w:line="277" w:lineRule="auto"/>
        <w:tabs>
          <w:tab w:leader="none" w:pos="706"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in the case of a Term Benchmark Borrowing or RFR Borrowing, the Interest Period therefor,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760" w:hanging="352"/>
        <w:spacing w:after="0"/>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w:t>
      </w:r>
    </w:p>
    <w:p>
      <w:pPr>
        <w:spacing w:after="0" w:line="225" w:lineRule="exact"/>
        <w:rPr>
          <w:rFonts w:ascii="Arial" w:cs="Arial" w:eastAsia="Arial" w:hAnsi="Arial"/>
          <w:sz w:val="18"/>
          <w:szCs w:val="18"/>
          <w:color w:val="auto"/>
        </w:rPr>
      </w:pPr>
    </w:p>
    <w:p>
      <w:pPr>
        <w:ind w:left="-980" w:right="320" w:firstLine="987"/>
        <w:spacing w:after="0" w:line="263" w:lineRule="auto"/>
        <w:tabs>
          <w:tab w:leader="none" w:pos="25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83" w:lineRule="exact"/>
        <w:rPr>
          <w:rFonts w:ascii="Arial" w:cs="Arial" w:eastAsia="Arial" w:hAnsi="Arial"/>
          <w:sz w:val="18"/>
          <w:szCs w:val="18"/>
          <w:color w:val="auto"/>
        </w:rPr>
      </w:pPr>
    </w:p>
    <w:p>
      <w:pPr>
        <w:ind w:left="-980" w:right="20" w:firstLine="987"/>
        <w:spacing w:after="0" w:line="289" w:lineRule="auto"/>
        <w:tabs>
          <w:tab w:leader="none" w:pos="26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Failure to Elect</w:t>
      </w:r>
      <w:r>
        <w:rPr>
          <w:rFonts w:ascii="Arial" w:cs="Arial" w:eastAsia="Arial" w:hAnsi="Arial"/>
          <w:sz w:val="16"/>
          <w:szCs w:val="16"/>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Term Benchmark Borrowing having an Interest Period of one month and, if an Agreed Foreign Currency has been specified, the requested Syndicated Borrowing shall be a Term Benchmark Borrowing or RFR Borrowing, as applicable, denominated in such Agreed Foreign Currency and having an Interest Period of one month. If a Term Benchmark Borrowing or RFR Borrowing is requested but no Interest Period is specified, (i) if the Currency specified for such Borrowing is Dollars (or if no Currency has been specified), the requested Borrowing shall be a Term Benchmark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225" w:lineRule="exact"/>
        <w:rPr>
          <w:sz w:val="20"/>
          <w:szCs w:val="20"/>
          <w:color w:val="auto"/>
        </w:rPr>
      </w:pPr>
    </w:p>
    <w:p>
      <w:pPr>
        <w:ind w:left="-980" w:firstLine="987"/>
        <w:spacing w:after="0" w:line="291" w:lineRule="auto"/>
        <w:tabs>
          <w:tab w:leader="none" w:pos="25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Agreement to Make Swingline Loans</w:t>
      </w:r>
      <w:r>
        <w:rPr>
          <w:rFonts w:ascii="Arial" w:cs="Arial" w:eastAsia="Arial" w:hAnsi="Arial"/>
          <w:sz w:val="16"/>
          <w:szCs w:val="16"/>
          <w:color w:val="auto"/>
        </w:rPr>
        <w:t xml:space="preserve">. Subject to the terms and conditions set forth herein, each Swingline Lender severally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$175,000,000 or the aggregate principal amount of outstanding Swingline Loans of any Swingline Lender exceeding the amount set forth opposite the name of such Swingline Lender on </w:t>
      </w:r>
      <w:r>
        <w:rPr>
          <w:rFonts w:ascii="Arial" w:cs="Arial" w:eastAsia="Arial" w:hAnsi="Arial"/>
          <w:sz w:val="16"/>
          <w:szCs w:val="16"/>
          <w:u w:val="single" w:color="auto"/>
          <w:color w:val="auto"/>
        </w:rPr>
        <w:t>Schedule 2.04</w:t>
      </w:r>
      <w:r>
        <w:rPr>
          <w:rFonts w:ascii="Arial" w:cs="Arial" w:eastAsia="Arial" w:hAnsi="Arial"/>
          <w:sz w:val="16"/>
          <w:szCs w:val="16"/>
          <w:color w:val="auto"/>
        </w:rPr>
        <w:t>, (ii)(A) in the case of any Swingline Lender with a Dollar Commitment, the sum of such Swingline Lender’s outstanding Dollar Loans, its LC Exposure, its outstanding Swingline Loans and (without duplication) its other Swingline Exposure exceeding its Dollar Commitment and (B) in the case of any Swingline Lender with a Multicurrency Commitment, the sum of such Swingline Lender’s outstanding</w:t>
      </w:r>
    </w:p>
    <w:p>
      <w:pPr>
        <w:spacing w:after="0" w:line="99" w:lineRule="exact"/>
        <w:rPr>
          <w:sz w:val="20"/>
          <w:szCs w:val="20"/>
          <w:color w:val="auto"/>
        </w:rPr>
      </w:pPr>
    </w:p>
    <w:p>
      <w:pPr>
        <w:jc w:val="both"/>
        <w:ind w:left="4680"/>
        <w:spacing w:after="0"/>
        <w:tabs>
          <w:tab w:leader="none" w:pos="798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59" w:name="page60"/>
    <w:bookmarkEnd w:id="5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Multicurrency Loans, its LC Exposure, its outstanding Swingline Loans and (without duplication) its other Swingline Exposure exceeding its Multicurrency Commitment, (iii) the total Revolving Dollar Credit Exposures exceeding the aggregate Dollar Commitments at such time, (v) the total Revolving Multicurrency Credit Exposures exceeding the aggregate Multicurrency Commitments at such time or (vi) the total Covered Debt Amount exceeding the Borrowing Base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92" w:lineRule="exact"/>
        <w:rPr>
          <w:sz w:val="20"/>
          <w:szCs w:val="20"/>
          <w:color w:val="auto"/>
        </w:rPr>
      </w:pPr>
    </w:p>
    <w:p>
      <w:pPr>
        <w:ind w:right="20" w:firstLine="987"/>
        <w:spacing w:after="0" w:line="269" w:lineRule="auto"/>
        <w:tabs>
          <w:tab w:leader="none" w:pos="124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Notice of Swingline Loans by the Borrower</w:t>
      </w:r>
      <w:r>
        <w:rPr>
          <w:rFonts w:ascii="Arial" w:cs="Arial" w:eastAsia="Arial" w:hAnsi="Arial"/>
          <w:sz w:val="17"/>
          <w:szCs w:val="17"/>
          <w:color w:val="auto"/>
        </w:rPr>
        <w:t xml:space="preserve">. To request a Swingline Loan, the Borrower shall notify the Administrative Agent of such request by telephone (confirmed by telecopy or electronic communication) not later than 1:00 p.m., New York City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by wire transfer of immediately available funds to the account of the Administrative Agent most recently designated by it for such purpose by notice to the Lenders by 4:00 p.m., New York City time, on the requested date of such Swingline Loan. The Administrative Agent will make such Swingline Loans available to the Borrower by promptly crediting the amounts so received, in like funds, to an account of the Borrower designated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made to finance the reimbursement of an LC Disbursement as provided in </w:t>
      </w:r>
      <w:r>
        <w:rPr>
          <w:rFonts w:ascii="Arial" w:cs="Arial" w:eastAsia="Arial" w:hAnsi="Arial"/>
          <w:sz w:val="17"/>
          <w:szCs w:val="17"/>
          <w:u w:val="single" w:color="auto"/>
          <w:color w:val="auto"/>
        </w:rPr>
        <w:t>Section 2.05(f)</w:t>
      </w:r>
      <w:r>
        <w:rPr>
          <w:rFonts w:ascii="Arial" w:cs="Arial" w:eastAsia="Arial" w:hAnsi="Arial"/>
          <w:sz w:val="17"/>
          <w:szCs w:val="17"/>
          <w:color w:val="auto"/>
        </w:rPr>
        <w:t xml:space="preserve"> shall be remitted by the Administrative Agent to the applicable Issuing Bank.</w:t>
      </w:r>
    </w:p>
    <w:p>
      <w:pPr>
        <w:spacing w:after="0" w:line="185" w:lineRule="exact"/>
        <w:rPr>
          <w:rFonts w:ascii="Arial" w:cs="Arial" w:eastAsia="Arial" w:hAnsi="Arial"/>
          <w:sz w:val="17"/>
          <w:szCs w:val="17"/>
          <w:color w:val="auto"/>
        </w:rPr>
      </w:pPr>
    </w:p>
    <w:p>
      <w:pPr>
        <w:ind w:right="20" w:firstLine="987"/>
        <w:spacing w:after="0" w:line="268" w:lineRule="auto"/>
        <w:tabs>
          <w:tab w:leader="none" w:pos="123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Participations by Lenders in Swingline Loans</w:t>
      </w:r>
      <w:r>
        <w:rPr>
          <w:rFonts w:ascii="Arial" w:cs="Arial" w:eastAsia="Arial" w:hAnsi="Arial"/>
          <w:sz w:val="17"/>
          <w:szCs w:val="17"/>
          <w:color w:val="auto"/>
        </w:rPr>
        <w:t xml:space="preserve">. Any Swingline Lender may by written notice given to the Administrative Agent not later than 10:00 a.m., New York City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as the case may be, of such Swingline Loan 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required to purchase a participation in a Swingline Loan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if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11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60" w:name="page61"/>
    <w:bookmarkEnd w:id="60"/>
    <w:p>
      <w:pPr>
        <w:ind w:right="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foregoing, each Lender acknowledges and agrees that its obligation to acquire participations in Swingline Loans pursuant to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w:t>
      </w:r>
      <w:r>
        <w:rPr>
          <w:rFonts w:ascii="Arial" w:cs="Arial" w:eastAsia="Arial" w:hAnsi="Arial"/>
          <w:sz w:val="16"/>
          <w:szCs w:val="16"/>
          <w:color w:val="auto"/>
        </w:rPr>
        <w:t xml:space="preserve"> </w:t>
      </w:r>
      <w:r>
        <w:rPr>
          <w:rFonts w:ascii="Arial" w:cs="Arial" w:eastAsia="Arial" w:hAnsi="Arial"/>
          <w:sz w:val="16"/>
          <w:szCs w:val="16"/>
          <w:u w:val="single" w:color="auto"/>
          <w:color w:val="auto"/>
        </w:rPr>
        <w:t>mutandis</w:t>
      </w:r>
      <w:r>
        <w:rPr>
          <w:rFonts w:ascii="Arial" w:cs="Arial" w:eastAsia="Arial" w:hAnsi="Arial"/>
          <w:sz w:val="16"/>
          <w:szCs w:val="16"/>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74" w:lineRule="exact"/>
        <w:rPr>
          <w:sz w:val="20"/>
          <w:szCs w:val="20"/>
          <w:color w:val="auto"/>
        </w:rPr>
      </w:pPr>
    </w:p>
    <w:p>
      <w:pPr>
        <w:ind w:right="40" w:firstLine="987"/>
        <w:spacing w:after="0" w:line="287" w:lineRule="auto"/>
        <w:tabs>
          <w:tab w:leader="none" w:pos="1246"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Resignation and Replacement of Swingline Lender</w:t>
      </w:r>
      <w:r>
        <w:rPr>
          <w:rFonts w:ascii="Arial" w:cs="Arial" w:eastAsia="Arial" w:hAnsi="Arial"/>
          <w:sz w:val="16"/>
          <w:szCs w:val="16"/>
          <w:color w:val="auto"/>
        </w:rPr>
        <w:t>. Any Swingline Lender may be replaced at any time by written agreement among the Borrower, the Administrative Agent, the replaced Swingline Lender and a successor Swingline Lender. The Administrative Agent shall notify the Lenders of any such replacement of any Swingline Lender. In addition if any Swingline Lender, in its capacity as a Lender, assigns all of its Loans and Commitments in connection with the terms of this Agreement, such Swingline Lender shall be deemed to have automatically resigned as a Swingline Lender hereunder. The Administrative Agent shall notify the Lenders of any such replacement of any Swingline Lender. At the time any such replacement or resignation shall become effective, the Borrower shall pay all unpaid fees accrued for the account of the replaced or resigning Swingline Lender pursuant Section 2.11. From and after the effective date of any such replacement, (i) the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or resignation of the Swingline Lender hereunder, the replaced or resigning Swingline Lender shall have no obligation to make additional Swingline Loans.</w:t>
      </w:r>
    </w:p>
    <w:p>
      <w:pPr>
        <w:spacing w:after="0" w:line="59" w:lineRule="exact"/>
        <w:rPr>
          <w:rFonts w:ascii="Arial" w:cs="Arial" w:eastAsia="Arial" w:hAnsi="Arial"/>
          <w:sz w:val="16"/>
          <w:szCs w:val="16"/>
          <w:color w:val="auto"/>
        </w:rPr>
      </w:pPr>
    </w:p>
    <w:p>
      <w:pPr>
        <w:ind w:left="440" w:right="40" w:firstLine="419"/>
        <w:spacing w:after="0" w:line="301" w:lineRule="auto"/>
        <w:tabs>
          <w:tab w:leader="none" w:pos="1107"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Designation of Additional Swingline Lenders</w:t>
      </w:r>
      <w:r>
        <w:rPr>
          <w:rFonts w:ascii="Arial" w:cs="Arial" w:eastAsia="Arial" w:hAnsi="Arial"/>
          <w:sz w:val="16"/>
          <w:szCs w:val="16"/>
          <w:color w:val="auto"/>
        </w:rPr>
        <w:t>. The Borrower may, at any time and from time to time, with the consent of the Administrative Agent (which consent shall not be unreasonably withheld), designate as additional Swingline Lenders one (1) or more Lenders that agree to serve in such capacity as provided below. The acceptance by a Lender of an appointment as a Swingline Lender hereunder shall be evidenced by an agreement, which shall be in form and substance reasonably satisfactory to the Administrative Agent, executed by the</w:t>
      </w:r>
    </w:p>
    <w:p>
      <w:pPr>
        <w:spacing w:after="0" w:line="90"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61" w:name="page62"/>
    <w:bookmarkEnd w:id="61"/>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the Administrative Agent and such designated Lender and, from and after the effective date of such agreement, (i) such Lender shall have all the rights and obligations of a Swingline Lender under this Agreement and the other Loan Documents and (ii) references herein or therein to the term “Swingline Lender” shall be deemed to include such Lender in its capacity as a maker of Swingline Loans hereunder.</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70" w:lineRule="auto"/>
        <w:tabs>
          <w:tab w:leader="none" w:pos="1236"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in addition to the Loans provided for in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the Borrower may request each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Arial" w:cs="Arial" w:eastAsia="Arial" w:hAnsi="Arial"/>
          <w:sz w:val="17"/>
          <w:szCs w:val="17"/>
          <w:u w:val="single" w:color="auto"/>
          <w:color w:val="auto"/>
        </w:rPr>
        <w:t>Section 2.05</w:t>
      </w:r>
      <w:r>
        <w:rPr>
          <w:rFonts w:ascii="Arial" w:cs="Arial" w:eastAsia="Arial" w:hAnsi="Arial"/>
          <w:sz w:val="17"/>
          <w:szCs w:val="17"/>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80" w:lineRule="exact"/>
        <w:rPr>
          <w:rFonts w:ascii="Arial" w:cs="Arial" w:eastAsia="Arial" w:hAnsi="Arial"/>
          <w:sz w:val="17"/>
          <w:szCs w:val="17"/>
          <w:color w:val="auto"/>
        </w:rPr>
      </w:pPr>
    </w:p>
    <w:p>
      <w:pPr>
        <w:ind w:right="40" w:firstLine="987"/>
        <w:spacing w:after="0" w:line="269" w:lineRule="auto"/>
        <w:tabs>
          <w:tab w:leader="none" w:pos="1246"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or Extension</w:t>
      </w:r>
      <w:r>
        <w:rPr>
          <w:rFonts w:ascii="Arial" w:cs="Arial" w:eastAsia="Arial" w:hAnsi="Arial"/>
          <w:sz w:val="17"/>
          <w:szCs w:val="17"/>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79"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(c)Limitations on Amounts.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w:t>
      </w:r>
    </w:p>
    <w:p>
      <w:pPr>
        <w:spacing w:after="0" w:line="11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62" w:name="page63"/>
    <w:bookmarkEnd w:id="62"/>
    <w:p>
      <w:pPr>
        <w:ind w:left="4" w:right="2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giving effect to the participations therein of the Lenders pursuant to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shall not exceed the amount set forth opposite the name of such Issuing Bank on </w:t>
      </w:r>
      <w:r>
        <w:rPr>
          <w:rFonts w:ascii="Arial" w:cs="Arial" w:eastAsia="Arial" w:hAnsi="Arial"/>
          <w:sz w:val="16"/>
          <w:szCs w:val="16"/>
          <w:u w:val="single" w:color="auto"/>
          <w:color w:val="auto"/>
        </w:rPr>
        <w:t>Schedule 2.05</w:t>
      </w:r>
      <w:r>
        <w:rPr>
          <w:rFonts w:ascii="Arial" w:cs="Arial" w:eastAsia="Arial" w:hAnsi="Arial"/>
          <w:sz w:val="16"/>
          <w:szCs w:val="16"/>
          <w:color w:val="auto"/>
        </w:rPr>
        <w:t xml:space="preserve"> (or such greater amount as such Issuing Bank may agree in its sole discretion); (ii) the total Revolving Dollar Credit Exposures of Dollar Lenders with Dollar Commitments then in effect shall not exceed the aggregate Dollar Commitments at such time;</w:t>
      </w:r>
    </w:p>
    <w:p>
      <w:pPr>
        <w:spacing w:after="0" w:line="2" w:lineRule="exact"/>
        <w:rPr>
          <w:sz w:val="20"/>
          <w:szCs w:val="20"/>
          <w:color w:val="auto"/>
        </w:rPr>
      </w:pPr>
    </w:p>
    <w:p>
      <w:pPr>
        <w:ind w:left="4" w:right="80" w:hanging="4"/>
        <w:spacing w:after="0" w:line="281" w:lineRule="auto"/>
        <w:tabs>
          <w:tab w:leader="none" w:pos="319"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total Revolving Multicurrency Credit Exposures of Multicurrency Lenders with Multicurrency Commitments then in effect shall not exceed the aggregate Multicurrency Commitments at such time; and (iv)(A) with respect to each Issuing Bank that is a Swingline Lender with a Dollar Commitment, the sum of such Swingline Lender’s outstanding Dollar Loans, its LC Exposure, its outstanding Swingline Loans and (without duplication) its other Swingline Exposure shall not exceed its Dollar Commitment then in effect and (B) with respect to each Issuing Bank that is a Swingline Lender with a Multicurrency Commitment, the sum of such Swingline Lender’s outstanding Multicurrency Loans, its LC Exposure, its outstanding Swingline Loans and (without duplication) its other Swingline Exposure shall not exceed its Multicurrency Commitment then in effect; and</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total Covered Debt Amount shall not exceed the Borrowing Base then in effect.</w:t>
      </w:r>
    </w:p>
    <w:p>
      <w:pPr>
        <w:spacing w:after="0" w:line="210" w:lineRule="exact"/>
        <w:rPr>
          <w:rFonts w:ascii="Arial" w:cs="Arial" w:eastAsia="Arial" w:hAnsi="Arial"/>
          <w:sz w:val="18"/>
          <w:szCs w:val="18"/>
          <w:color w:val="auto"/>
        </w:rPr>
      </w:pPr>
    </w:p>
    <w:p>
      <w:pPr>
        <w:ind w:left="4" w:right="100" w:firstLine="987"/>
        <w:spacing w:after="0" w:line="291" w:lineRule="auto"/>
        <w:tabs>
          <w:tab w:leader="none" w:pos="125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Letter of Credit with a one-year term may provide for the renewal thereof for additional one-year periods. No Letter of Credit may be renewed following the earlier to occur of the Commitment Termination Date and the Termination Date, except to the extent that the relevant Letter of Credit is Cash Collateralized no later than five (5) Business Days prior to the Commitment Termination Date or Termination Date, as applicable, or supported by another letter of credit, in each case pursuant to arrangements reasonably satisfactory to the applicable Issuing Bank and the Administrative Agent.</w:t>
      </w:r>
    </w:p>
    <w:p>
      <w:pPr>
        <w:spacing w:after="0" w:line="166" w:lineRule="exact"/>
        <w:rPr>
          <w:rFonts w:ascii="Arial" w:cs="Arial" w:eastAsia="Arial" w:hAnsi="Arial"/>
          <w:sz w:val="16"/>
          <w:szCs w:val="16"/>
          <w:color w:val="auto"/>
        </w:rPr>
      </w:pPr>
    </w:p>
    <w:p>
      <w:pPr>
        <w:ind w:left="4" w:right="20" w:firstLine="987"/>
        <w:spacing w:after="0" w:line="286" w:lineRule="auto"/>
        <w:tabs>
          <w:tab w:leader="none" w:pos="124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 Letter of Credit of a Class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Letter of Credit pursuant to this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if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would not be satisfied in respect of a Borrowing at the time such Letter of Credit was issued and (y) the Administrative Agent or any Lender shall have so notified such Issuing Bank in writing at least two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103"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63" w:name="page64"/>
    <w:bookmarkEnd w:id="63"/>
    <w:p>
      <w:pPr>
        <w:ind w:right="16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consideration and in furtherance of the foregoing, each Lender of a Class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with respect to Loans made by such Lender (and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168" w:lineRule="exact"/>
        <w:rPr>
          <w:sz w:val="20"/>
          <w:szCs w:val="20"/>
          <w:color w:val="auto"/>
        </w:rPr>
      </w:pPr>
    </w:p>
    <w:p>
      <w:pPr>
        <w:ind w:right="20" w:firstLine="987"/>
        <w:spacing w:after="0" w:line="270" w:lineRule="auto"/>
        <w:tabs>
          <w:tab w:leader="none" w:pos="1216"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LC Disbursement is not less than $1,000,000 (or such smaller amount as may be agreed to by the Administrative Agent) and is denominated in Dollars, the Borrower may, subject to the conditions to borrowing set forth herein, request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2.04</w:t>
      </w:r>
      <w:r>
        <w:rPr>
          <w:rFonts w:ascii="Arial" w:cs="Arial" w:eastAsia="Arial" w:hAnsi="Arial"/>
          <w:sz w:val="17"/>
          <w:szCs w:val="17"/>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81"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If the Borrower fails to make such payment when due, the Administrative Agent shall notify each applicable Lender of the applicable LC Disbursement, the payment then due from the Borrower in respect thereof and such Lender’s Applicable Dollar Percentage or Applicable Multicurrency Percentage, as the case may be, thereof.</w:t>
      </w:r>
    </w:p>
    <w:p>
      <w:pPr>
        <w:spacing w:after="0" w:line="184" w:lineRule="exact"/>
        <w:rPr>
          <w:sz w:val="20"/>
          <w:szCs w:val="20"/>
          <w:color w:val="auto"/>
        </w:rPr>
      </w:pPr>
    </w:p>
    <w:p>
      <w:pPr>
        <w:ind w:right="80" w:firstLine="987"/>
        <w:spacing w:after="0" w:line="263" w:lineRule="auto"/>
        <w:tabs>
          <w:tab w:leader="none" w:pos="124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The Borrower’s obligation to reimburse LC Disbursements as provided in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w:t>
      </w:r>
    </w:p>
    <w:p>
      <w:pPr>
        <w:spacing w:after="0" w:line="116"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64" w:name="page65"/>
    <w:bookmarkEnd w:id="6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88" w:lineRule="exact"/>
        <w:rPr>
          <w:sz w:val="20"/>
          <w:szCs w:val="20"/>
          <w:color w:val="auto"/>
        </w:rPr>
      </w:pPr>
    </w:p>
    <w:p>
      <w:pPr>
        <w:ind w:right="80" w:firstLine="991"/>
        <w:spacing w:after="0" w:line="253" w:lineRule="auto"/>
        <w:rPr>
          <w:sz w:val="20"/>
          <w:szCs w:val="20"/>
          <w:color w:val="auto"/>
        </w:rPr>
      </w:pPr>
      <w:r>
        <w:rPr>
          <w:rFonts w:ascii="Arial" w:cs="Arial" w:eastAsia="Arial" w:hAnsi="Arial"/>
          <w:sz w:val="18"/>
          <w:szCs w:val="18"/>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fraud, gross negligence or willful misconduct when determining whether drafts and other documents presented under a Letter of Credit comply with the terms thereof. The parties hereto expressly agree that:</w:t>
      </w:r>
    </w:p>
    <w:p>
      <w:pPr>
        <w:spacing w:after="0" w:line="86" w:lineRule="exact"/>
        <w:rPr>
          <w:sz w:val="20"/>
          <w:szCs w:val="20"/>
          <w:color w:val="auto"/>
        </w:rPr>
      </w:pPr>
    </w:p>
    <w:p>
      <w:pPr>
        <w:ind w:left="980" w:right="20" w:firstLine="408"/>
        <w:spacing w:after="0" w:line="311" w:lineRule="auto"/>
        <w:tabs>
          <w:tab w:leader="none" w:pos="1596"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40" w:lineRule="exact"/>
        <w:rPr>
          <w:rFonts w:ascii="Arial" w:cs="Arial" w:eastAsia="Arial" w:hAnsi="Arial"/>
          <w:sz w:val="16"/>
          <w:szCs w:val="16"/>
          <w:color w:val="auto"/>
        </w:rPr>
      </w:pPr>
    </w:p>
    <w:p>
      <w:pPr>
        <w:ind w:left="980" w:right="180" w:firstLine="408"/>
        <w:spacing w:after="0" w:line="277" w:lineRule="auto"/>
        <w:tabs>
          <w:tab w:leader="none" w:pos="164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Issuing Banks shall have the right, in their sole discretion, to decline to accept such documents and to make such payment if such documents are not in strict compliance with the terms of such Letter of Credit; and</w:t>
      </w:r>
    </w:p>
    <w:p>
      <w:pPr>
        <w:spacing w:after="0" w:line="62" w:lineRule="exact"/>
        <w:rPr>
          <w:rFonts w:ascii="Arial" w:cs="Arial" w:eastAsia="Arial" w:hAnsi="Arial"/>
          <w:sz w:val="18"/>
          <w:szCs w:val="18"/>
          <w:color w:val="auto"/>
        </w:rPr>
      </w:pPr>
    </w:p>
    <w:p>
      <w:pPr>
        <w:ind w:left="980" w:right="60" w:firstLine="408"/>
        <w:spacing w:after="0" w:line="263" w:lineRule="auto"/>
        <w:tabs>
          <w:tab w:leader="none" w:pos="169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3" w:lineRule="exact"/>
        <w:rPr>
          <w:rFonts w:ascii="Arial" w:cs="Arial" w:eastAsia="Arial" w:hAnsi="Arial"/>
          <w:sz w:val="18"/>
          <w:szCs w:val="18"/>
          <w:color w:val="auto"/>
        </w:rPr>
      </w:pPr>
    </w:p>
    <w:p>
      <w:pPr>
        <w:ind w:right="60" w:firstLine="987"/>
        <w:spacing w:after="0" w:line="255" w:lineRule="auto"/>
        <w:tabs>
          <w:tab w:leader="none" w:pos="124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or electronic communication) of such demand for payment and whether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125"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65" w:name="page66"/>
    <w:bookmarkEnd w:id="65"/>
    <w:p>
      <w:pPr>
        <w:ind w:left="-987" w:right="60" w:firstLine="987"/>
        <w:spacing w:after="0" w:line="272" w:lineRule="auto"/>
        <w:tabs>
          <w:tab w:leader="none" w:pos="219"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Interim Interest</w:t>
      </w:r>
      <w:r>
        <w:rPr>
          <w:rFonts w:ascii="Arial" w:cs="Arial" w:eastAsia="Arial" w:hAnsi="Arial"/>
          <w:sz w:val="17"/>
          <w:szCs w:val="17"/>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within two Business Days following the date when due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then the provisions of </w:t>
      </w:r>
      <w:r>
        <w:rPr>
          <w:rFonts w:ascii="Arial" w:cs="Arial" w:eastAsia="Arial" w:hAnsi="Arial"/>
          <w:sz w:val="17"/>
          <w:szCs w:val="17"/>
          <w:u w:val="single" w:color="auto"/>
          <w:color w:val="auto"/>
        </w:rPr>
        <w:t>Section 2.12(d)</w:t>
      </w:r>
      <w:r>
        <w:rPr>
          <w:rFonts w:ascii="Arial" w:cs="Arial" w:eastAsia="Arial" w:hAnsi="Arial"/>
          <w:sz w:val="17"/>
          <w:szCs w:val="17"/>
          <w:color w:val="auto"/>
        </w:rPr>
        <w:t xml:space="preserve"> shall apply. Interest accrued pursuant to this paragraph shall be for account of the applicable Issuing Bank, except that interest accrued on and after the date of payment by any Lender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to reimburse such Issuing Bank shall be for account of such Lender to the extent of such payment.</w:t>
      </w:r>
    </w:p>
    <w:p>
      <w:pPr>
        <w:spacing w:after="0" w:line="177" w:lineRule="exact"/>
        <w:rPr>
          <w:rFonts w:ascii="Arial" w:cs="Arial" w:eastAsia="Arial" w:hAnsi="Arial"/>
          <w:sz w:val="17"/>
          <w:szCs w:val="17"/>
          <w:color w:val="auto"/>
        </w:rPr>
      </w:pPr>
    </w:p>
    <w:p>
      <w:pPr>
        <w:ind w:left="-987" w:right="40" w:firstLine="987"/>
        <w:spacing w:after="0" w:line="285" w:lineRule="auto"/>
        <w:tabs>
          <w:tab w:leader="none" w:pos="219"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Resignation and/or Replacement of an Issuing Bank</w:t>
      </w:r>
      <w:r>
        <w:rPr>
          <w:rFonts w:ascii="Arial" w:cs="Arial" w:eastAsia="Arial" w:hAnsi="Arial"/>
          <w:sz w:val="16"/>
          <w:szCs w:val="16"/>
          <w:color w:val="auto"/>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if a Specified Event of Default has occurred and is continuing), resign as an Issuing Bank hereunder upon not less than three Business Days prior written notice to the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76" w:lineRule="exact"/>
        <w:rPr>
          <w:rFonts w:ascii="Arial" w:cs="Arial" w:eastAsia="Arial" w:hAnsi="Arial"/>
          <w:sz w:val="16"/>
          <w:szCs w:val="16"/>
          <w:color w:val="auto"/>
        </w:rPr>
      </w:pPr>
    </w:p>
    <w:p>
      <w:pPr>
        <w:ind w:left="-987" w:right="20" w:firstLine="987"/>
        <w:spacing w:after="0" w:line="279" w:lineRule="auto"/>
        <w:tabs>
          <w:tab w:leader="none" w:pos="259"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Cash Collateralization</w:t>
      </w:r>
      <w:r>
        <w:rPr>
          <w:rFonts w:ascii="Arial" w:cs="Arial" w:eastAsia="Arial" w:hAnsi="Arial"/>
          <w:sz w:val="17"/>
          <w:szCs w:val="17"/>
          <w:color w:val="auto"/>
        </w:rPr>
        <w:t xml:space="preserve">. If the Borrower shall be required to provide Cash Collateral for LC Exposure pursuant to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the last paragraph of </w:t>
      </w:r>
      <w:r>
        <w:rPr>
          <w:rFonts w:ascii="Arial" w:cs="Arial" w:eastAsia="Arial" w:hAnsi="Arial"/>
          <w:sz w:val="17"/>
          <w:szCs w:val="17"/>
          <w:u w:val="single" w:color="auto"/>
          <w:color w:val="auto"/>
        </w:rPr>
        <w:t>Article VII</w:t>
      </w:r>
      <w:r>
        <w:rPr>
          <w:rFonts w:ascii="Arial" w:cs="Arial" w:eastAsia="Arial" w:hAnsi="Arial"/>
          <w:sz w:val="17"/>
          <w:szCs w:val="17"/>
          <w:color w:val="auto"/>
        </w:rPr>
        <w:t>, the Borrower shall immediately deposit into a segregated collateral account or accounts (herein, collectively, the “</w:t>
      </w:r>
      <w:r>
        <w:rPr>
          <w:rFonts w:ascii="Arial" w:cs="Arial" w:eastAsia="Arial" w:hAnsi="Arial"/>
          <w:sz w:val="17"/>
          <w:szCs w:val="17"/>
          <w:u w:val="single" w:color="auto"/>
          <w:color w:val="auto"/>
        </w:rPr>
        <w:t>Letter of Credit Collateral Account</w:t>
      </w:r>
      <w:r>
        <w:rPr>
          <w:rFonts w:ascii="Arial" w:cs="Arial" w:eastAsia="Arial" w:hAnsi="Arial"/>
          <w:sz w:val="17"/>
          <w:szCs w:val="17"/>
          <w:color w:val="auto"/>
        </w:rPr>
        <w:t>”) in the name and under the dominion and control of the Administrative Agent Cash denominated in the Currency of the Letter of Credit under which such LC Exposure arises in an amount equal to</w:t>
      </w:r>
    </w:p>
    <w:p>
      <w:pPr>
        <w:spacing w:after="0" w:line="104" w:lineRule="exact"/>
        <w:rPr>
          <w:sz w:val="20"/>
          <w:szCs w:val="20"/>
          <w:color w:val="auto"/>
        </w:rPr>
      </w:pPr>
    </w:p>
    <w:p>
      <w:pPr>
        <w:jc w:val="both"/>
        <w:ind w:left="4673"/>
        <w:spacing w:after="0"/>
        <w:tabs>
          <w:tab w:leader="none" w:pos="7972"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33"/>
          </w:cols>
          <w:pgMar w:left="1427" w:top="274" w:right="439" w:bottom="1440" w:gutter="0" w:footer="0" w:header="0"/>
        </w:sectPr>
      </w:pPr>
    </w:p>
    <w:bookmarkStart w:id="66" w:name="page67"/>
    <w:bookmarkEnd w:id="6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amount required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Article VII</w:t>
      </w:r>
      <w:r>
        <w:rPr>
          <w:rFonts w:ascii="Arial" w:cs="Arial" w:eastAsia="Arial" w:hAnsi="Arial"/>
          <w:sz w:val="18"/>
          <w:szCs w:val="18"/>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80" w:lineRule="exact"/>
        <w:rPr>
          <w:sz w:val="20"/>
          <w:szCs w:val="20"/>
          <w:color w:val="auto"/>
        </w:rPr>
      </w:pPr>
    </w:p>
    <w:p>
      <w:pPr>
        <w:ind w:right="60" w:firstLine="987"/>
        <w:spacing w:after="0" w:line="255" w:lineRule="auto"/>
        <w:tabs>
          <w:tab w:leader="none" w:pos="120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Additional Issuing Banks</w:t>
      </w:r>
      <w:r>
        <w:rPr>
          <w:rFonts w:ascii="Arial" w:cs="Arial" w:eastAsia="Arial" w:hAnsi="Arial"/>
          <w:sz w:val="18"/>
          <w:szCs w:val="18"/>
          <w:color w:val="auto"/>
        </w:rPr>
        <w:t xml:space="preserve">. From time to time, the Borrower may, by notice to the Administrative Agent, designate additional Lenders as Issuing Banks, each of which agrees (in its sole discretion) to act in such capacity and is reasonably satisfactory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notice shall include an updated Schedule 2.05;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91" w:lineRule="auto"/>
        <w:tabs>
          <w:tab w:leader="none" w:pos="123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Funding by Lenders</w:t>
      </w:r>
      <w:r>
        <w:rPr>
          <w:rFonts w:ascii="Arial" w:cs="Arial" w:eastAsia="Arial" w:hAnsi="Arial"/>
          <w:sz w:val="16"/>
          <w:szCs w:val="16"/>
          <w:color w:val="auto"/>
        </w:rPr>
        <w:t xml:space="preserve">. Each Lender shall make each Loan to be made by it hereunder on the proposed date thereof by wire transfer of immediately available funds by (i) in the case of any Loan (other than a Syndicated ABR Borrowing), 11:00 a.m. New York City time, and (ii) in the case of any Loan that is a Syndicated ABR Borrowing, 1:00 p.m. New York City time, in each case, to the account of the Administrative Agent most recently 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Syndicated ABR Borrowings made to finance the reimbursement of an LC Disbursement as provided in </w:t>
      </w:r>
      <w:r>
        <w:rPr>
          <w:rFonts w:ascii="Arial" w:cs="Arial" w:eastAsia="Arial" w:hAnsi="Arial"/>
          <w:sz w:val="16"/>
          <w:szCs w:val="16"/>
          <w:u w:val="single" w:color="auto"/>
          <w:color w:val="auto"/>
        </w:rPr>
        <w:t>Section 2.05(f)</w:t>
      </w:r>
      <w:r>
        <w:rPr>
          <w:rFonts w:ascii="Arial" w:cs="Arial" w:eastAsia="Arial" w:hAnsi="Arial"/>
          <w:sz w:val="16"/>
          <w:szCs w:val="16"/>
          <w:color w:val="auto"/>
        </w:rPr>
        <w:t xml:space="preserve"> shall be remitted by the Administrative Agent to the applicable Issuing Bank.</w:t>
      </w:r>
    </w:p>
    <w:p>
      <w:pPr>
        <w:spacing w:after="0" w:line="166" w:lineRule="exact"/>
        <w:rPr>
          <w:rFonts w:ascii="Arial" w:cs="Arial" w:eastAsia="Arial" w:hAnsi="Arial"/>
          <w:sz w:val="16"/>
          <w:szCs w:val="16"/>
          <w:color w:val="auto"/>
        </w:rPr>
      </w:pPr>
    </w:p>
    <w:p>
      <w:pPr>
        <w:ind w:right="40" w:firstLine="987"/>
        <w:spacing w:after="0" w:line="269" w:lineRule="auto"/>
        <w:tabs>
          <w:tab w:leader="none" w:pos="1246"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Presumption by the Administrative Agent</w:t>
      </w:r>
      <w:r>
        <w:rPr>
          <w:rFonts w:ascii="Arial" w:cs="Arial" w:eastAsia="Arial" w:hAnsi="Arial"/>
          <w:sz w:val="17"/>
          <w:szCs w:val="17"/>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14"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225" w:lineRule="exact"/>
        <w:rPr>
          <w:sz w:val="20"/>
          <w:szCs w:val="20"/>
          <w:color w:val="auto"/>
        </w:rPr>
      </w:pPr>
    </w:p>
    <w:p>
      <w:pPr>
        <w:ind w:left="-980" w:right="60" w:firstLine="987"/>
        <w:spacing w:after="0" w:line="268" w:lineRule="auto"/>
        <w:tabs>
          <w:tab w:leader="none" w:pos="256"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Elections by the Borrower for Syndicated Borrowings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2.03(d)</w:t>
      </w:r>
      <w:r>
        <w:rPr>
          <w:rFonts w:ascii="Arial" w:cs="Arial" w:eastAsia="Arial" w:hAnsi="Arial"/>
          <w:sz w:val="17"/>
          <w:szCs w:val="17"/>
          <w:color w:val="auto"/>
        </w:rPr>
        <w:t xml:space="preserve">, the Loans constituting each Syndicated Borrowing initially shall be of the Type specified in the applicable Borrowing Request and, in the case of a Term Benchmark Borrowing or RFR 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prior to the Commitment Termination Date, no Term Benchmark Borrowing denominated in a Foreign Currency or RFR Borrowing may be continued if, after giving effect thereto, the aggregate Revolving Multicurrency Credit Exposures would exceed the aggregate Multicurrency Commitments, and (iv) a Term Benchmark Borrowing denominated in a Foreign Currency or RFR Borrowing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Loans, which may not be converted or continued.</w:t>
      </w:r>
    </w:p>
    <w:p>
      <w:pPr>
        <w:spacing w:after="0" w:line="186" w:lineRule="exact"/>
        <w:rPr>
          <w:rFonts w:ascii="Arial" w:cs="Arial" w:eastAsia="Arial" w:hAnsi="Arial"/>
          <w:sz w:val="17"/>
          <w:szCs w:val="17"/>
          <w:color w:val="auto"/>
        </w:rPr>
      </w:pPr>
    </w:p>
    <w:p>
      <w:pPr>
        <w:ind w:left="-980" w:right="20" w:firstLine="987"/>
        <w:spacing w:after="0" w:line="255" w:lineRule="auto"/>
        <w:tabs>
          <w:tab w:leader="none" w:pos="26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Notice of Elections</w:t>
      </w:r>
      <w:r>
        <w:rPr>
          <w:rFonts w:ascii="Arial" w:cs="Arial" w:eastAsia="Arial" w:hAnsi="Arial"/>
          <w:sz w:val="18"/>
          <w:szCs w:val="18"/>
          <w:color w:val="auto"/>
        </w:rPr>
        <w:t xml:space="preserve">. To make an election pursuant to this Section, the Borrower shall notify the Administrative Agent of such election by telephone, delivery of a signed interest election request or email by the time that a Borrowing Request would be required under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or electronic communication to the Administrative Agent of a written Interest Election Request in a form approved by the Administrative Agent and signed by the Borrower.</w:t>
      </w:r>
    </w:p>
    <w:p>
      <w:pPr>
        <w:spacing w:after="0" w:line="192" w:lineRule="exact"/>
        <w:rPr>
          <w:rFonts w:ascii="Arial" w:cs="Arial" w:eastAsia="Arial" w:hAnsi="Arial"/>
          <w:sz w:val="18"/>
          <w:szCs w:val="18"/>
          <w:color w:val="auto"/>
        </w:rPr>
      </w:pPr>
    </w:p>
    <w:p>
      <w:pPr>
        <w:ind w:left="-980" w:right="100" w:firstLine="987"/>
        <w:spacing w:after="0" w:line="277" w:lineRule="auto"/>
        <w:tabs>
          <w:tab w:leader="none" w:pos="25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Content of Interest Election Requests</w:t>
      </w:r>
      <w:r>
        <w:rPr>
          <w:rFonts w:ascii="Arial" w:cs="Arial" w:eastAsia="Arial" w:hAnsi="Arial"/>
          <w:sz w:val="18"/>
          <w:szCs w:val="18"/>
          <w:color w:val="auto"/>
        </w:rPr>
        <w:t xml:space="preserve">. 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0" w:firstLine="408"/>
        <w:spacing w:after="0" w:line="286" w:lineRule="auto"/>
        <w:tabs>
          <w:tab w:leader="none" w:pos="616"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of this paragraph shall be specified for each resulting Borrowing);</w:t>
      </w:r>
    </w:p>
    <w:p>
      <w:pPr>
        <w:spacing w:after="0" w:line="57" w:lineRule="exact"/>
        <w:rPr>
          <w:rFonts w:ascii="Arial" w:cs="Arial" w:eastAsia="Arial" w:hAnsi="Arial"/>
          <w:sz w:val="17"/>
          <w:szCs w:val="17"/>
          <w:color w:val="auto"/>
        </w:rPr>
      </w:pPr>
    </w:p>
    <w:p>
      <w:pPr>
        <w:ind w:left="680" w:hanging="272"/>
        <w:spacing w:after="0"/>
        <w:tabs>
          <w:tab w:leader="none" w:pos="6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58" w:lineRule="exact"/>
        <w:rPr>
          <w:sz w:val="20"/>
          <w:szCs w:val="20"/>
          <w:color w:val="auto"/>
        </w:rPr>
      </w:pPr>
    </w:p>
    <w:p>
      <w:pPr>
        <w:jc w:val="both"/>
        <w:ind w:left="4680"/>
        <w:spacing w:after="0"/>
        <w:tabs>
          <w:tab w:leader="none" w:pos="79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68" w:name="page69"/>
    <w:bookmarkEnd w:id="68"/>
    <w:p>
      <w:pPr>
        <w:ind w:left="984" w:right="440" w:firstLine="408"/>
        <w:spacing w:after="0" w:line="277" w:lineRule="auto"/>
        <w:tabs>
          <w:tab w:leader="none" w:pos="1700" w:val="left"/>
        </w:tabs>
        <w:numPr>
          <w:ilvl w:val="2"/>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in the case of a Borrowing denominated in Dollars, the resulting Borrowing is to be an ABR Borrowing or a Term Benchmark Borrowing; and</w:t>
      </w:r>
    </w:p>
    <w:p>
      <w:pPr>
        <w:spacing w:after="0" w:line="62" w:lineRule="exact"/>
        <w:rPr>
          <w:rFonts w:ascii="Arial" w:cs="Arial" w:eastAsia="Arial" w:hAnsi="Arial"/>
          <w:sz w:val="18"/>
          <w:szCs w:val="18"/>
          <w:color w:val="auto"/>
        </w:rPr>
      </w:pPr>
    </w:p>
    <w:p>
      <w:pPr>
        <w:ind w:left="984" w:right="100" w:firstLine="408"/>
        <w:spacing w:after="0" w:line="342" w:lineRule="auto"/>
        <w:tabs>
          <w:tab w:leader="none" w:pos="1690" w:val="left"/>
        </w:tabs>
        <w:numPr>
          <w:ilvl w:val="2"/>
          <w:numId w:val="62"/>
        </w:numPr>
        <w:rPr>
          <w:rFonts w:ascii="Arial" w:cs="Arial" w:eastAsia="Arial" w:hAnsi="Arial"/>
          <w:sz w:val="16"/>
          <w:szCs w:val="16"/>
          <w:color w:val="auto"/>
        </w:rPr>
      </w:pPr>
      <w:r>
        <w:rPr>
          <w:rFonts w:ascii="Arial" w:cs="Arial" w:eastAsia="Arial" w:hAnsi="Arial"/>
          <w:sz w:val="16"/>
          <w:szCs w:val="16"/>
          <w:color w:val="auto"/>
        </w:rPr>
        <w:t xml:space="preserve">if the resulting Borrowing is a Term Benchmark Borrowing or RFR Borrowing, the Interest Period therefor after giving effect to such election, which shall be a period contemplated by the definition of the term “Interest Period” and permitted under </w:t>
      </w:r>
      <w:r>
        <w:rPr>
          <w:rFonts w:ascii="Arial" w:cs="Arial" w:eastAsia="Arial" w:hAnsi="Arial"/>
          <w:sz w:val="16"/>
          <w:szCs w:val="16"/>
          <w:u w:val="single" w:color="auto"/>
          <w:color w:val="auto"/>
        </w:rPr>
        <w:t>Section 2.02(d)</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4" w:right="380" w:firstLine="987"/>
        <w:spacing w:after="0" w:line="308" w:lineRule="auto"/>
        <w:tabs>
          <w:tab w:leader="none" w:pos="1250"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Notice by the Administrative Agent to the Lenders</w:t>
      </w:r>
      <w:r>
        <w:rPr>
          <w:rFonts w:ascii="Arial" w:cs="Arial" w:eastAsia="Arial" w:hAnsi="Arial"/>
          <w:sz w:val="17"/>
          <w:szCs w:val="17"/>
          <w:color w:val="auto"/>
        </w:rPr>
        <w:t>. Promptly following receipt of an Interest Election Request, the Administrative Agent shall advise each applicable Lender of the details thereof and of such Lender’s portion of each resulting Borrowing.</w:t>
      </w:r>
    </w:p>
    <w:p>
      <w:pPr>
        <w:spacing w:after="0" w:line="146" w:lineRule="exact"/>
        <w:rPr>
          <w:rFonts w:ascii="Arial" w:cs="Arial" w:eastAsia="Arial" w:hAnsi="Arial"/>
          <w:sz w:val="17"/>
          <w:szCs w:val="17"/>
          <w:color w:val="auto"/>
        </w:rPr>
      </w:pPr>
    </w:p>
    <w:p>
      <w:pPr>
        <w:ind w:left="4" w:right="20" w:firstLine="987"/>
        <w:spacing w:after="0" w:line="291" w:lineRule="auto"/>
        <w:tabs>
          <w:tab w:leader="none" w:pos="1240"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Failure to Elect; Events of Default</w:t>
      </w:r>
      <w:r>
        <w:rPr>
          <w:rFonts w:ascii="Arial" w:cs="Arial" w:eastAsia="Arial" w:hAnsi="Arial"/>
          <w:sz w:val="16"/>
          <w:szCs w:val="16"/>
          <w:color w:val="auto"/>
        </w:rPr>
        <w:t>. If the Borrower fails to deliver a timely and complete Interest Election Request with respect to a Term Benchmark Borrowing or RFR Borrowing prior to the end of the Interest Period therefor, then, unless such Borrowing is repaid as provided herein,</w:t>
      </w:r>
    </w:p>
    <w:p>
      <w:pPr>
        <w:ind w:left="4" w:right="40" w:hanging="4"/>
        <w:spacing w:after="0" w:line="288" w:lineRule="auto"/>
        <w:tabs>
          <w:tab w:leader="none" w:pos="219"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such Borrowing is denominated in Dollars, at the end of such Interest Period such Borrowing shall be converted to a Syndicated Term Benchmark Borrowing consistent with the existing Loan of the same Class having an Interest Period of one month, and (ii) if such Borrowing is denominated in a Foreign Currency, the Borrower shall be deemed to have selected an Interest Period of one month’s duration. Notwithstanding any contrary provision hereof (other than the last paragraph of Article VII),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spacing w:after="0" w:line="16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or Increase of the Commitments</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Scheduled Termination</w:t>
      </w:r>
      <w:r>
        <w:rPr>
          <w:rFonts w:ascii="Arial" w:cs="Arial" w:eastAsia="Arial" w:hAnsi="Arial"/>
          <w:sz w:val="17"/>
          <w:szCs w:val="17"/>
          <w:color w:val="auto"/>
        </w:rPr>
        <w:t>. Unless previously terminated, the Commitments shall terminate on the Commitment Termination Date.</w:t>
      </w:r>
    </w:p>
    <w:p>
      <w:pPr>
        <w:spacing w:after="0" w:line="236" w:lineRule="exact"/>
        <w:rPr>
          <w:rFonts w:ascii="Arial" w:cs="Arial" w:eastAsia="Arial" w:hAnsi="Arial"/>
          <w:sz w:val="17"/>
          <w:szCs w:val="17"/>
          <w:color w:val="auto"/>
        </w:rPr>
      </w:pPr>
    </w:p>
    <w:p>
      <w:pPr>
        <w:ind w:left="4" w:right="20" w:firstLine="987"/>
        <w:spacing w:after="0" w:line="291" w:lineRule="auto"/>
        <w:tabs>
          <w:tab w:leader="none" w:pos="125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Voluntary Termination or Reduction</w:t>
      </w:r>
      <w:r>
        <w:rPr>
          <w:rFonts w:ascii="Arial" w:cs="Arial" w:eastAsia="Arial" w:hAnsi="Arial"/>
          <w:sz w:val="16"/>
          <w:szCs w:val="16"/>
          <w:color w:val="auto"/>
        </w:rPr>
        <w:t xml:space="preserve">. The Borrower may at any time without premium or penalty terminate, or from time to time reduce, the Commitments of either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Commitments of a Class shall be in an amount that is $10,000,000 (or, if less, the entire amount of the Commitments of such Class) or a larger multiple of $1,000,000 in excess thereof (or, if less, the entire amount of the Commitments of such Class) and (ii) the Borrower shall not terminate or reduce the Commitments of either Class if, after giving effect to any concurrent prepayment of the Syndicated Loans of such Class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6"/>
          <w:szCs w:val="16"/>
          <w:u w:val="single" w:color="auto"/>
          <w:color w:val="auto"/>
        </w:rPr>
        <w:t>Section 2.04(a)(i)</w:t>
      </w:r>
      <w:r>
        <w:rPr>
          <w:rFonts w:ascii="Arial" w:cs="Arial" w:eastAsia="Arial" w:hAnsi="Arial"/>
          <w:sz w:val="16"/>
          <w:szCs w:val="16"/>
          <w:color w:val="auto"/>
        </w:rPr>
        <w:t xml:space="preserve"> and the Letters of Credit permitted under </w:t>
      </w:r>
      <w:r>
        <w:rPr>
          <w:rFonts w:ascii="Arial" w:cs="Arial" w:eastAsia="Arial" w:hAnsi="Arial"/>
          <w:sz w:val="16"/>
          <w:szCs w:val="16"/>
          <w:u w:val="single" w:color="auto"/>
          <w:color w:val="auto"/>
        </w:rPr>
        <w:t>Section 2.05(c)(i)</w:t>
      </w:r>
      <w:r>
        <w:rPr>
          <w:rFonts w:ascii="Arial" w:cs="Arial" w:eastAsia="Arial" w:hAnsi="Arial"/>
          <w:sz w:val="16"/>
          <w:szCs w:val="16"/>
          <w:color w:val="auto"/>
        </w:rPr>
        <w:t xml:space="preserve"> shall result in a dollar-for-dollar reduction of such amounts as applicable.</w:t>
      </w:r>
    </w:p>
    <w:p>
      <w:pPr>
        <w:spacing w:after="0" w:line="99"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69" w:name="page70"/>
    <w:bookmarkEnd w:id="69"/>
    <w:p>
      <w:pPr>
        <w:ind w:right="260" w:firstLine="987"/>
        <w:spacing w:after="0" w:line="272" w:lineRule="auto"/>
        <w:tabs>
          <w:tab w:leader="none" w:pos="123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Voluntary Termination or Reduction</w:t>
      </w:r>
      <w:r>
        <w:rPr>
          <w:rFonts w:ascii="Arial" w:cs="Arial" w:eastAsia="Arial" w:hAnsi="Arial"/>
          <w:sz w:val="17"/>
          <w:szCs w:val="17"/>
          <w:color w:val="auto"/>
        </w:rPr>
        <w:t xml:space="preserve">. The Borrower shall notify the Administrative Agent of any election to terminate or reduce the Commitments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Commitments of a Class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w:t>
      </w:r>
    </w:p>
    <w:p>
      <w:pPr>
        <w:spacing w:after="0" w:line="177"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Effect of Termination or Reduction</w:t>
      </w:r>
      <w:r>
        <w:rPr>
          <w:rFonts w:ascii="Arial" w:cs="Arial" w:eastAsia="Arial" w:hAnsi="Arial"/>
          <w:sz w:val="18"/>
          <w:szCs w:val="18"/>
          <w:color w:val="auto"/>
        </w:rPr>
        <w:t xml:space="preserve">. Any termination or reduction of the Commitments of a Class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permanent. Each reduction of the Commitments of a Class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be made ratably among the Lenders of such Class in accordance with their respective Commitments.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u w:val="single" w:color="auto"/>
          <w:color w:val="auto"/>
        </w:rPr>
        <w:t>Increase of the Commitments</w:t>
      </w:r>
      <w:r>
        <w:rPr>
          <w:rFonts w:ascii="Arial" w:cs="Arial" w:eastAsia="Arial" w:hAnsi="Arial"/>
          <w:sz w:val="18"/>
          <w:szCs w:val="18"/>
          <w:color w:val="auto"/>
        </w:rPr>
        <w:t>.</w:t>
      </w:r>
    </w:p>
    <w:p>
      <w:pPr>
        <w:spacing w:after="0" w:line="117" w:lineRule="exact"/>
        <w:rPr>
          <w:sz w:val="20"/>
          <w:szCs w:val="20"/>
          <w:color w:val="auto"/>
        </w:rPr>
      </w:pPr>
    </w:p>
    <w:p>
      <w:pPr>
        <w:ind w:left="440" w:right="100" w:firstLine="952"/>
        <w:spacing w:after="0" w:line="273" w:lineRule="auto"/>
        <w:rPr>
          <w:sz w:val="20"/>
          <w:szCs w:val="20"/>
          <w:color w:val="auto"/>
        </w:rPr>
      </w:pPr>
      <w:r>
        <w:rPr>
          <w:rFonts w:ascii="Arial" w:cs="Arial" w:eastAsia="Arial" w:hAnsi="Arial"/>
          <w:sz w:val="17"/>
          <w:szCs w:val="17"/>
          <w:color w:val="auto"/>
        </w:rPr>
        <w:t>(i)</w:t>
      </w:r>
      <w:r>
        <w:rPr>
          <w:rFonts w:ascii="Arial" w:cs="Arial" w:eastAsia="Arial" w:hAnsi="Arial"/>
          <w:sz w:val="17"/>
          <w:szCs w:val="17"/>
          <w:u w:val="single" w:color="auto"/>
          <w:color w:val="auto"/>
        </w:rPr>
        <w:t>Requests for Increase by Borrower</w:t>
      </w:r>
      <w:r>
        <w:rPr>
          <w:rFonts w:ascii="Arial" w:cs="Arial" w:eastAsia="Arial" w:hAnsi="Arial"/>
          <w:sz w:val="17"/>
          <w:szCs w:val="17"/>
          <w:color w:val="auto"/>
        </w:rPr>
        <w:t>. The Borrower may, at any time, request that the Commitments hereunder of a Class be increased (each such proposed increase being a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upon notice to the Administrative Agent (who shall promptly notify the Lenders), which notice shall specify each existing Lender (each an “</w:t>
      </w:r>
      <w:r>
        <w:rPr>
          <w:rFonts w:ascii="Arial" w:cs="Arial" w:eastAsia="Arial" w:hAnsi="Arial"/>
          <w:sz w:val="17"/>
          <w:szCs w:val="17"/>
          <w:u w:val="single" w:color="auto"/>
          <w:color w:val="auto"/>
        </w:rPr>
        <w:t>Increasing Lender</w:t>
      </w:r>
      <w:r>
        <w:rPr>
          <w:rFonts w:ascii="Arial" w:cs="Arial" w:eastAsia="Arial" w:hAnsi="Arial"/>
          <w:sz w:val="17"/>
          <w:szCs w:val="17"/>
          <w:color w:val="auto"/>
        </w:rPr>
        <w:t>”) and/or each additional lender (each an “</w:t>
      </w:r>
      <w:r>
        <w:rPr>
          <w:rFonts w:ascii="Arial" w:cs="Arial" w:eastAsia="Arial" w:hAnsi="Arial"/>
          <w:sz w:val="17"/>
          <w:szCs w:val="17"/>
          <w:u w:val="single" w:color="auto"/>
          <w:color w:val="auto"/>
        </w:rPr>
        <w:t>Assuming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that shall have agreed to an additional Commitment and the date on which such increase is to be effective (the “</w:t>
      </w:r>
      <w:r>
        <w:rPr>
          <w:rFonts w:ascii="Arial" w:cs="Arial" w:eastAsia="Arial" w:hAnsi="Arial"/>
          <w:sz w:val="17"/>
          <w:szCs w:val="17"/>
          <w:u w:val="single" w:color="auto"/>
          <w:color w:val="auto"/>
        </w:rPr>
        <w:t>Commitment Increase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which shall be a Business Day at least three Business Days (or such shorter period as the Administrative Agent may reasonably agree) after delivery of such notice and at least 30 days prior to the Commitment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0" w:lineRule="exact"/>
        <w:rPr>
          <w:sz w:val="20"/>
          <w:szCs w:val="20"/>
          <w:color w:val="auto"/>
        </w:rPr>
      </w:pPr>
    </w:p>
    <w:p>
      <w:pPr>
        <w:ind w:left="980" w:right="260" w:firstLine="902"/>
        <w:spacing w:after="0" w:line="263" w:lineRule="auto"/>
        <w:rPr>
          <w:sz w:val="20"/>
          <w:szCs w:val="20"/>
          <w:color w:val="auto"/>
        </w:rPr>
      </w:pPr>
      <w:r>
        <w:rPr>
          <w:rFonts w:ascii="Arial" w:cs="Arial" w:eastAsia="Arial" w:hAnsi="Arial"/>
          <w:sz w:val="18"/>
          <w:szCs w:val="18"/>
          <w:color w:val="auto"/>
        </w:rPr>
        <w:t>(A)the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76" w:lineRule="exact"/>
        <w:rPr>
          <w:sz w:val="20"/>
          <w:szCs w:val="20"/>
          <w:color w:val="auto"/>
        </w:rPr>
      </w:pPr>
    </w:p>
    <w:p>
      <w:pPr>
        <w:ind w:left="980" w:right="20" w:firstLine="910"/>
        <w:spacing w:after="0" w:line="277" w:lineRule="auto"/>
        <w:tabs>
          <w:tab w:leader="none" w:pos="21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immediately after giving effect to such Commitment Increase, the total Commitments of all of the Lenders hereunder shall not exceed $1,000,000,000;</w:t>
      </w:r>
    </w:p>
    <w:p>
      <w:pPr>
        <w:spacing w:after="0" w:line="62" w:lineRule="exact"/>
        <w:rPr>
          <w:rFonts w:ascii="Arial" w:cs="Arial" w:eastAsia="Arial" w:hAnsi="Arial"/>
          <w:sz w:val="18"/>
          <w:szCs w:val="18"/>
          <w:color w:val="auto"/>
        </w:rPr>
      </w:pPr>
    </w:p>
    <w:p>
      <w:pPr>
        <w:ind w:left="980" w:right="180" w:firstLine="910"/>
        <w:spacing w:after="0" w:line="277" w:lineRule="auto"/>
        <w:tabs>
          <w:tab w:leader="none" w:pos="21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Assuming Lender shall be consented to by the Administrative Agent and each Issuing Bank (such consent not to be unreasonably withheld or delayed);</w:t>
      </w:r>
    </w:p>
    <w:p>
      <w:pPr>
        <w:spacing w:after="0" w:line="62" w:lineRule="exact"/>
        <w:rPr>
          <w:rFonts w:ascii="Arial" w:cs="Arial" w:eastAsia="Arial" w:hAnsi="Arial"/>
          <w:sz w:val="18"/>
          <w:szCs w:val="18"/>
          <w:color w:val="auto"/>
        </w:rPr>
      </w:pPr>
    </w:p>
    <w:p>
      <w:pPr>
        <w:ind w:left="980" w:right="280" w:firstLine="910"/>
        <w:spacing w:after="0" w:line="277" w:lineRule="auto"/>
        <w:tabs>
          <w:tab w:leader="none" w:pos="21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such Commitment Increase Date or shall result from the proposed Commitment Increase; and</w:t>
      </w:r>
    </w:p>
    <w:p>
      <w:pPr>
        <w:spacing w:after="0" w:line="62" w:lineRule="exact"/>
        <w:rPr>
          <w:rFonts w:ascii="Arial" w:cs="Arial" w:eastAsia="Arial" w:hAnsi="Arial"/>
          <w:sz w:val="18"/>
          <w:szCs w:val="18"/>
          <w:color w:val="auto"/>
        </w:rPr>
      </w:pPr>
    </w:p>
    <w:p>
      <w:pPr>
        <w:ind w:left="980" w:right="20" w:firstLine="910"/>
        <w:spacing w:after="0" w:line="259" w:lineRule="auto"/>
        <w:tabs>
          <w:tab w:leader="none" w:pos="215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1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70" w:name="page71"/>
    <w:bookmarkEnd w:id="70"/>
    <w:p>
      <w:pPr>
        <w:jc w:val="both"/>
        <w:ind w:left="4" w:right="200" w:firstLine="948"/>
        <w:spacing w:after="0" w:line="263" w:lineRule="auto"/>
        <w:tabs>
          <w:tab w:leader="none" w:pos="12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 of Commitment Increase by Borrower</w:t>
      </w:r>
      <w:r>
        <w:rPr>
          <w:rFonts w:ascii="Arial" w:cs="Arial" w:eastAsia="Arial" w:hAnsi="Arial"/>
          <w:sz w:val="18"/>
          <w:szCs w:val="18"/>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5" w:lineRule="exact"/>
        <w:rPr>
          <w:rFonts w:ascii="Arial" w:cs="Arial" w:eastAsia="Arial" w:hAnsi="Arial"/>
          <w:sz w:val="18"/>
          <w:szCs w:val="18"/>
          <w:color w:val="auto"/>
        </w:rPr>
      </w:pPr>
    </w:p>
    <w:p>
      <w:pPr>
        <w:ind w:left="544" w:right="60" w:firstLine="910"/>
        <w:spacing w:after="0" w:line="259" w:lineRule="auto"/>
        <w:tabs>
          <w:tab w:leader="none" w:pos="1701"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has been satisfied; and</w:t>
      </w:r>
    </w:p>
    <w:p>
      <w:pPr>
        <w:spacing w:after="0" w:line="78" w:lineRule="exact"/>
        <w:rPr>
          <w:rFonts w:ascii="Arial" w:cs="Arial" w:eastAsia="Arial" w:hAnsi="Arial"/>
          <w:sz w:val="18"/>
          <w:szCs w:val="18"/>
          <w:color w:val="auto"/>
        </w:rPr>
      </w:pPr>
    </w:p>
    <w:p>
      <w:pPr>
        <w:ind w:left="544" w:right="20" w:firstLine="910"/>
        <w:spacing w:after="0" w:line="255" w:lineRule="auto"/>
        <w:tabs>
          <w:tab w:leader="none" w:pos="1701" w:val="left"/>
        </w:tabs>
        <w:numPr>
          <w:ilvl w:val="1"/>
          <w:numId w:val="68"/>
        </w:numPr>
        <w:rPr>
          <w:rFonts w:ascii="Arial" w:cs="Arial" w:eastAsia="Arial" w:hAnsi="Arial"/>
          <w:sz w:val="18"/>
          <w:szCs w:val="18"/>
          <w:color w:val="auto"/>
        </w:rPr>
      </w:pPr>
      <w:r>
        <w:rPr>
          <w:rFonts w:ascii="Arial" w:cs="Arial" w:eastAsia="Arial" w:hAnsi="Arial"/>
          <w:sz w:val="18"/>
          <w:szCs w:val="18"/>
          <w:color w:val="auto"/>
        </w:rPr>
        <w:t>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84" w:lineRule="exact"/>
        <w:rPr>
          <w:sz w:val="20"/>
          <w:szCs w:val="20"/>
          <w:color w:val="auto"/>
        </w:rPr>
      </w:pPr>
    </w:p>
    <w:p>
      <w:pPr>
        <w:ind w:left="4" w:right="400"/>
        <w:spacing w:after="0" w:line="342" w:lineRule="auto"/>
        <w:rPr>
          <w:sz w:val="20"/>
          <w:szCs w:val="20"/>
          <w:color w:val="auto"/>
        </w:rPr>
      </w:pPr>
      <w:r>
        <w:rPr>
          <w:rFonts w:ascii="Arial" w:cs="Arial" w:eastAsia="Arial" w:hAnsi="Arial"/>
          <w:sz w:val="16"/>
          <w:szCs w:val="16"/>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6" w:lineRule="exact"/>
        <w:rPr>
          <w:sz w:val="20"/>
          <w:szCs w:val="20"/>
          <w:color w:val="auto"/>
        </w:rPr>
      </w:pPr>
    </w:p>
    <w:p>
      <w:pPr>
        <w:ind w:left="4" w:right="140" w:firstLine="948"/>
        <w:spacing w:after="0" w:line="259" w:lineRule="auto"/>
        <w:tabs>
          <w:tab w:leader="none" w:pos="127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Recordation into Register</w:t>
      </w:r>
      <w:r>
        <w:rPr>
          <w:rFonts w:ascii="Arial" w:cs="Arial" w:eastAsia="Arial" w:hAnsi="Arial"/>
          <w:sz w:val="18"/>
          <w:szCs w:val="18"/>
          <w:color w:val="auto"/>
        </w:rPr>
        <w:t xml:space="preserve">. Upon its receipt of an agreement referred to in </w:t>
      </w:r>
      <w:r>
        <w:rPr>
          <w:rFonts w:ascii="Arial" w:cs="Arial" w:eastAsia="Arial" w:hAnsi="Arial"/>
          <w:sz w:val="18"/>
          <w:szCs w:val="18"/>
          <w:u w:val="single" w:color="auto"/>
          <w:color w:val="auto"/>
        </w:rPr>
        <w:t>clause (ii)(y)</w:t>
      </w:r>
      <w:r>
        <w:rPr>
          <w:rFonts w:ascii="Arial" w:cs="Arial" w:eastAsia="Arial" w:hAnsi="Arial"/>
          <w:sz w:val="18"/>
          <w:szCs w:val="18"/>
          <w:color w:val="auto"/>
        </w:rPr>
        <w:t xml:space="preserve"> above executed by an Assuming Lender or any Increasing Lender, together with the certificate referred to in </w:t>
      </w:r>
      <w:r>
        <w:rPr>
          <w:rFonts w:ascii="Arial" w:cs="Arial" w:eastAsia="Arial" w:hAnsi="Arial"/>
          <w:sz w:val="18"/>
          <w:szCs w:val="18"/>
          <w:u w:val="single" w:color="auto"/>
          <w:color w:val="auto"/>
        </w:rPr>
        <w:t>clause (ii)(x)</w:t>
      </w:r>
      <w:r>
        <w:rPr>
          <w:rFonts w:ascii="Arial" w:cs="Arial" w:eastAsia="Arial" w:hAnsi="Arial"/>
          <w:sz w:val="18"/>
          <w:szCs w:val="18"/>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78" w:lineRule="exact"/>
        <w:rPr>
          <w:rFonts w:ascii="Arial" w:cs="Arial" w:eastAsia="Arial" w:hAnsi="Arial"/>
          <w:sz w:val="18"/>
          <w:szCs w:val="18"/>
          <w:color w:val="auto"/>
        </w:rPr>
      </w:pPr>
    </w:p>
    <w:p>
      <w:pPr>
        <w:ind w:left="4" w:right="180" w:firstLine="948"/>
        <w:spacing w:after="0" w:line="285" w:lineRule="auto"/>
        <w:tabs>
          <w:tab w:leader="none" w:pos="126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Adjustments of Borrowings upon Effectiveness of Increase</w:t>
      </w:r>
      <w:r>
        <w:rPr>
          <w:rFonts w:ascii="Arial" w:cs="Arial" w:eastAsia="Arial" w:hAnsi="Arial"/>
          <w:sz w:val="16"/>
          <w:szCs w:val="16"/>
          <w:color w:val="auto"/>
        </w:rPr>
        <w:t xml:space="preserve">. On the Commitment Increase Date, the Borrower shall (A) prepay the outstanding Loans (if any) of the affected Class in full, (B) simultaneously borrow new Loans of such Class hereunder in an amount equal to such prepayment (which may also include the amount of any fees, expenses or amounts due by the Borrower on or prior to the Commitment Increase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 the prepayment to, and borrowing from, any existing Lender shall be effected by book entry to the extent that any portion of the amount prepaid to such Lender will be subsequently borrowed from such Lender and</w:t>
      </w:r>
    </w:p>
    <w:p>
      <w:pPr>
        <w:spacing w:after="0" w:line="1" w:lineRule="exact"/>
        <w:rPr>
          <w:rFonts w:ascii="Arial" w:cs="Arial" w:eastAsia="Arial" w:hAnsi="Arial"/>
          <w:sz w:val="16"/>
          <w:szCs w:val="16"/>
          <w:color w:val="auto"/>
        </w:rPr>
      </w:pPr>
    </w:p>
    <w:p>
      <w:pPr>
        <w:ind w:left="4" w:right="440" w:hanging="4"/>
        <w:spacing w:after="0" w:line="260" w:lineRule="auto"/>
        <w:tabs>
          <w:tab w:leader="none" w:pos="2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existing Lenders, the Increasing Lenders and the Assuming Lenders shall make and receive payments among themselves, in a manner acceptable to the</w:t>
      </w:r>
    </w:p>
    <w:p>
      <w:pPr>
        <w:spacing w:after="0" w:line="118" w:lineRule="exact"/>
        <w:rPr>
          <w:sz w:val="20"/>
          <w:szCs w:val="20"/>
          <w:color w:val="auto"/>
        </w:rPr>
      </w:pPr>
    </w:p>
    <w:p>
      <w:pPr>
        <w:jc w:val="both"/>
        <w:ind w:left="5224"/>
        <w:spacing w:after="0"/>
        <w:tabs>
          <w:tab w:leader="none" w:pos="8523"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84"/>
          </w:cols>
          <w:pgMar w:left="876" w:top="274" w:right="439" w:bottom="1440" w:gutter="0" w:footer="0" w:header="0"/>
        </w:sectPr>
      </w:pPr>
    </w:p>
    <w:bookmarkStart w:id="71" w:name="page72"/>
    <w:bookmarkEnd w:id="71"/>
    <w:p>
      <w:pPr>
        <w:ind w:left="440"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as a result of any such prepayment. Concurrently therewith, the Lenders of such Class shall be deemed to have adjusted their participation interests in any outstanding Swingline Loans and Letters of Credit of such Class so that such interests are held ratably in accordance with their commitments of such Class as so increased.</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Borrower hereby unconditionally promises to pay the Loans of each Class as follows:</w:t>
      </w:r>
    </w:p>
    <w:p>
      <w:pPr>
        <w:spacing w:after="0" w:line="117" w:lineRule="exact"/>
        <w:rPr>
          <w:rFonts w:ascii="Arial" w:cs="Arial" w:eastAsia="Arial" w:hAnsi="Arial"/>
          <w:sz w:val="18"/>
          <w:szCs w:val="18"/>
          <w:color w:val="auto"/>
        </w:rPr>
      </w:pPr>
    </w:p>
    <w:p>
      <w:pPr>
        <w:ind w:left="440" w:right="60" w:firstLine="948"/>
        <w:spacing w:after="0" w:line="277" w:lineRule="auto"/>
        <w:tabs>
          <w:tab w:leader="none" w:pos="160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the Administrative Agent for account of the Lenders of such Class the outstanding principal amount of the Syndicated Loans of such Class on the Final Maturity Date; and</w:t>
      </w:r>
    </w:p>
    <w:p>
      <w:pPr>
        <w:spacing w:after="0" w:line="62" w:lineRule="exact"/>
        <w:rPr>
          <w:rFonts w:ascii="Arial" w:cs="Arial" w:eastAsia="Arial" w:hAnsi="Arial"/>
          <w:sz w:val="18"/>
          <w:szCs w:val="18"/>
          <w:color w:val="auto"/>
        </w:rPr>
      </w:pPr>
    </w:p>
    <w:p>
      <w:pPr>
        <w:ind w:left="440" w:right="20" w:firstLine="948"/>
        <w:spacing w:after="0" w:line="279" w:lineRule="auto"/>
        <w:tabs>
          <w:tab w:leader="none" w:pos="1657"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to the applicable Swingline Lender the then unpaid principal amount of each Swingline Loan of each Class denominated in Dollars made by such Swingline Lender, on the earlier of the Commitment Termination Date and the first date after such Swingline Loan is made that is the 15th or last day of a calendar month and is at least ten Business Days after such Swingline Loan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each date that a Syndicated Borrowing of such Class is made, the Borrower shall repay all Swingline Loans of such Class then outstanding.</w:t>
      </w:r>
    </w:p>
    <w:p>
      <w:pPr>
        <w:spacing w:after="0" w:line="171"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In addition, on the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171" w:lineRule="exact"/>
        <w:rPr>
          <w:sz w:val="20"/>
          <w:szCs w:val="20"/>
          <w:color w:val="auto"/>
        </w:rPr>
      </w:pPr>
    </w:p>
    <w:p>
      <w:pPr>
        <w:ind w:right="100" w:firstLine="987"/>
        <w:spacing w:after="0" w:line="271" w:lineRule="auto"/>
        <w:tabs>
          <w:tab w:leader="none" w:pos="1246"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Manner of Payment</w:t>
      </w:r>
      <w:r>
        <w:rPr>
          <w:rFonts w:ascii="Arial" w:cs="Arial" w:eastAsia="Arial" w:hAnsi="Arial"/>
          <w:sz w:val="17"/>
          <w:szCs w:val="17"/>
          <w:color w:val="auto"/>
        </w:rPr>
        <w:t xml:space="preserve">. Prior to any repayment or prepayment of any Borrowings to any Lenders of any Class hereunder, the Borrower shall select the Borrowing or Borrowings of such Class to be paid and shall notify the Administrative Agent by telephone (confirmed by telecopy or e-mail) of such selection not later than the time set forth in </w:t>
      </w:r>
      <w:r>
        <w:rPr>
          <w:rFonts w:ascii="Arial" w:cs="Arial" w:eastAsia="Arial" w:hAnsi="Arial"/>
          <w:sz w:val="17"/>
          <w:szCs w:val="17"/>
          <w:u w:val="single" w:color="auto"/>
          <w:color w:val="auto"/>
        </w:rPr>
        <w:t>Section 2.10(e)</w:t>
      </w:r>
      <w:r>
        <w:rPr>
          <w:rFonts w:ascii="Arial" w:cs="Arial" w:eastAsia="Arial" w:hAnsi="Arial"/>
          <w:sz w:val="17"/>
          <w:szCs w:val="17"/>
          <w:color w:val="auto"/>
        </w:rPr>
        <w:t xml:space="preserve"> prior to the scheduled date of such 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shall be applied ratably to the Loans included in such Borrowing.</w:t>
      </w:r>
    </w:p>
    <w:p>
      <w:pPr>
        <w:spacing w:after="0" w:line="111"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72" w:name="page73"/>
    <w:bookmarkEnd w:id="72"/>
    <w:p>
      <w:pPr>
        <w:ind w:left="-980" w:right="460" w:firstLine="987"/>
        <w:spacing w:after="0" w:line="263" w:lineRule="auto"/>
        <w:tabs>
          <w:tab w:leader="none" w:pos="25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Maintenance of Records by Lenders</w:t>
      </w:r>
      <w:r>
        <w:rPr>
          <w:rFonts w:ascii="Arial" w:cs="Arial" w:eastAsia="Arial" w:hAnsi="Arial"/>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83" w:lineRule="exact"/>
        <w:rPr>
          <w:rFonts w:ascii="Arial" w:cs="Arial" w:eastAsia="Arial" w:hAnsi="Arial"/>
          <w:sz w:val="18"/>
          <w:szCs w:val="18"/>
          <w:color w:val="auto"/>
        </w:rPr>
      </w:pPr>
    </w:p>
    <w:p>
      <w:pPr>
        <w:ind w:left="-980" w:right="120" w:firstLine="987"/>
        <w:spacing w:after="0" w:line="301" w:lineRule="auto"/>
        <w:tabs>
          <w:tab w:leader="none" w:pos="26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Maintenance of Records by the Administrative Agent</w:t>
      </w:r>
      <w:r>
        <w:rPr>
          <w:rFonts w:ascii="Arial" w:cs="Arial" w:eastAsia="Arial" w:hAnsi="Arial"/>
          <w:sz w:val="16"/>
          <w:szCs w:val="16"/>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57" w:lineRule="exact"/>
        <w:rPr>
          <w:rFonts w:ascii="Arial" w:cs="Arial" w:eastAsia="Arial" w:hAnsi="Arial"/>
          <w:sz w:val="16"/>
          <w:szCs w:val="16"/>
          <w:color w:val="auto"/>
        </w:rPr>
      </w:pPr>
    </w:p>
    <w:p>
      <w:pPr>
        <w:ind w:left="-980" w:right="220" w:firstLine="987"/>
        <w:spacing w:after="0" w:line="259" w:lineRule="auto"/>
        <w:tabs>
          <w:tab w:leader="none" w:pos="25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Effect of Entries</w:t>
      </w:r>
      <w:r>
        <w:rPr>
          <w:rFonts w:ascii="Arial" w:cs="Arial" w:eastAsia="Arial" w:hAnsi="Arial"/>
          <w:sz w:val="18"/>
          <w:szCs w:val="18"/>
          <w:color w:val="auto"/>
        </w:rPr>
        <w:t xml:space="preserve">. The entries made in the records maintained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absent obvious error,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86" w:lineRule="exact"/>
        <w:rPr>
          <w:rFonts w:ascii="Arial" w:cs="Arial" w:eastAsia="Arial" w:hAnsi="Arial"/>
          <w:sz w:val="18"/>
          <w:szCs w:val="18"/>
          <w:color w:val="auto"/>
        </w:rPr>
      </w:pPr>
    </w:p>
    <w:p>
      <w:pPr>
        <w:ind w:left="-980" w:right="20" w:firstLine="987"/>
        <w:spacing w:after="0" w:line="296" w:lineRule="auto"/>
        <w:tabs>
          <w:tab w:leader="none" w:pos="23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Promissory Notes</w:t>
      </w:r>
      <w:r>
        <w:rPr>
          <w:rFonts w:ascii="Arial" w:cs="Arial" w:eastAsia="Arial" w:hAnsi="Arial"/>
          <w:sz w:val="16"/>
          <w:szCs w:val="16"/>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reasonably approved by the Administrative Agent. Thereafter, the Loans evidenced by such promissory note and interest thereon shall at all times (including after assignment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be represented by one or more promissory notes in such form payable to the payee named therein (or, if such promissory note is a registered note, to such payee and its registered assigns).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25" w:lineRule="exact"/>
        <w:rPr>
          <w:sz w:val="20"/>
          <w:szCs w:val="20"/>
          <w:color w:val="auto"/>
        </w:rPr>
      </w:pPr>
    </w:p>
    <w:p>
      <w:pPr>
        <w:ind w:left="-980" w:right="180" w:firstLine="987"/>
        <w:spacing w:after="0" w:line="301" w:lineRule="auto"/>
        <w:tabs>
          <w:tab w:leader="none" w:pos="25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subject to the requirements of this Section. Any prepayment of a Borrowing made in accordance with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be applied ratably among the Lenders of a Class unless such prepayment is made in connection with the reduction of Commitments in accordance with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in which case such prepayment shall be applied in accordance with </w:t>
      </w:r>
      <w:r>
        <w:rPr>
          <w:rFonts w:ascii="Arial" w:cs="Arial" w:eastAsia="Arial" w:hAnsi="Arial"/>
          <w:sz w:val="16"/>
          <w:szCs w:val="16"/>
          <w:u w:val="single" w:color="auto"/>
          <w:color w:val="auto"/>
        </w:rPr>
        <w:t>Section 2.08(d)</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260" w:hanging="253"/>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Mandatory Prepayments due to Changes in Exchange Rates.</w:t>
      </w:r>
    </w:p>
    <w:p>
      <w:pPr>
        <w:spacing w:after="0" w:line="117" w:lineRule="exact"/>
        <w:rPr>
          <w:rFonts w:ascii="Arial" w:cs="Arial" w:eastAsia="Arial" w:hAnsi="Arial"/>
          <w:sz w:val="18"/>
          <w:szCs w:val="18"/>
          <w:color w:val="auto"/>
        </w:rPr>
      </w:pPr>
    </w:p>
    <w:p>
      <w:pPr>
        <w:ind w:left="-540" w:right="20" w:firstLine="948"/>
        <w:spacing w:after="0" w:line="259" w:lineRule="auto"/>
        <w:tabs>
          <w:tab w:leader="none" w:pos="627"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Determination of Amount Outstanding</w:t>
      </w:r>
      <w:r>
        <w:rPr>
          <w:rFonts w:ascii="Arial" w:cs="Arial" w:eastAsia="Arial" w:hAnsi="Arial"/>
          <w:sz w:val="18"/>
          <w:szCs w:val="18"/>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w:t>
      </w:r>
    </w:p>
    <w:p>
      <w:pPr>
        <w:spacing w:after="0" w:line="119" w:lineRule="exact"/>
        <w:rPr>
          <w:sz w:val="20"/>
          <w:szCs w:val="20"/>
          <w:color w:val="auto"/>
        </w:rPr>
      </w:pPr>
    </w:p>
    <w:p>
      <w:pPr>
        <w:jc w:val="both"/>
        <w:ind w:left="4680"/>
        <w:spacing w:after="0"/>
        <w:tabs>
          <w:tab w:leader="none" w:pos="79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73" w:name="page74"/>
    <w:bookmarkEnd w:id="73"/>
    <w:p>
      <w:pPr>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79" w:lineRule="exact"/>
        <w:rPr>
          <w:sz w:val="20"/>
          <w:szCs w:val="20"/>
          <w:color w:val="auto"/>
        </w:rPr>
      </w:pPr>
    </w:p>
    <w:p>
      <w:pPr>
        <w:ind w:left="440" w:right="100" w:firstLine="948"/>
        <w:spacing w:after="0" w:line="293" w:lineRule="auto"/>
        <w:tabs>
          <w:tab w:leader="none" w:pos="165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Prepayment</w:t>
      </w:r>
      <w:r>
        <w:rPr>
          <w:rFonts w:ascii="Arial" w:cs="Arial" w:eastAsia="Arial" w:hAnsi="Arial"/>
          <w:sz w:val="16"/>
          <w:szCs w:val="16"/>
          <w:color w:val="auto"/>
        </w:rPr>
        <w:t xml:space="preserve">. If on the date of such determination the aggregate Revolving Multicurrency Credit Exposure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16"/>
          <w:szCs w:val="16"/>
          <w:u w:val="single" w:color="auto"/>
          <w:color w:val="auto"/>
        </w:rPr>
        <w:t>Section 2.05(k)</w:t>
      </w:r>
      <w:r>
        <w:rPr>
          <w:rFonts w:ascii="Arial" w:cs="Arial" w:eastAsia="Arial" w:hAnsi="Arial"/>
          <w:sz w:val="16"/>
          <w:szCs w:val="16"/>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Currency Valuation Notice</w:t>
      </w:r>
      <w:r>
        <w:rPr>
          <w:rFonts w:ascii="Arial" w:cs="Arial" w:eastAsia="Arial" w:hAnsi="Arial"/>
          <w:sz w:val="18"/>
          <w:szCs w:val="18"/>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87"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 xml:space="preserve">Any prepayment pursuant to this paragraph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Swingline Multicurrency Loans outstanding,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Syndicated Multicurrency Loans outstanding and </w:t>
      </w:r>
      <w:r>
        <w:rPr>
          <w:rFonts w:ascii="Arial" w:cs="Arial" w:eastAsia="Arial" w:hAnsi="Arial"/>
          <w:sz w:val="18"/>
          <w:szCs w:val="18"/>
          <w:u w:val="single" w:color="auto"/>
          <w:color w:val="auto"/>
        </w:rPr>
        <w:t>third</w:t>
      </w:r>
      <w:r>
        <w:rPr>
          <w:rFonts w:ascii="Arial" w:cs="Arial" w:eastAsia="Arial" w:hAnsi="Arial"/>
          <w:sz w:val="18"/>
          <w:szCs w:val="18"/>
          <w:color w:val="auto"/>
        </w:rPr>
        <w:t>, as cover for Multicurrency LC Exposure.</w:t>
      </w:r>
    </w:p>
    <w:p>
      <w:pPr>
        <w:spacing w:after="0" w:line="170" w:lineRule="exact"/>
        <w:rPr>
          <w:sz w:val="20"/>
          <w:szCs w:val="20"/>
          <w:color w:val="auto"/>
        </w:rPr>
      </w:pPr>
    </w:p>
    <w:p>
      <w:pPr>
        <w:ind w:right="80" w:firstLine="987"/>
        <w:spacing w:after="0" w:line="287" w:lineRule="auto"/>
        <w:tabs>
          <w:tab w:leader="none" w:pos="123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Mandatory Prepayments due to Borrowing Base Deficiency</w:t>
      </w:r>
      <w:r>
        <w:rPr>
          <w:rFonts w:ascii="Arial" w:cs="Arial" w:eastAsia="Arial" w:hAnsi="Arial"/>
          <w:sz w:val="16"/>
          <w:szCs w:val="16"/>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or reduce Other Covered Indebtedness or any other Indebtedness that is included in the Covered Debt Amount at such time in such amounts as shall be necessary so that such Borrowing Base Deficiency is 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Administrative Agent with a reasonably feasible plan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 (or any extended period consented to by the Administrative Agent in its sole discretion).</w:t>
      </w:r>
    </w:p>
    <w:p>
      <w:pPr>
        <w:spacing w:after="0" w:line="104"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74" w:name="page75"/>
    <w:bookmarkEnd w:id="74"/>
    <w:p>
      <w:pPr>
        <w:ind w:right="800" w:firstLine="987"/>
        <w:spacing w:after="0" w:line="277" w:lineRule="auto"/>
        <w:tabs>
          <w:tab w:leader="none" w:pos="124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 Prepayments During Amortization Period</w:t>
      </w:r>
      <w:r>
        <w:rPr>
          <w:rFonts w:ascii="Arial" w:cs="Arial" w:eastAsia="Arial" w:hAnsi="Arial"/>
          <w:sz w:val="18"/>
          <w:szCs w:val="18"/>
          <w:color w:val="auto"/>
        </w:rPr>
        <w:t>. During the period commencing on the date immediately following the Commitment Termination Date and ending on the Final Maturity Date:</w:t>
      </w:r>
    </w:p>
    <w:p>
      <w:pPr>
        <w:spacing w:after="0" w:line="62" w:lineRule="exact"/>
        <w:rPr>
          <w:rFonts w:ascii="Arial" w:cs="Arial" w:eastAsia="Arial" w:hAnsi="Arial"/>
          <w:sz w:val="18"/>
          <w:szCs w:val="18"/>
          <w:color w:val="auto"/>
        </w:rPr>
      </w:pPr>
    </w:p>
    <w:p>
      <w:pPr>
        <w:jc w:val="both"/>
        <w:ind w:left="440" w:right="160" w:firstLine="948"/>
        <w:spacing w:after="0" w:line="301" w:lineRule="auto"/>
        <w:tabs>
          <w:tab w:leader="none" w:pos="1607"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Asset Disposition</w:t>
      </w:r>
      <w:r>
        <w:rPr>
          <w:rFonts w:ascii="Arial" w:cs="Arial" w:eastAsia="Arial" w:hAnsi="Arial"/>
          <w:sz w:val="16"/>
          <w:szCs w:val="16"/>
          <w:color w:val="auto"/>
        </w:rPr>
        <w:t xml:space="preserve">. If the Borrower or any of its Subsidiaries (other than a Financing Subsidiary) Disposes of any property which results in the receipt by such Person of Net Cash Proceeds in excess of $2,000,000 in the aggregate since the Commitment Termination Date, the Borrower shall prepay an aggregate principal amount of Loans equal to 100% of such Net Cash Proceeds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440" w:right="140" w:firstLine="948"/>
        <w:spacing w:after="0" w:line="279" w:lineRule="auto"/>
        <w:tabs>
          <w:tab w:leader="none" w:pos="1657"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Equity Issuance</w:t>
      </w:r>
      <w:r>
        <w:rPr>
          <w:rFonts w:ascii="Arial" w:cs="Arial" w:eastAsia="Arial" w:hAnsi="Arial"/>
          <w:sz w:val="17"/>
          <w:szCs w:val="17"/>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w:t>
      </w:r>
      <w:r>
        <w:rPr>
          <w:rFonts w:ascii="Arial" w:cs="Arial" w:eastAsia="Arial" w:hAnsi="Arial"/>
          <w:sz w:val="17"/>
          <w:szCs w:val="17"/>
          <w:u w:val="single" w:color="auto"/>
          <w:color w:val="auto"/>
        </w:rPr>
        <w:t>Section 2.09(b)</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jc w:val="both"/>
        <w:ind w:left="440" w:right="120" w:firstLine="948"/>
        <w:spacing w:after="0" w:line="287" w:lineRule="auto"/>
        <w:tabs>
          <w:tab w:leader="none" w:pos="1707"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40" w:right="100" w:firstLine="948"/>
        <w:spacing w:after="0" w:line="275" w:lineRule="auto"/>
        <w:tabs>
          <w:tab w:leader="none" w:pos="1696"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Extraordinary Receipt</w:t>
      </w:r>
      <w:r>
        <w:rPr>
          <w:rFonts w:ascii="Arial" w:cs="Arial" w:eastAsia="Arial" w:hAnsi="Arial"/>
          <w:sz w:val="17"/>
          <w:szCs w:val="17"/>
          <w:color w:val="auto"/>
        </w:rPr>
        <w:t xml:space="preserve">. Upon any Extraordinary Receipt (which, when taken with all other Extraordinary Receipts received after the 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7"/>
          <w:szCs w:val="17"/>
          <w:u w:val="single" w:color="auto"/>
          <w:color w:val="auto"/>
        </w:rPr>
        <w:t>Section 2.09(b)</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40" w:right="200" w:firstLine="948"/>
        <w:spacing w:after="0" w:line="259" w:lineRule="auto"/>
        <w:tabs>
          <w:tab w:leader="none" w:pos="1646"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Return of Capital</w:t>
      </w:r>
      <w:r>
        <w:rPr>
          <w:rFonts w:ascii="Arial" w:cs="Arial" w:eastAsia="Arial" w:hAnsi="Arial"/>
          <w:sz w:val="18"/>
          <w:szCs w:val="18"/>
          <w:color w:val="auto"/>
        </w:rPr>
        <w:t xml:space="preserve">. If any Obligor shall receive any Return of Capital (other than from any Financing Subsidiary), the Borrower shall prepay an aggregate principal amount of Loans equal to 90% of such Return of Capital (excluding amounts payable by the Borrower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no later than the fifth Business Day following the receipt of such Return of Capital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18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Notwithstanding the foregoing, Net Cash Proceeds and Return of Capital required to be applied to the prepayment of the Loans pursuant to this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shall (A) be applied in accordance with the Guarantee and Security Agreement and (B) exclude the amount necessary for the Borrower to make all required distributions (which shall be no less than the amount estimated in good faith by Borrower under </w:t>
      </w:r>
      <w:r>
        <w:rPr>
          <w:rFonts w:ascii="Arial" w:cs="Arial" w:eastAsia="Arial" w:hAnsi="Arial"/>
          <w:sz w:val="18"/>
          <w:szCs w:val="18"/>
          <w:u w:val="single" w:color="auto"/>
          <w:color w:val="auto"/>
        </w:rPr>
        <w:t>Section 6.05(b)</w:t>
      </w:r>
      <w:r>
        <w:rPr>
          <w:rFonts w:ascii="Arial" w:cs="Arial" w:eastAsia="Arial" w:hAnsi="Arial"/>
          <w:sz w:val="18"/>
          <w:szCs w:val="18"/>
          <w:color w:val="auto"/>
        </w:rPr>
        <w:t xml:space="preserve"> herein) to maintain the status of a RIC</w:t>
      </w:r>
    </w:p>
    <w:p>
      <w:pPr>
        <w:spacing w:after="0" w:line="11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75" w:name="page76"/>
    <w:bookmarkEnd w:id="75"/>
    <w:p>
      <w:pPr>
        <w:ind w:left="4"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the Code and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(II) if the Loans to be prepaid pursuant to this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are Term Benchmark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Administrative Agent may direct the application of such deposits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at any time and if the Administrative Agent does so, no amounts will be payable by the Borrower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65" w:lineRule="exact"/>
        <w:rPr>
          <w:sz w:val="20"/>
          <w:szCs w:val="20"/>
          <w:color w:val="auto"/>
        </w:rPr>
      </w:pPr>
    </w:p>
    <w:p>
      <w:pPr>
        <w:ind w:left="4" w:right="200" w:firstLine="987"/>
        <w:spacing w:after="0" w:line="284" w:lineRule="auto"/>
        <w:tabs>
          <w:tab w:leader="none" w:pos="1240"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Notices, Etc</w:t>
      </w:r>
      <w:r>
        <w:rPr>
          <w:rFonts w:ascii="Arial" w:cs="Arial" w:eastAsia="Arial" w:hAnsi="Arial"/>
          <w:sz w:val="16"/>
          <w:szCs w:val="16"/>
          <w:color w:val="auto"/>
        </w:rPr>
        <w:t>. The Borrower shall notify the Administrative Agent (and, in the case of prepayment of a Swingline Loan made by a Swingline Lender, such Swingline Lender) by telephone (confirmed by telecopy or electronic communication) of any prepayment hereunder (i) in the case of prepayment of a Term Benchmark Borrowing denominated in Dollars (other than in the case of a prepayment pursuant to Section 2.10(d)), not later than 11:00 a.m., New York City time, three Business Days before the date of prepayment (or such shorter period as may be agreed to by the Administrative Agent), (ii) in the case of prepayment of a Term Benchmark Borrowing denominated in a Foreign Currency (other than in the case of a prepayment pursuant to Section 2.10(d)), not later than 11:00 a.m., London time, four Business Days before the date of prepayment, (iii) in the case of prepayment of a RFR Borrowing (other than in the case of a prepayment pursuant to Section 2.10(d)), not later than 11:00 a.m., London time, four</w:t>
      </w:r>
    </w:p>
    <w:p>
      <w:pPr>
        <w:spacing w:after="0" w:line="2" w:lineRule="exact"/>
        <w:rPr>
          <w:rFonts w:ascii="Arial" w:cs="Arial" w:eastAsia="Arial" w:hAnsi="Arial"/>
          <w:sz w:val="16"/>
          <w:szCs w:val="16"/>
          <w:color w:val="auto"/>
        </w:rPr>
      </w:pPr>
    </w:p>
    <w:p>
      <w:pPr>
        <w:ind w:left="4" w:right="20" w:hanging="4"/>
        <w:spacing w:after="0" w:line="267" w:lineRule="auto"/>
        <w:tabs>
          <w:tab w:leader="none" w:pos="259" w:val="left"/>
        </w:tabs>
        <w:numPr>
          <w:ilvl w:val="0"/>
          <w:numId w:val="79"/>
        </w:numPr>
        <w:rPr>
          <w:rFonts w:ascii="Arial" w:cs="Arial" w:eastAsia="Arial" w:hAnsi="Arial"/>
          <w:sz w:val="17"/>
          <w:szCs w:val="17"/>
          <w:color w:val="auto"/>
        </w:rPr>
      </w:pPr>
      <w:r>
        <w:rPr>
          <w:rFonts w:ascii="Arial" w:cs="Arial" w:eastAsia="Arial" w:hAnsi="Arial"/>
          <w:sz w:val="17"/>
          <w:szCs w:val="17"/>
          <w:color w:val="auto"/>
        </w:rPr>
        <w:t>Business Days before the date of prepayment, (iv) in the case of prepayment of a Syndicated ABR Borrowing (other than in the case of a prepayment pursuant to Section 2.10(d)), not later than 11:00 a.m., New York City time on the date of prepayment, (v) in the case of prepayment of a Swingline Loan, not later than 11:00 a.m., New York City time, on the date of prepayment, and (vi) in the case of any prepayment pursuant to Section 2.10(d), not later than 1:00 p.m., New York City time, on the date of prepayment or, in each case of the notice periods described in this clause (e), such lesser period as the Administrative Agent may reasonably agree. Each such notice shall be irrevocable and shall specify the prepayment date, the principal amount of each Borrowing or portion thereof to be prepaid and, in the case of a mandatory prepayment, a reasonably detailed calculation of the amount of such prepayment; provided that, if (i) a notice of prepayment is given in connection with a conditional notice or reduction or termination of the Commitments of a Class as contemplated by Section 2.08, then such notice of prepayment may be revoked if such notice of termination or reduction is revoked in accordance with Section 2.08 and (ii) any notice given in connection with Section 2.10(d)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or in the case of a Swingline Loan, as provided in Section 2.04, except as necessary to apply fully the required amount of a mandatory prepayment. Each prepayment of a Syndicated Borrowing of a Class shall be applied ratably to the Loans of such Class included in the prepaid Borrowing.</w:t>
      </w:r>
    </w:p>
    <w:p>
      <w:pPr>
        <w:spacing w:after="0" w:line="112"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Prepayments shall be accompanied by accrued interest to the extent required by Section 2.12 and shall be made in the manner specified in</w:t>
      </w:r>
    </w:p>
    <w:p>
      <w:pPr>
        <w:spacing w:after="0" w:line="3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Section 2.09(b) unless such prepayment is made in connection with the reduction of Commitments in accordance with Section 2.08(b) in which case such prepayment shall be applied in accordance with Section 2.08(d).</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69" w:lineRule="auto"/>
        <w:tabs>
          <w:tab w:leader="none" w:pos="1236"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the Commitment Termination Date. Accrued commitment fees shall be payable within one Business Day after each Quarterly Date, commencing on the first such date to occur after the date hereof, and on the earlier of the date the Commitments of the respective Class terminate and the Commitment Termination Date.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85" w:lineRule="exact"/>
        <w:rPr>
          <w:rFonts w:ascii="Arial" w:cs="Arial" w:eastAsia="Arial" w:hAnsi="Arial"/>
          <w:sz w:val="17"/>
          <w:szCs w:val="17"/>
          <w:color w:val="auto"/>
        </w:rPr>
      </w:pPr>
    </w:p>
    <w:p>
      <w:pPr>
        <w:ind w:right="20" w:firstLine="987"/>
        <w:spacing w:after="0" w:line="285" w:lineRule="auto"/>
        <w:tabs>
          <w:tab w:leader="none" w:pos="124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Term Benchmark Loans (or, if such Letter of Credit is denominated in Sterling or Swiss Francs, RFR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with respect to the Letters of Credit shall be payable on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w:t>
      </w:r>
    </w:p>
    <w:p>
      <w:pPr>
        <w:spacing w:after="0" w:line="327"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77" w:name="page78"/>
    <w:bookmarkEnd w:id="77"/>
    <w:p>
      <w:pPr>
        <w:ind w:left="4"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92" w:lineRule="exact"/>
        <w:rPr>
          <w:sz w:val="20"/>
          <w:szCs w:val="20"/>
          <w:color w:val="auto"/>
        </w:rPr>
      </w:pPr>
    </w:p>
    <w:p>
      <w:pPr>
        <w:ind w:left="4" w:right="140" w:firstLine="987"/>
        <w:spacing w:after="0" w:line="277" w:lineRule="auto"/>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Administrative Agent Fees</w:t>
      </w:r>
      <w:r>
        <w:rPr>
          <w:rFonts w:ascii="Arial" w:cs="Arial" w:eastAsia="Arial" w:hAnsi="Arial"/>
          <w:sz w:val="18"/>
          <w:szCs w:val="18"/>
          <w:color w:val="auto"/>
        </w:rPr>
        <w:t>. 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ind w:left="4" w:right="100" w:firstLine="987"/>
        <w:spacing w:after="0" w:line="257" w:lineRule="auto"/>
        <w:tabs>
          <w:tab w:leader="none" w:pos="125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Payment of Fees</w:t>
      </w:r>
      <w:r>
        <w:rPr>
          <w:rFonts w:ascii="Arial" w:cs="Arial" w:eastAsia="Arial" w:hAnsi="Arial"/>
          <w:sz w:val="18"/>
          <w:szCs w:val="18"/>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8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25" w:lineRule="exact"/>
        <w:rPr>
          <w:sz w:val="20"/>
          <w:szCs w:val="20"/>
          <w:color w:val="auto"/>
        </w:rPr>
      </w:pPr>
    </w:p>
    <w:p>
      <w:pPr>
        <w:ind w:left="4" w:right="420" w:firstLine="987"/>
        <w:spacing w:after="0" w:line="277" w:lineRule="auto"/>
        <w:tabs>
          <w:tab w:leader="none" w:pos="124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ABR Loans</w:t>
      </w:r>
      <w:r>
        <w:rPr>
          <w:rFonts w:ascii="Arial" w:cs="Arial" w:eastAsia="Arial" w:hAnsi="Arial"/>
          <w:sz w:val="18"/>
          <w:szCs w:val="18"/>
          <w:color w:val="auto"/>
        </w:rPr>
        <w:t xml:space="preserve">. The Loans constituting each ABR Borrowing (including each Swingline Loan) shall bear interest at a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70" w:lineRule="exact"/>
        <w:rPr>
          <w:rFonts w:ascii="Arial" w:cs="Arial" w:eastAsia="Arial" w:hAnsi="Arial"/>
          <w:sz w:val="18"/>
          <w:szCs w:val="18"/>
          <w:color w:val="auto"/>
        </w:rPr>
      </w:pPr>
    </w:p>
    <w:p>
      <w:pPr>
        <w:ind w:left="4" w:right="180" w:firstLine="987"/>
        <w:spacing w:after="0" w:line="277" w:lineRule="auto"/>
        <w:tabs>
          <w:tab w:leader="none" w:pos="125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Term Benchmark Loans</w:t>
      </w:r>
      <w:r>
        <w:rPr>
          <w:rFonts w:ascii="Arial" w:cs="Arial" w:eastAsia="Arial" w:hAnsi="Arial"/>
          <w:sz w:val="18"/>
          <w:szCs w:val="18"/>
          <w:color w:val="auto"/>
        </w:rPr>
        <w:t xml:space="preserve">. The Loans constituting each Term Benchmark Borrowing shall bear interest at a rate per annum equal to the Adjusted Term Benchmark Rate for the related Interest Period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70" w:lineRule="exact"/>
        <w:rPr>
          <w:rFonts w:ascii="Arial" w:cs="Arial" w:eastAsia="Arial" w:hAnsi="Arial"/>
          <w:sz w:val="18"/>
          <w:szCs w:val="18"/>
          <w:color w:val="auto"/>
        </w:rPr>
      </w:pPr>
    </w:p>
    <w:p>
      <w:pPr>
        <w:ind w:left="4" w:right="20" w:firstLine="987"/>
        <w:spacing w:after="0" w:line="277" w:lineRule="auto"/>
        <w:tabs>
          <w:tab w:leader="none" w:pos="124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RFR Loans</w:t>
      </w:r>
      <w:r>
        <w:rPr>
          <w:rFonts w:ascii="Arial" w:cs="Arial" w:eastAsia="Arial" w:hAnsi="Arial"/>
          <w:sz w:val="18"/>
          <w:szCs w:val="18"/>
          <w:color w:val="auto"/>
        </w:rPr>
        <w:t xml:space="preserve">. The Loans constituting each RFR Borrowing shall bear interest at a rate per annum equal to the Daily Simple RFR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170" w:lineRule="exact"/>
        <w:rPr>
          <w:rFonts w:ascii="Arial" w:cs="Arial" w:eastAsia="Arial" w:hAnsi="Arial"/>
          <w:sz w:val="18"/>
          <w:szCs w:val="18"/>
          <w:color w:val="auto"/>
        </w:rPr>
      </w:pPr>
    </w:p>
    <w:p>
      <w:pPr>
        <w:ind w:left="4" w:right="20" w:firstLine="987"/>
        <w:spacing w:after="0" w:line="286" w:lineRule="auto"/>
        <w:tabs>
          <w:tab w:leader="none" w:pos="1250"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Default Interest</w:t>
      </w:r>
      <w:r>
        <w:rPr>
          <w:rFonts w:ascii="Arial" w:cs="Arial" w:eastAsia="Arial" w:hAnsi="Arial"/>
          <w:sz w:val="16"/>
          <w:szCs w:val="16"/>
          <w:color w:val="auto"/>
        </w:rPr>
        <w:t>.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plus the rate otherwise applicable to such Loan as provided above, (ii) in the case of any Letter of Credit, 2% plus the fee otherwise applicable to such Letter of Credit as provided in Section 2.11(b)(i),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any fee or other amount, 2% plus the rate applicable to ABR Loans as provided in paragraph (a) of this Section.</w:t>
      </w:r>
    </w:p>
    <w:p>
      <w:pPr>
        <w:spacing w:after="0" w:line="210" w:lineRule="exact"/>
        <w:rPr>
          <w:rFonts w:ascii="Arial" w:cs="Arial" w:eastAsia="Arial" w:hAnsi="Arial"/>
          <w:sz w:val="18"/>
          <w:szCs w:val="18"/>
          <w:color w:val="auto"/>
        </w:rPr>
      </w:pPr>
    </w:p>
    <w:p>
      <w:pPr>
        <w:ind w:left="4" w:right="440" w:firstLine="987"/>
        <w:spacing w:after="0" w:line="259" w:lineRule="auto"/>
        <w:tabs>
          <w:tab w:leader="none" w:pos="124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xml:space="preserve">. Accrued interest on each Loan shall be payable in arrears on each Interest Payment Date for such Loan in the Currency in which such Loan is denominated and, in the case of Syndicated Loans, upon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shall be payable on demand, (ii) in the event of any repayment or prepayment of any Loan (other than a prepayment of a Syndicated ABR</w:t>
      </w:r>
    </w:p>
    <w:p>
      <w:pPr>
        <w:spacing w:after="0" w:line="119"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78" w:name="page79"/>
    <w:bookmarkEnd w:id="78"/>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prior to the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spacing w:after="0" w:line="184" w:lineRule="exact"/>
        <w:rPr>
          <w:sz w:val="20"/>
          <w:szCs w:val="20"/>
          <w:color w:val="auto"/>
        </w:rPr>
      </w:pPr>
    </w:p>
    <w:p>
      <w:pPr>
        <w:ind w:right="40" w:firstLine="987"/>
        <w:spacing w:after="0" w:line="296" w:lineRule="auto"/>
        <w:tabs>
          <w:tab w:leader="none" w:pos="1216"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Computation</w:t>
      </w:r>
      <w:r>
        <w:rPr>
          <w:rFonts w:ascii="Arial" w:cs="Arial" w:eastAsia="Arial" w:hAnsi="Arial"/>
          <w:sz w:val="16"/>
          <w:szCs w:val="16"/>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 the first day but excluding the last day). The applicable Alternate Base Rate, Daily Simple RFR or Adjusted Term Benchmark Rate shall be determined by the Administrative Agent and such determination shall be conclusive absent manifest error.</w:t>
      </w:r>
    </w:p>
    <w:p>
      <w:pPr>
        <w:spacing w:after="0" w:line="161" w:lineRule="exact"/>
        <w:rPr>
          <w:rFonts w:ascii="Arial" w:cs="Arial" w:eastAsia="Arial" w:hAnsi="Arial"/>
          <w:sz w:val="16"/>
          <w:szCs w:val="16"/>
          <w:color w:val="auto"/>
        </w:rPr>
      </w:pPr>
    </w:p>
    <w:p>
      <w:pPr>
        <w:ind w:right="180" w:firstLine="987"/>
        <w:spacing w:after="0" w:line="257" w:lineRule="auto"/>
        <w:tabs>
          <w:tab w:leader="none" w:pos="124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Conforming Changes</w:t>
      </w:r>
      <w:r>
        <w:rPr>
          <w:rFonts w:ascii="Arial" w:cs="Arial" w:eastAsia="Arial" w:hAnsi="Arial"/>
          <w:sz w:val="18"/>
          <w:szCs w:val="18"/>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8"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Inability to Determine Interest Rates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2.20</w:t>
      </w:r>
      <w:r>
        <w:rPr>
          <w:rFonts w:ascii="Arial" w:cs="Arial" w:eastAsia="Arial" w:hAnsi="Arial"/>
          <w:sz w:val="18"/>
          <w:szCs w:val="18"/>
          <w:color w:val="auto"/>
        </w:rPr>
        <w:t>, if, prior to the commencement of any Interest Period for any Term Benchmark Borrowing of a Class or (ii) at any time for an RFR Borrowing (the Currency of such Borrowing herein called the “</w:t>
      </w:r>
      <w:r>
        <w:rPr>
          <w:rFonts w:ascii="Arial" w:cs="Arial" w:eastAsia="Arial" w:hAnsi="Arial"/>
          <w:sz w:val="18"/>
          <w:szCs w:val="18"/>
          <w:u w:val="single" w:color="auto"/>
          <w:color w:val="auto"/>
        </w:rPr>
        <w:t>Affected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Currency</w:t>
      </w:r>
      <w:r>
        <w:rPr>
          <w:rFonts w:ascii="Arial" w:cs="Arial" w:eastAsia="Arial" w:hAnsi="Arial"/>
          <w:sz w:val="18"/>
          <w:szCs w:val="18"/>
          <w:color w:val="auto"/>
        </w:rPr>
        <w:t>”):</w:t>
      </w:r>
    </w:p>
    <w:p>
      <w:pPr>
        <w:spacing w:after="0" w:line="184" w:lineRule="exact"/>
        <w:rPr>
          <w:sz w:val="20"/>
          <w:szCs w:val="20"/>
          <w:color w:val="auto"/>
        </w:rPr>
      </w:pPr>
    </w:p>
    <w:p>
      <w:pPr>
        <w:ind w:right="20" w:firstLine="987"/>
        <w:spacing w:after="0" w:line="279" w:lineRule="auto"/>
        <w:tabs>
          <w:tab w:leader="none" w:pos="1236" w:val="left"/>
        </w:tabs>
        <w:numPr>
          <w:ilvl w:val="0"/>
          <w:numId w:val="85"/>
        </w:numPr>
        <w:rPr>
          <w:rFonts w:ascii="Arial" w:cs="Arial" w:eastAsia="Arial" w:hAnsi="Arial"/>
          <w:sz w:val="17"/>
          <w:szCs w:val="17"/>
          <w:color w:val="auto"/>
        </w:rPr>
      </w:pPr>
      <w:r>
        <w:rPr>
          <w:rFonts w:ascii="Arial" w:cs="Arial" w:eastAsia="Arial" w:hAnsi="Arial"/>
          <w:sz w:val="17"/>
          <w:szCs w:val="17"/>
          <w:color w:val="auto"/>
        </w:rPr>
        <w:t>(i) in the case of a Term Benchmark Borrowing, the Administrative Agent shall have determined (which determination shall be conclusive absent manifest error) the Adjusted Term Benchmark Rate for the Affected Currency cannot be determined pursuant to the definition thereof or (ii) in the case of an RFR Borrowing, the Administrative Agent shall have determined (which determination shall be conclusive absent manifest error) that the Daily Simple RFR for the Affected Currency cannot be determined pursuant to the definition thereof; or</w:t>
      </w:r>
    </w:p>
    <w:p>
      <w:pPr>
        <w:spacing w:after="0" w:line="171" w:lineRule="exact"/>
        <w:rPr>
          <w:rFonts w:ascii="Arial" w:cs="Arial" w:eastAsia="Arial" w:hAnsi="Arial"/>
          <w:sz w:val="17"/>
          <w:szCs w:val="17"/>
          <w:color w:val="auto"/>
        </w:rPr>
      </w:pPr>
    </w:p>
    <w:p>
      <w:pPr>
        <w:ind w:right="20" w:firstLine="987"/>
        <w:spacing w:after="0" w:line="296" w:lineRule="auto"/>
        <w:tabs>
          <w:tab w:leader="none" w:pos="1246"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in the case of a Term Benchmark Borrowing, the Administrative Agent shall have received notice from the Required Lenders of such Class of Commitments that the Adjusted Term Benchmark Rate for the Affected Currency for such Interest Period will not adequately and fairly reflect the cost to such Lenders of making or maintaining their respective Loans included in such Borrowing for such Interest Period or (B) in the case of an RFR Borrowing, the Administrative Agent shall have received notice from the Required Multicurrency Lenders that the Daily Simple RFR for the Affected Currency will not adequately and fairly reflect the cost to such Lenders of making or maintaining the Loans included in such RFR Borrowing;</w:t>
      </w:r>
    </w:p>
    <w:p>
      <w:pPr>
        <w:spacing w:after="0" w:line="16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w:t>
      </w:r>
    </w:p>
    <w:p>
      <w:pPr>
        <w:spacing w:after="0" w:line="7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79" w:name="page80"/>
    <w:bookmarkEnd w:id="79"/>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circumstances giving rise to such notice no longer exist, (i) any Interest Election Request that requests the conversion of any Syndicated Borrowing to, or the continuation of any Syndicated Borrowing as, a Term Benchmark Borrowing or RFR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Administrative Agent determines (which determination shall be conclusive and binding absent manifest error) that the Central Bank Rate for the applicable Agreed Foreign Currency cannot be determined, such Borrowing Request shall be ineffective, and</w:t>
      </w:r>
    </w:p>
    <w:p>
      <w:pPr>
        <w:spacing w:after="0" w:line="6" w:lineRule="exact"/>
        <w:rPr>
          <w:sz w:val="20"/>
          <w:szCs w:val="20"/>
          <w:color w:val="auto"/>
        </w:rPr>
      </w:pPr>
    </w:p>
    <w:p>
      <w:pPr>
        <w:ind w:left="4" w:right="20" w:hanging="4"/>
        <w:spacing w:after="0" w:line="283" w:lineRule="auto"/>
        <w:tabs>
          <w:tab w:leader="none" w:pos="289"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 denominated in Dollars (in an amount equal to the Dollar Equivalent of such Affected Currency) at the end of the applicable Interest Period, or (3) be prepaid in full at the end of the applicable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w:t>
      </w:r>
      <w:r>
        <w:rPr>
          <w:rFonts w:ascii="Arial" w:cs="Arial" w:eastAsia="Arial" w:hAnsi="Arial"/>
          <w:sz w:val="16"/>
          <w:szCs w:val="16"/>
          <w:u w:val="single" w:color="auto"/>
          <w:color w:val="auto"/>
        </w:rPr>
        <w:t>clause (iii)(B)(1)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(iv)(B)(1)</w:t>
      </w:r>
      <w:r>
        <w:rPr>
          <w:rFonts w:ascii="Arial" w:cs="Arial" w:eastAsia="Arial" w:hAnsi="Arial"/>
          <w:sz w:val="16"/>
          <w:szCs w:val="16"/>
          <w:color w:val="auto"/>
        </w:rPr>
        <w:t xml:space="preserve"> above, as applicable.</w:t>
      </w:r>
    </w:p>
    <w:p>
      <w:pPr>
        <w:spacing w:after="0" w:line="330"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80" w:name="page81"/>
    <w:bookmarkEnd w:id="8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2.14. Increased Costs.</w:t>
      </w:r>
    </w:p>
    <w:p>
      <w:pPr>
        <w:spacing w:after="0" w:line="225" w:lineRule="exact"/>
        <w:rPr>
          <w:sz w:val="20"/>
          <w:szCs w:val="20"/>
          <w:color w:val="auto"/>
        </w:rPr>
      </w:pPr>
    </w:p>
    <w:p>
      <w:pPr>
        <w:ind w:left="1240" w:hanging="253"/>
        <w:spacing w:after="0"/>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jc w:val="both"/>
        <w:ind w:left="440" w:right="100" w:firstLine="948"/>
        <w:spacing w:after="0" w:line="301" w:lineRule="auto"/>
        <w:tabs>
          <w:tab w:leader="none" w:pos="1607" w:val="left"/>
        </w:tabs>
        <w:numPr>
          <w:ilvl w:val="1"/>
          <w:numId w:val="87"/>
        </w:numPr>
        <w:rPr>
          <w:rFonts w:ascii="Arial" w:cs="Arial" w:eastAsia="Arial" w:hAnsi="Arial"/>
          <w:sz w:val="16"/>
          <w:szCs w:val="16"/>
          <w:color w:val="auto"/>
        </w:rPr>
      </w:pPr>
      <w:r>
        <w:rPr>
          <w:rFonts w:ascii="Arial" w:cs="Arial" w:eastAsia="Arial" w:hAnsi="Arial"/>
          <w:sz w:val="16"/>
          <w:szCs w:val="16"/>
          <w:color w:val="auto"/>
        </w:rPr>
        <w:t>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account of, or credit extended by, any Lender or any Issuing Bank; or</w:t>
      </w:r>
    </w:p>
    <w:p>
      <w:pPr>
        <w:spacing w:after="0" w:line="49" w:lineRule="exact"/>
        <w:rPr>
          <w:rFonts w:ascii="Arial" w:cs="Arial" w:eastAsia="Arial" w:hAnsi="Arial"/>
          <w:sz w:val="16"/>
          <w:szCs w:val="16"/>
          <w:color w:val="auto"/>
        </w:rPr>
      </w:pPr>
    </w:p>
    <w:p>
      <w:pPr>
        <w:ind w:left="440" w:right="260" w:firstLine="948"/>
        <w:spacing w:after="0" w:line="342" w:lineRule="auto"/>
        <w:tabs>
          <w:tab w:leader="none" w:pos="1657" w:val="left"/>
        </w:tabs>
        <w:numPr>
          <w:ilvl w:val="1"/>
          <w:numId w:val="87"/>
        </w:numPr>
        <w:rPr>
          <w:rFonts w:ascii="Arial" w:cs="Arial" w:eastAsia="Arial" w:hAnsi="Arial"/>
          <w:sz w:val="16"/>
          <w:szCs w:val="16"/>
          <w:color w:val="auto"/>
        </w:rPr>
      </w:pPr>
      <w:r>
        <w:rPr>
          <w:rFonts w:ascii="Arial" w:cs="Arial" w:eastAsia="Arial" w:hAnsi="Arial"/>
          <w:sz w:val="16"/>
          <w:szCs w:val="16"/>
          <w:color w:val="auto"/>
        </w:rPr>
        <w:t>impose on any Lender or any Issuing Bank any other condition, cost or expense (other than Taxes) affecting this Agreement or Term Benchmark Loans or RFR Loans made by such Lender or any Letter of Credit or participation in any such Loan or Letter of Credit;</w:t>
      </w:r>
    </w:p>
    <w:p>
      <w:pPr>
        <w:spacing w:after="0" w:line="12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and the result of any of the foregoing shall be to increase the cost to such Lenders of making, converting to, continuing or maintaining any Term Benchmark Loan or RFR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upon the request of such Lender or such Issuing Bank the Borrower will pay to such Lender or such Issuing Bank, as the case may be, in Dollars, such additional amount or amounts as will compensate such Lender or such Issuing Bank, as the case may be, for such additional costs incurred or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pacing w:after="0" w:line="165" w:lineRule="exact"/>
        <w:rPr>
          <w:sz w:val="20"/>
          <w:szCs w:val="20"/>
          <w:color w:val="auto"/>
        </w:rPr>
      </w:pPr>
    </w:p>
    <w:p>
      <w:pPr>
        <w:ind w:right="20" w:firstLine="987"/>
        <w:spacing w:after="0" w:line="289" w:lineRule="auto"/>
        <w:tabs>
          <w:tab w:leader="none" w:pos="1246"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Capital and Liquidity Requirements</w:t>
      </w:r>
      <w:r>
        <w:rPr>
          <w:rFonts w:ascii="Arial" w:cs="Arial" w:eastAsia="Arial" w:hAnsi="Arial"/>
          <w:sz w:val="16"/>
          <w:szCs w:val="16"/>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upon the request of such lender or such Issuing Bank, the Borrower will pay to such Lender or such Issuing Bank, as the case may be, in Dollars, such additional amount or amounts as will compensate such Lender or such Issuing Bank or such Lender’s or such Issuing Bank’s holding company for any such reduction suffered; provided that</w:t>
      </w:r>
    </w:p>
    <w:p>
      <w:pPr>
        <w:spacing w:after="0" w:line="9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81" w:name="page82"/>
    <w:bookmarkEnd w:id="81"/>
    <w:p>
      <w:pPr>
        <w:jc w:val="both"/>
        <w:ind w:left="4" w:righ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pacing w:after="0" w:line="184" w:lineRule="exact"/>
        <w:rPr>
          <w:sz w:val="20"/>
          <w:szCs w:val="20"/>
          <w:color w:val="auto"/>
        </w:rPr>
      </w:pPr>
    </w:p>
    <w:p>
      <w:pPr>
        <w:ind w:left="4" w:firstLine="987"/>
        <w:spacing w:after="0" w:line="287" w:lineRule="auto"/>
        <w:tabs>
          <w:tab w:leader="none" w:pos="124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Certificates from Lenders</w:t>
      </w:r>
      <w:r>
        <w:rPr>
          <w:rFonts w:ascii="Arial" w:cs="Arial" w:eastAsia="Arial" w:hAnsi="Arial"/>
          <w:sz w:val="16"/>
          <w:szCs w:val="16"/>
          <w:color w:val="auto"/>
        </w:rPr>
        <w:t xml:space="preserve">. A certificate of a Lender or an Issuing Bank (x) setting forth in reasonable detail the basis for and the calculation of the amount or amounts, in Dollars, necessary to compensate such Lender or such Issuing Bank or its holding company, as the case may be, as specified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(y) setting forth in reasonable detail the manner of determination of such amount or amounts and</w:t>
      </w:r>
    </w:p>
    <w:p>
      <w:pPr>
        <w:spacing w:after="0" w:line="2" w:lineRule="exact"/>
        <w:rPr>
          <w:rFonts w:ascii="Arial" w:cs="Arial" w:eastAsia="Arial" w:hAnsi="Arial"/>
          <w:sz w:val="16"/>
          <w:szCs w:val="16"/>
          <w:color w:val="auto"/>
        </w:rPr>
      </w:pPr>
    </w:p>
    <w:p>
      <w:pPr>
        <w:ind w:left="4" w:right="360" w:hanging="4"/>
        <w:spacing w:after="0" w:line="253"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certifying that such Lender of such Issuing Bank or its holding company, as the case may be, is generally claiming similar compensation from its other similar customers in similar circumstances, shall be promptly delivered to the Borrower and shall be conclusive absent manifest error. The Borrower shall pay such Lender or such Issuing Bank, as the case may be, the amount shown as due on any such certificate within ten (10) Business Days after receipt thereof.</w:t>
      </w:r>
    </w:p>
    <w:p>
      <w:pPr>
        <w:spacing w:after="0" w:line="192" w:lineRule="exact"/>
        <w:rPr>
          <w:rFonts w:ascii="Arial" w:cs="Arial" w:eastAsia="Arial" w:hAnsi="Arial"/>
          <w:sz w:val="18"/>
          <w:szCs w:val="18"/>
          <w:color w:val="auto"/>
        </w:rPr>
      </w:pPr>
    </w:p>
    <w:p>
      <w:pPr>
        <w:ind w:left="1244" w:hanging="253"/>
        <w:spacing w:after="0"/>
        <w:tabs>
          <w:tab w:leader="none" w:pos="1244"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Failure or delay on the part of any Lender or any Issuing Bank to demand compensation pursuant to this</w:t>
      </w:r>
    </w:p>
    <w:p>
      <w:pPr>
        <w:spacing w:after="0" w:line="35" w:lineRule="exact"/>
        <w:rPr>
          <w:sz w:val="20"/>
          <w:szCs w:val="20"/>
          <w:color w:val="auto"/>
        </w:rPr>
      </w:pPr>
    </w:p>
    <w:p>
      <w:pPr>
        <w:ind w:left="4" w:right="180"/>
        <w:spacing w:after="0" w:line="252" w:lineRule="auto"/>
        <w:rPr>
          <w:sz w:val="20"/>
          <w:szCs w:val="20"/>
          <w:color w:val="auto"/>
        </w:rPr>
      </w:pPr>
      <w:r>
        <w:rPr>
          <w:rFonts w:ascii="Arial" w:cs="Arial" w:eastAsia="Arial" w:hAnsi="Arial"/>
          <w:sz w:val="18"/>
          <w:szCs w:val="18"/>
          <w:color w:val="auto"/>
        </w:rPr>
        <w:t xml:space="preserve">Section shall not constitute a waiver of such Lender’s or such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Change in Law giving rise to such increased costs or reductions is retroactive, then the six-month period referred to above shall be extended to include the period of retroactive effect thereof.</w:t>
      </w:r>
    </w:p>
    <w:p>
      <w:pPr>
        <w:spacing w:after="0" w:line="194" w:lineRule="exact"/>
        <w:rPr>
          <w:sz w:val="20"/>
          <w:szCs w:val="20"/>
          <w:color w:val="auto"/>
        </w:rPr>
      </w:pPr>
    </w:p>
    <w:p>
      <w:pPr>
        <w:ind w:left="4" w:right="40" w:firstLine="991"/>
        <w:spacing w:after="0" w:line="270"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xml:space="preserve">. In the event of (a) the payment of any principal of any Term Benchmark Loan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w:t>
      </w:r>
      <w:r>
        <w:rPr>
          <w:rFonts w:ascii="Arial" w:cs="Arial" w:eastAsia="Arial" w:hAnsi="Arial"/>
          <w:sz w:val="17"/>
          <w:szCs w:val="17"/>
          <w:u w:val="single" w:color="auto"/>
          <w:color w:val="auto"/>
        </w:rPr>
        <w:t>Section 2.10(e)</w:t>
      </w:r>
      <w:r>
        <w:rPr>
          <w:rFonts w:ascii="Arial" w:cs="Arial" w:eastAsia="Arial" w:hAnsi="Arial"/>
          <w:sz w:val="17"/>
          <w:szCs w:val="17"/>
          <w:color w:val="auto"/>
        </w:rPr>
        <w:t xml:space="preserve"> and is revoked in accordance herewith), or (d) the assignment as a result of a request by the Borrower pursuant to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of any Term Benchmark Loan other than on the last day of an Interest Period therefor, then, in any such event, the Borrower shall compensate each affected Lender for such Lender’s loss, cost and reasonable expense attributable to such event (excluding loss of anticipated profits). In the case of a Term Benchmark Loan, the loss to any Lender attributable to any such event shall be deemed to include an amount determined by such Lender to be equal to the excess, if any, of:</w:t>
      </w:r>
    </w:p>
    <w:p>
      <w:pPr>
        <w:spacing w:after="0" w:line="181" w:lineRule="exact"/>
        <w:rPr>
          <w:sz w:val="20"/>
          <w:szCs w:val="20"/>
          <w:color w:val="auto"/>
        </w:rPr>
      </w:pPr>
    </w:p>
    <w:p>
      <w:pPr>
        <w:ind w:left="4" w:right="100" w:firstLine="987"/>
        <w:spacing w:after="0" w:line="257"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Term Benchmark Rate for such Currency for such Interest Period, </w:t>
      </w:r>
      <w:r>
        <w:rPr>
          <w:rFonts w:ascii="Arial" w:cs="Arial" w:eastAsia="Arial" w:hAnsi="Arial"/>
          <w:sz w:val="18"/>
          <w:szCs w:val="18"/>
          <w:u w:val="single" w:color="auto"/>
          <w:color w:val="auto"/>
        </w:rPr>
        <w:t>over</w:t>
      </w:r>
    </w:p>
    <w:p>
      <w:pPr>
        <w:spacing w:after="0" w:line="120"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82" w:name="page83"/>
    <w:bookmarkEnd w:id="82"/>
    <w:p>
      <w:pPr>
        <w:ind w:right="200" w:firstLine="987"/>
        <w:spacing w:after="0" w:line="286" w:lineRule="auto"/>
        <w:tabs>
          <w:tab w:leader="none" w:pos="1246" w:val="left"/>
        </w:tabs>
        <w:numPr>
          <w:ilvl w:val="0"/>
          <w:numId w:val="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Payment under this Section shall be made upon written request of a Lender delivered to the Borrower not later than five Business Days following the payment, conversion, or failure to borrow, convert, continue or prepay that gives rise to a claim under this Section accompanied by a written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ten (10) Business Days after receipt thereof.</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4" w:lineRule="auto"/>
        <w:tabs>
          <w:tab w:leader="none" w:pos="123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94"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In addition, the Borrower shall pay any Other Taxes to the relevant Governmental Authority in accordance with applicable law.</w:t>
      </w:r>
    </w:p>
    <w:p>
      <w:pPr>
        <w:spacing w:after="0" w:line="170" w:lineRule="exact"/>
        <w:rPr>
          <w:rFonts w:ascii="Arial" w:cs="Arial" w:eastAsia="Arial" w:hAnsi="Arial"/>
          <w:sz w:val="18"/>
          <w:szCs w:val="18"/>
          <w:color w:val="auto"/>
        </w:rPr>
      </w:pPr>
    </w:p>
    <w:p>
      <w:pPr>
        <w:ind w:right="20" w:firstLine="987"/>
        <w:spacing w:after="0" w:line="290" w:lineRule="auto"/>
        <w:tabs>
          <w:tab w:leader="none" w:pos="1236"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each Lender and each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98"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83" w:name="page84"/>
    <w:bookmarkEnd w:id="83"/>
    <w:p>
      <w:pPr>
        <w:ind w:left="-987" w:right="20" w:firstLine="987"/>
        <w:spacing w:after="0" w:line="269" w:lineRule="auto"/>
        <w:tabs>
          <w:tab w:leader="none" w:pos="259"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by the Lenders</w:t>
      </w:r>
      <w:r>
        <w:rPr>
          <w:rFonts w:ascii="Arial" w:cs="Arial" w:eastAsia="Arial" w:hAnsi="Arial"/>
          <w:sz w:val="17"/>
          <w:szCs w:val="17"/>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7"/>
          <w:szCs w:val="17"/>
          <w:u w:val="single" w:color="auto"/>
          <w:color w:val="auto"/>
        </w:rPr>
        <w:t>Section 9.04(f)</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7"/>
          <w:szCs w:val="17"/>
          <w:u w:val="single" w:color="auto"/>
          <w:color w:val="auto"/>
        </w:rPr>
        <w:t>paragraph (d)</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987" w:right="780" w:firstLine="987"/>
        <w:spacing w:after="0" w:line="259" w:lineRule="auto"/>
        <w:tabs>
          <w:tab w:leader="none" w:pos="24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ind w:left="-987" w:right="40" w:firstLine="987"/>
        <w:spacing w:after="0" w:line="253" w:lineRule="auto"/>
        <w:tabs>
          <w:tab w:leader="none" w:pos="229"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Tax Documentation</w:t>
      </w:r>
      <w:r>
        <w:rPr>
          <w:rFonts w:ascii="Arial" w:cs="Arial" w:eastAsia="Arial" w:hAnsi="Arial"/>
          <w:sz w:val="18"/>
          <w:szCs w:val="18"/>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2.16(f)(ii)</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3" w:lineRule="exact"/>
        <w:rPr>
          <w:rFonts w:ascii="Arial" w:cs="Arial" w:eastAsia="Arial" w:hAnsi="Arial"/>
          <w:sz w:val="18"/>
          <w:szCs w:val="18"/>
          <w:color w:val="auto"/>
        </w:rPr>
      </w:pPr>
    </w:p>
    <w:p>
      <w:pPr>
        <w:ind w:left="673" w:hanging="272"/>
        <w:spacing w:after="0"/>
        <w:tabs>
          <w:tab w:leader="none" w:pos="673" w:val="left"/>
        </w:tabs>
        <w:numPr>
          <w:ilvl w:val="1"/>
          <w:numId w:val="94"/>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7" w:right="20" w:firstLine="910"/>
        <w:spacing w:after="0" w:line="257" w:lineRule="auto"/>
        <w:tabs>
          <w:tab w:leader="none" w:pos="119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20" w:lineRule="exact"/>
        <w:rPr>
          <w:sz w:val="20"/>
          <w:szCs w:val="20"/>
          <w:color w:val="auto"/>
        </w:rPr>
      </w:pPr>
    </w:p>
    <w:p>
      <w:pPr>
        <w:jc w:val="both"/>
        <w:ind w:left="4673"/>
        <w:spacing w:after="0"/>
        <w:tabs>
          <w:tab w:leader="none" w:pos="797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33"/>
          </w:cols>
          <w:pgMar w:left="1427" w:top="274" w:right="439" w:bottom="1440" w:gutter="0" w:footer="0" w:header="0"/>
        </w:sectPr>
      </w:pPr>
    </w:p>
    <w:bookmarkStart w:id="84" w:name="page85"/>
    <w:bookmarkEnd w:id="84"/>
    <w:p>
      <w:pPr>
        <w:ind w:left="-7" w:right="180" w:firstLine="910"/>
        <w:spacing w:after="0" w:line="259" w:lineRule="auto"/>
        <w:tabs>
          <w:tab w:leader="none" w:pos="1180" w:val="left"/>
        </w:tabs>
        <w:numPr>
          <w:ilvl w:val="3"/>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78" w:lineRule="exact"/>
        <w:rPr>
          <w:rFonts w:ascii="Arial" w:cs="Arial" w:eastAsia="Arial" w:hAnsi="Arial"/>
          <w:sz w:val="18"/>
          <w:szCs w:val="18"/>
          <w:color w:val="auto"/>
        </w:rPr>
      </w:pPr>
    </w:p>
    <w:p>
      <w:pPr>
        <w:ind w:left="433" w:right="400" w:firstLine="391"/>
        <w:spacing w:after="0" w:line="277" w:lineRule="auto"/>
        <w:tabs>
          <w:tab w:leader="none" w:pos="1111" w:val="left"/>
        </w:tabs>
        <w:numPr>
          <w:ilvl w:val="2"/>
          <w:numId w:val="96"/>
        </w:numPr>
        <w:rPr>
          <w:rFonts w:ascii="Arial" w:cs="Arial" w:eastAsia="Arial" w:hAnsi="Arial"/>
          <w:sz w:val="18"/>
          <w:szCs w:val="18"/>
          <w:color w:val="auto"/>
        </w:rPr>
      </w:pPr>
      <w:r>
        <w:rPr>
          <w:rFonts w:ascii="Arial" w:cs="Arial" w:eastAsia="Arial" w:hAnsi="Arial"/>
          <w:sz w:val="18"/>
          <w:szCs w:val="18"/>
          <w:color w:val="auto"/>
        </w:rPr>
        <w:t>duly completed and executed copies of Internal Revenue Service Form W-8BEN or W-8BEN-E or any successor form claiming eligibility for benefits of an income tax treaty to which the United States is a party,</w:t>
      </w:r>
    </w:p>
    <w:p>
      <w:pPr>
        <w:spacing w:after="0" w:line="62" w:lineRule="exact"/>
        <w:rPr>
          <w:rFonts w:ascii="Arial" w:cs="Arial" w:eastAsia="Arial" w:hAnsi="Arial"/>
          <w:sz w:val="18"/>
          <w:szCs w:val="18"/>
          <w:color w:val="auto"/>
        </w:rPr>
      </w:pPr>
    </w:p>
    <w:p>
      <w:pPr>
        <w:ind w:left="433" w:right="660" w:firstLine="391"/>
        <w:spacing w:after="0" w:line="342" w:lineRule="auto"/>
        <w:tabs>
          <w:tab w:leader="none" w:pos="1071" w:val="left"/>
        </w:tabs>
        <w:numPr>
          <w:ilvl w:val="2"/>
          <w:numId w:val="96"/>
        </w:numPr>
        <w:rPr>
          <w:rFonts w:ascii="Arial" w:cs="Arial" w:eastAsia="Arial" w:hAnsi="Arial"/>
          <w:sz w:val="16"/>
          <w:szCs w:val="16"/>
          <w:color w:val="auto"/>
        </w:rPr>
      </w:pPr>
      <w:r>
        <w:rPr>
          <w:rFonts w:ascii="Arial" w:cs="Arial" w:eastAsia="Arial" w:hAnsi="Arial"/>
          <w:sz w:val="16"/>
          <w:szCs w:val="16"/>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5" w:lineRule="exact"/>
        <w:rPr>
          <w:rFonts w:ascii="Arial" w:cs="Arial" w:eastAsia="Arial" w:hAnsi="Arial"/>
          <w:sz w:val="16"/>
          <w:szCs w:val="16"/>
          <w:color w:val="auto"/>
        </w:rPr>
      </w:pPr>
    </w:p>
    <w:p>
      <w:pPr>
        <w:ind w:left="433" w:right="80" w:firstLine="391"/>
        <w:spacing w:after="0" w:line="296" w:lineRule="auto"/>
        <w:tabs>
          <w:tab w:leader="none" w:pos="1071" w:val="left"/>
        </w:tabs>
        <w:numPr>
          <w:ilvl w:val="2"/>
          <w:numId w:val="9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U.S. Person, or</w:t>
      </w:r>
    </w:p>
    <w:p>
      <w:pPr>
        <w:spacing w:after="0" w:line="53" w:lineRule="exact"/>
        <w:rPr>
          <w:rFonts w:ascii="Arial" w:cs="Arial" w:eastAsia="Arial" w:hAnsi="Arial"/>
          <w:sz w:val="16"/>
          <w:szCs w:val="16"/>
          <w:color w:val="auto"/>
        </w:rPr>
      </w:pPr>
    </w:p>
    <w:p>
      <w:pPr>
        <w:ind w:left="433" w:right="40" w:firstLine="391"/>
        <w:spacing w:after="0" w:line="259" w:lineRule="auto"/>
        <w:tabs>
          <w:tab w:leader="none" w:pos="1061"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78" w:lineRule="exact"/>
        <w:rPr>
          <w:rFonts w:ascii="Arial" w:cs="Arial" w:eastAsia="Arial" w:hAnsi="Arial"/>
          <w:sz w:val="18"/>
          <w:szCs w:val="18"/>
          <w:color w:val="auto"/>
        </w:rPr>
      </w:pPr>
    </w:p>
    <w:p>
      <w:pPr>
        <w:ind w:left="-7" w:right="180" w:firstLine="408"/>
        <w:spacing w:after="0" w:line="257" w:lineRule="auto"/>
        <w:tabs>
          <w:tab w:leader="none" w:pos="708"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In addition, each Lender shall deliver such forms promptly upon the obsolescence, expiration or invalidity of any form previously delivered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87" w:lineRule="exact"/>
        <w:rPr>
          <w:rFonts w:ascii="Arial" w:cs="Arial" w:eastAsia="Arial" w:hAnsi="Arial"/>
          <w:sz w:val="18"/>
          <w:szCs w:val="18"/>
          <w:color w:val="auto"/>
        </w:rPr>
      </w:pPr>
    </w:p>
    <w:p>
      <w:pPr>
        <w:ind w:left="-987" w:right="880" w:firstLine="987"/>
        <w:spacing w:after="0" w:line="277" w:lineRule="auto"/>
        <w:tabs>
          <w:tab w:leader="none" w:pos="259"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Documentation Required by FATCA</w:t>
      </w:r>
      <w:r>
        <w:rPr>
          <w:rFonts w:ascii="Arial" w:cs="Arial" w:eastAsia="Arial" w:hAnsi="Arial"/>
          <w:sz w:val="18"/>
          <w:szCs w:val="18"/>
          <w:color w:val="auto"/>
        </w:rPr>
        <w:t>. If a payment made to a Lender under this Agreement would be subject to U.S. federal withholding Tax imposed by FATCA if</w:t>
      </w:r>
    </w:p>
    <w:p>
      <w:pPr>
        <w:spacing w:after="0" w:line="103" w:lineRule="exact"/>
        <w:rPr>
          <w:sz w:val="20"/>
          <w:szCs w:val="20"/>
          <w:color w:val="auto"/>
        </w:rPr>
      </w:pPr>
    </w:p>
    <w:p>
      <w:pPr>
        <w:jc w:val="both"/>
        <w:ind w:left="4673"/>
        <w:spacing w:after="0"/>
        <w:tabs>
          <w:tab w:leader="none" w:pos="7972"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33"/>
          </w:cols>
          <w:pgMar w:left="1427" w:top="274" w:right="439" w:bottom="1440" w:gutter="0" w:footer="0" w:header="0"/>
        </w:sectPr>
      </w:pPr>
    </w:p>
    <w:bookmarkStart w:id="85" w:name="page86"/>
    <w:bookmarkEnd w:id="85"/>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Arial" w:cs="Arial" w:eastAsia="Arial" w:hAnsi="Arial"/>
          <w:sz w:val="18"/>
          <w:szCs w:val="18"/>
          <w:u w:val="single" w:color="auto"/>
          <w:color w:val="auto"/>
        </w:rPr>
        <w:t>Section 2.16(g)</w:t>
      </w:r>
      <w:r>
        <w:rPr>
          <w:rFonts w:ascii="Arial" w:cs="Arial" w:eastAsia="Arial" w:hAnsi="Arial"/>
          <w:sz w:val="18"/>
          <w:szCs w:val="18"/>
          <w:color w:val="auto"/>
        </w:rPr>
        <w:t>, “FATCA” shall include any amendments made to FATCA after the date of this Agreement.</w:t>
      </w:r>
    </w:p>
    <w:p>
      <w:pPr>
        <w:spacing w:after="0" w:line="195" w:lineRule="exact"/>
        <w:rPr>
          <w:sz w:val="20"/>
          <w:szCs w:val="20"/>
          <w:color w:val="auto"/>
        </w:rPr>
      </w:pPr>
    </w:p>
    <w:p>
      <w:pPr>
        <w:ind w:right="40" w:firstLine="987"/>
        <w:spacing w:after="0" w:line="286" w:lineRule="auto"/>
        <w:tabs>
          <w:tab w:leader="none" w:pos="1246"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in no event will the Administrative Agent, any Lender or an Issuing Bank be required to pay any amount to Borrower pursuant to this </w:t>
      </w:r>
      <w:r>
        <w:rPr>
          <w:rFonts w:ascii="Arial" w:cs="Arial" w:eastAsia="Arial" w:hAnsi="Arial"/>
          <w:sz w:val="16"/>
          <w:szCs w:val="16"/>
          <w:u w:val="single" w:color="auto"/>
          <w:color w:val="auto"/>
        </w:rPr>
        <w:t>clause (h)</w:t>
      </w:r>
      <w:r>
        <w:rPr>
          <w:rFonts w:ascii="Arial" w:cs="Arial" w:eastAsia="Arial" w:hAnsi="Arial"/>
          <w:sz w:val="16"/>
          <w:szCs w:val="16"/>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71" w:lineRule="auto"/>
        <w:tabs>
          <w:tab w:leader="none" w:pos="1236"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Payments by the Borrower</w:t>
      </w:r>
      <w:r>
        <w:rPr>
          <w:rFonts w:ascii="Arial" w:cs="Arial" w:eastAsia="Arial" w:hAnsi="Arial"/>
          <w:sz w:val="17"/>
          <w:szCs w:val="17"/>
          <w:color w:val="auto"/>
        </w:rPr>
        <w:t xml:space="preserve">. The Borrower shall make each payment required to be made by it hereunder (whether of principal, interest, fees or reimbursement of LC Disbursements, or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otherwise) or under any other Loan Document (except to the extent otherwise provided therein)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which shall be made directly to the Persons entitled thereto. The Administrative Agent shall distribute</w:t>
      </w:r>
    </w:p>
    <w:p>
      <w:pPr>
        <w:spacing w:after="0" w:line="111"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86" w:name="page87"/>
    <w:bookmarkEnd w:id="86"/>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4"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All amounts owing under this Agreement (including commitment fees, payments required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payments required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7"/>
          <w:szCs w:val="17"/>
          <w:u w:val="single" w:color="auto"/>
          <w:color w:val="auto"/>
        </w:rPr>
        <w:t>Section 2.15</w:t>
      </w:r>
      <w:r>
        <w:rPr>
          <w:rFonts w:ascii="Arial" w:cs="Arial" w:eastAsia="Arial" w:hAnsi="Arial"/>
          <w:sz w:val="17"/>
          <w:szCs w:val="17"/>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82"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7"/>
          <w:szCs w:val="17"/>
          <w:u w:val="single" w:color="auto"/>
          <w:color w:val="auto"/>
        </w:rPr>
        <w:t>Original Currency</w:t>
      </w:r>
      <w:r>
        <w:rPr>
          <w:rFonts w:ascii="Arial" w:cs="Arial" w:eastAsia="Arial" w:hAnsi="Arial"/>
          <w:sz w:val="17"/>
          <w:szCs w:val="17"/>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78" w:lineRule="exact"/>
        <w:rPr>
          <w:sz w:val="20"/>
          <w:szCs w:val="20"/>
          <w:color w:val="auto"/>
        </w:rPr>
      </w:pPr>
    </w:p>
    <w:p>
      <w:pPr>
        <w:ind w:right="60" w:firstLine="987"/>
        <w:spacing w:after="0" w:line="255" w:lineRule="auto"/>
        <w:tabs>
          <w:tab w:leader="none" w:pos="124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Application of Insufficient Payments</w:t>
      </w:r>
      <w:r>
        <w:rPr>
          <w:rFonts w:ascii="Arial" w:cs="Arial" w:eastAsia="Arial" w:hAnsi="Arial"/>
          <w:sz w:val="18"/>
          <w:szCs w:val="18"/>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92" w:lineRule="exact"/>
        <w:rPr>
          <w:rFonts w:ascii="Arial" w:cs="Arial" w:eastAsia="Arial" w:hAnsi="Arial"/>
          <w:sz w:val="18"/>
          <w:szCs w:val="18"/>
          <w:color w:val="auto"/>
        </w:rPr>
      </w:pPr>
    </w:p>
    <w:p>
      <w:pPr>
        <w:jc w:val="both"/>
        <w:ind w:right="160" w:firstLine="987"/>
        <w:spacing w:after="0" w:line="263" w:lineRule="auto"/>
        <w:tabs>
          <w:tab w:leader="none" w:pos="123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Pro Rata Treatment</w:t>
      </w:r>
      <w:r>
        <w:rPr>
          <w:rFonts w:ascii="Arial" w:cs="Arial" w:eastAsia="Arial" w:hAnsi="Arial"/>
          <w:sz w:val="18"/>
          <w:szCs w:val="18"/>
          <w:color w:val="auto"/>
        </w:rPr>
        <w:t xml:space="preserve">. Except to the extent otherwise provided herein: (i) each Syndicated Borrowing of a Class shall be made from the Lenders of such Class, each payment of commitment fee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be made for account of the Lenders of the applicable Class, and each termination or reduction of the amount of the Commitments of a Class</w:t>
      </w:r>
    </w:p>
    <w:p>
      <w:pPr>
        <w:spacing w:after="0" w:line="116"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87" w:name="page88"/>
    <w:bookmarkEnd w:id="87"/>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shall be applied to the respective Commitments of the Lenders of such Class, pro rata according to the amounts of their respective Commitments of such Class; (ii)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Borrower shall be made for account of the Lenders of such Class pro rata in accordance with the respective unpaid principal amounts of the Syndicated Loans of such 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92" w:lineRule="exact"/>
        <w:rPr>
          <w:sz w:val="20"/>
          <w:szCs w:val="20"/>
          <w:color w:val="auto"/>
        </w:rPr>
      </w:pPr>
    </w:p>
    <w:p>
      <w:pPr>
        <w:ind w:right="40" w:firstLine="987"/>
        <w:spacing w:after="0" w:line="268" w:lineRule="auto"/>
        <w:tabs>
          <w:tab w:leader="none" w:pos="1246"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Sharing of Payments by Lenders</w:t>
      </w:r>
      <w:r>
        <w:rPr>
          <w:rFonts w:ascii="Arial" w:cs="Arial" w:eastAsia="Arial" w:hAnsi="Arial"/>
          <w:sz w:val="17"/>
          <w:szCs w:val="17"/>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9" w:lineRule="exact"/>
        <w:rPr>
          <w:rFonts w:ascii="Arial" w:cs="Arial" w:eastAsia="Arial" w:hAnsi="Arial"/>
          <w:sz w:val="17"/>
          <w:szCs w:val="17"/>
          <w:color w:val="auto"/>
        </w:rPr>
      </w:pPr>
    </w:p>
    <w:p>
      <w:pPr>
        <w:ind w:right="20" w:firstLine="987"/>
        <w:spacing w:after="0" w:line="291" w:lineRule="auto"/>
        <w:tabs>
          <w:tab w:leader="none" w:pos="1236"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Presumptions of Payment</w:t>
      </w:r>
      <w:r>
        <w:rPr>
          <w:rFonts w:ascii="Arial" w:cs="Arial" w:eastAsia="Arial" w:hAnsi="Arial"/>
          <w:sz w:val="16"/>
          <w:szCs w:val="16"/>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9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88" w:name="page89"/>
    <w:bookmarkEnd w:id="88"/>
    <w:p>
      <w:pPr>
        <w:ind w:left="-980" w:right="100" w:firstLine="987"/>
        <w:spacing w:after="0" w:line="259" w:lineRule="auto"/>
        <w:tabs>
          <w:tab w:leader="none" w:pos="23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Deductions by the Administrative Agent</w:t>
      </w:r>
      <w:r>
        <w:rPr>
          <w:rFonts w:ascii="Arial" w:cs="Arial" w:eastAsia="Arial" w:hAnsi="Arial"/>
          <w:sz w:val="18"/>
          <w:szCs w:val="18"/>
          <w:color w:val="auto"/>
        </w:rPr>
        <w:t xml:space="preserve">. If any Lender shall fail to make any payment required to be made by it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2.06(a)</w:t>
      </w:r>
      <w:r>
        <w:rPr>
          <w:rFonts w:ascii="Arial" w:cs="Arial" w:eastAsia="Arial" w:hAnsi="Arial"/>
          <w:sz w:val="18"/>
          <w:szCs w:val="18"/>
          <w:color w:val="auto"/>
        </w:rPr>
        <w:t xml:space="preserve"> or (b) or </w:t>
      </w:r>
      <w:r>
        <w:rPr>
          <w:rFonts w:ascii="Arial" w:cs="Arial" w:eastAsia="Arial" w:hAnsi="Arial"/>
          <w:sz w:val="18"/>
          <w:szCs w:val="18"/>
          <w:u w:val="single" w:color="auto"/>
          <w:color w:val="auto"/>
        </w:rPr>
        <w:t>2.17(e)</w:t>
      </w:r>
      <w:r>
        <w:rPr>
          <w:rFonts w:ascii="Arial" w:cs="Arial" w:eastAsia="Arial" w:hAnsi="Arial"/>
          <w:sz w:val="18"/>
          <w:szCs w:val="18"/>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-309245</wp:posOffset>
            </wp:positionV>
            <wp:extent cx="1619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ind w:left="-980" w:right="60" w:firstLine="987"/>
        <w:spacing w:after="0" w:line="291" w:lineRule="auto"/>
        <w:tabs>
          <w:tab w:leader="none" w:pos="25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66" w:lineRule="exact"/>
        <w:rPr>
          <w:rFonts w:ascii="Arial" w:cs="Arial" w:eastAsia="Arial" w:hAnsi="Arial"/>
          <w:sz w:val="16"/>
          <w:szCs w:val="16"/>
          <w:color w:val="auto"/>
        </w:rPr>
      </w:pPr>
    </w:p>
    <w:p>
      <w:pPr>
        <w:ind w:left="-980" w:right="20" w:firstLine="987"/>
        <w:spacing w:after="0" w:line="286" w:lineRule="auto"/>
        <w:tabs>
          <w:tab w:leader="none" w:pos="26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if any Lender becomes a Defaulting Lender or is a Non-Consenting Lender (as provided in </w:t>
      </w:r>
      <w:r>
        <w:rPr>
          <w:rFonts w:ascii="Arial" w:cs="Arial" w:eastAsia="Arial" w:hAnsi="Arial"/>
          <w:sz w:val="16"/>
          <w:szCs w:val="16"/>
          <w:u w:val="single" w:color="auto"/>
          <w:color w:val="auto"/>
        </w:rPr>
        <w:t>Section 9.02(d)</w:t>
      </w:r>
      <w:r>
        <w:rPr>
          <w:rFonts w:ascii="Arial" w:cs="Arial" w:eastAsia="Arial" w:hAnsi="Arial"/>
          <w:sz w:val="16"/>
          <w:szCs w:val="16"/>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each Issuing Bank and each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then due and payable) and (iii) in the case of any such assignment resulting from a claim for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such assignment is reasonably expected at the time of such assignment request to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03" w:lineRule="exact"/>
        <w:rPr>
          <w:sz w:val="20"/>
          <w:szCs w:val="20"/>
          <w:color w:val="auto"/>
        </w:rPr>
      </w:pPr>
    </w:p>
    <w:p>
      <w:pPr>
        <w:jc w:val="both"/>
        <w:ind w:left="4680"/>
        <w:spacing w:after="0"/>
        <w:tabs>
          <w:tab w:leader="none" w:pos="798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5" w:lineRule="exact"/>
        <w:rPr>
          <w:sz w:val="20"/>
          <w:szCs w:val="20"/>
          <w:color w:val="auto"/>
        </w:rPr>
      </w:pPr>
    </w:p>
    <w:p>
      <w:pPr>
        <w:ind w:left="-980" w:right="520" w:firstLine="987"/>
        <w:spacing w:after="0" w:line="342" w:lineRule="auto"/>
        <w:tabs>
          <w:tab w:leader="none" w:pos="256"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 w:lineRule="exact"/>
        <w:rPr>
          <w:rFonts w:ascii="Arial" w:cs="Arial" w:eastAsia="Arial" w:hAnsi="Arial"/>
          <w:sz w:val="16"/>
          <w:szCs w:val="16"/>
          <w:color w:val="auto"/>
        </w:rPr>
      </w:pPr>
    </w:p>
    <w:p>
      <w:pPr>
        <w:ind w:right="40" w:firstLine="1311"/>
        <w:spacing w:after="0" w:line="283" w:lineRule="auto"/>
        <w:tabs>
          <w:tab w:leader="none" w:pos="1518"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otherwise) or received by Administrative Agent from a Defaulting Lender pursuant to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shall be applied at such time or times as may be determined by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any Issuing Bank or any Swingline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each Issuing Bank’s Fronting Exposure with respect to such Defaulting Lender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Administrative Agent and Borrower, to be held in a deposit account and released pro rata in order to (x) satisfy such Defaulting Lender’s potential future funding obligations with respect to Loans under this Agreement and</w:t>
      </w:r>
    </w:p>
    <w:p>
      <w:pPr>
        <w:spacing w:after="0" w:line="4" w:lineRule="exact"/>
        <w:rPr>
          <w:rFonts w:ascii="Arial" w:cs="Arial" w:eastAsia="Arial" w:hAnsi="Arial"/>
          <w:sz w:val="16"/>
          <w:szCs w:val="16"/>
          <w:color w:val="auto"/>
        </w:rPr>
      </w:pPr>
    </w:p>
    <w:p>
      <w:pPr>
        <w:ind w:right="80" w:firstLine="7"/>
        <w:spacing w:after="0" w:line="281" w:lineRule="auto"/>
        <w:tabs>
          <w:tab w:leader="none" w:pos="25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Cash Collateralize each Issuing Bank’s future Fronting Exposure with respect to such Defaulting Lender with respect to future Letters of Credit issued under this Agreement,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w:t>
      </w:r>
    </w:p>
    <w:p>
      <w:pPr>
        <w:spacing w:after="0" w:line="4" w:lineRule="exact"/>
        <w:rPr>
          <w:rFonts w:ascii="Arial" w:cs="Arial" w:eastAsia="Arial" w:hAnsi="Arial"/>
          <w:sz w:val="16"/>
          <w:szCs w:val="16"/>
          <w:color w:val="auto"/>
        </w:rPr>
      </w:pPr>
    </w:p>
    <w:p>
      <w:pPr>
        <w:ind w:right="100" w:firstLine="7"/>
        <w:spacing w:after="0" w:line="268" w:lineRule="auto"/>
        <w:tabs>
          <w:tab w:leader="none" w:pos="25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7"/>
          <w:szCs w:val="17"/>
          <w:u w:val="single" w:color="auto"/>
          <w:color w:val="auto"/>
        </w:rPr>
        <w:t>Section 2.19(a)(iii)</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2.19(a)(i)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11" w:lineRule="exact"/>
        <w:rPr>
          <w:sz w:val="20"/>
          <w:szCs w:val="20"/>
          <w:color w:val="auto"/>
        </w:rPr>
      </w:pPr>
    </w:p>
    <w:p>
      <w:pPr>
        <w:jc w:val="both"/>
        <w:ind w:left="4680"/>
        <w:spacing w:after="0"/>
        <w:tabs>
          <w:tab w:leader="none" w:pos="79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90" w:name="page91"/>
    <w:bookmarkEnd w:id="90"/>
    <w:p>
      <w:pPr>
        <w:ind w:left="1560" w:hanging="269"/>
        <w:spacing w:after="0"/>
        <w:tabs>
          <w:tab w:leader="none" w:pos="15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Fees.</w:t>
      </w:r>
    </w:p>
    <w:p>
      <w:pPr>
        <w:spacing w:after="0" w:line="117" w:lineRule="exact"/>
        <w:rPr>
          <w:rFonts w:ascii="Arial" w:cs="Arial" w:eastAsia="Arial" w:hAnsi="Arial"/>
          <w:sz w:val="18"/>
          <w:szCs w:val="18"/>
          <w:color w:val="auto"/>
        </w:rPr>
      </w:pPr>
    </w:p>
    <w:p>
      <w:pPr>
        <w:ind w:left="420" w:right="80" w:firstLine="1254"/>
        <w:spacing w:after="0" w:line="296" w:lineRule="auto"/>
        <w:tabs>
          <w:tab w:leader="none" w:pos="1961" w:val="left"/>
        </w:tabs>
        <w:numPr>
          <w:ilvl w:val="2"/>
          <w:numId w:val="108"/>
        </w:numPr>
        <w:rPr>
          <w:rFonts w:ascii="Arial" w:cs="Arial" w:eastAsia="Arial" w:hAnsi="Arial"/>
          <w:sz w:val="16"/>
          <w:szCs w:val="16"/>
          <w:color w:val="auto"/>
        </w:rPr>
      </w:pPr>
      <w:r>
        <w:rPr>
          <w:rFonts w:ascii="Arial" w:cs="Arial" w:eastAsia="Arial" w:hAnsi="Arial"/>
          <w:sz w:val="16"/>
          <w:szCs w:val="16"/>
          <w:color w:val="auto"/>
        </w:rPr>
        <w:t xml:space="preserve">No Defaulting Lender shall be entitled to receive any fee pursuant to </w:t>
      </w:r>
      <w:r>
        <w:rPr>
          <w:rFonts w:ascii="Arial" w:cs="Arial" w:eastAsia="Arial" w:hAnsi="Arial"/>
          <w:sz w:val="16"/>
          <w:szCs w:val="16"/>
          <w:u w:val="single" w:color="auto"/>
          <w:color w:val="auto"/>
        </w:rPr>
        <w:t>Sections 2.11(a)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Defaulting Lender shall be entitled to receive fees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6"/>
          <w:szCs w:val="16"/>
          <w:u w:val="single" w:color="auto"/>
          <w:color w:val="auto"/>
        </w:rPr>
        <w:t>Section 2.19(d)</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1960" w:hanging="286"/>
        <w:spacing w:after="0"/>
        <w:tabs>
          <w:tab w:leader="none" w:pos="1960" w:val="left"/>
        </w:tabs>
        <w:numPr>
          <w:ilvl w:val="2"/>
          <w:numId w:val="108"/>
        </w:numPr>
        <w:rPr>
          <w:rFonts w:ascii="Arial" w:cs="Arial" w:eastAsia="Arial" w:hAnsi="Arial"/>
          <w:sz w:val="16"/>
          <w:szCs w:val="16"/>
          <w:color w:val="auto"/>
        </w:rPr>
      </w:pPr>
      <w:r>
        <w:rPr>
          <w:rFonts w:ascii="Arial" w:cs="Arial" w:eastAsia="Arial" w:hAnsi="Arial"/>
          <w:sz w:val="16"/>
          <w:szCs w:val="16"/>
          <w:color w:val="auto"/>
        </w:rPr>
        <w:t xml:space="preserve">With respect to any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fees not required to be paid to any Defaulting Lender pursuant to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ind w:left="420" w:right="100" w:firstLine="8"/>
        <w:spacing w:after="0" w:line="281" w:lineRule="auto"/>
        <w:tabs>
          <w:tab w:leader="none" w:pos="715" w:val="left"/>
        </w:tabs>
        <w:numPr>
          <w:ilvl w:val="0"/>
          <w:numId w:val="109"/>
        </w:numPr>
        <w:rPr>
          <w:rFonts w:ascii="Arial" w:cs="Arial" w:eastAsia="Arial" w:hAnsi="Arial"/>
          <w:sz w:val="16"/>
          <w:szCs w:val="16"/>
          <w:u w:val="single" w:color="auto"/>
          <w:color w:val="auto"/>
        </w:rPr>
      </w:pPr>
      <w:r>
        <w:rPr>
          <w:rFonts w:ascii="Arial" w:cs="Arial" w:eastAsia="Arial" w:hAnsi="Arial"/>
          <w:sz w:val="16"/>
          <w:szCs w:val="16"/>
          <w:color w:val="auto"/>
        </w:rPr>
        <w:t xml:space="preserve">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(y) pay to each Issuing Bank the amount of any such fee otherwise payable to such Defaulting Lender to the extent allocable to such Issuing Bank’s Fronting Exposure to such Defaulting Lender, and</w:t>
      </w:r>
    </w:p>
    <w:p>
      <w:pPr>
        <w:spacing w:after="0" w:line="2" w:lineRule="exact"/>
        <w:rPr>
          <w:rFonts w:ascii="Arial" w:cs="Arial" w:eastAsia="Arial" w:hAnsi="Arial"/>
          <w:sz w:val="16"/>
          <w:szCs w:val="16"/>
          <w:u w:val="single" w:color="auto"/>
          <w:color w:val="auto"/>
        </w:rPr>
      </w:pPr>
    </w:p>
    <w:p>
      <w:pPr>
        <w:ind w:left="420"/>
        <w:spacing w:after="0"/>
        <w:rPr>
          <w:rFonts w:ascii="Arial" w:cs="Arial" w:eastAsia="Arial" w:hAnsi="Arial"/>
          <w:sz w:val="16"/>
          <w:szCs w:val="16"/>
          <w:u w:val="single" w:color="auto"/>
          <w:color w:val="auto"/>
        </w:rPr>
      </w:pPr>
      <w:r>
        <w:rPr>
          <w:rFonts w:ascii="Arial" w:cs="Arial" w:eastAsia="Arial" w:hAnsi="Arial"/>
          <w:sz w:val="18"/>
          <w:szCs w:val="18"/>
          <w:color w:val="auto"/>
        </w:rPr>
        <w:t>(z) not be required to pay the remaining amount of any such fee.</w:t>
      </w:r>
    </w:p>
    <w:p>
      <w:pPr>
        <w:spacing w:after="0" w:line="102" w:lineRule="exact"/>
        <w:rPr>
          <w:rFonts w:ascii="Arial" w:cs="Arial" w:eastAsia="Arial" w:hAnsi="Arial"/>
          <w:sz w:val="16"/>
          <w:szCs w:val="16"/>
          <w:u w:val="single" w:color="auto"/>
          <w:color w:val="auto"/>
        </w:rPr>
      </w:pPr>
    </w:p>
    <w:p>
      <w:pPr>
        <w:ind w:left="-20" w:right="40" w:firstLine="1311"/>
        <w:spacing w:after="0" w:line="269" w:lineRule="auto"/>
        <w:tabs>
          <w:tab w:leader="none" w:pos="1598"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Reallocation of Participations to Reduce Fronting Exposure</w:t>
      </w:r>
      <w:r>
        <w:rPr>
          <w:rFonts w:ascii="Arial" w:cs="Arial" w:eastAsia="Arial" w:hAnsi="Arial"/>
          <w:sz w:val="17"/>
          <w:szCs w:val="17"/>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17"/>
          <w:szCs w:val="17"/>
          <w:u w:val="single" w:color="auto"/>
          <w:color w:val="auto"/>
        </w:rPr>
        <w:t>Section 9.15</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74" w:lineRule="exact"/>
        <w:rPr>
          <w:sz w:val="20"/>
          <w:szCs w:val="20"/>
          <w:color w:val="auto"/>
        </w:rPr>
      </w:pPr>
    </w:p>
    <w:p>
      <w:pPr>
        <w:ind w:left="-20" w:right="40" w:firstLine="1311"/>
        <w:spacing w:after="0" w:line="255" w:lineRule="auto"/>
        <w:tabs>
          <w:tab w:leader="none" w:pos="1588"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w:t>
      </w:r>
    </w:p>
    <w:p>
      <w:pPr>
        <w:spacing w:after="0" w:line="125" w:lineRule="exact"/>
        <w:rPr>
          <w:sz w:val="20"/>
          <w:szCs w:val="20"/>
          <w:color w:val="auto"/>
        </w:rPr>
      </w:pPr>
    </w:p>
    <w:p>
      <w:pPr>
        <w:jc w:val="both"/>
        <w:ind w:left="4660"/>
        <w:spacing w:after="0"/>
        <w:tabs>
          <w:tab w:leader="none" w:pos="79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20"/>
          </w:cols>
          <w:pgMar w:left="1440" w:top="274" w:right="439" w:bottom="1440" w:gutter="0" w:footer="0" w:header="0"/>
        </w:sectPr>
      </w:pPr>
    </w:p>
    <w:bookmarkStart w:id="91" w:name="page92"/>
    <w:bookmarkEnd w:id="91"/>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Arial" w:cs="Arial" w:eastAsia="Arial" w:hAnsi="Arial"/>
          <w:sz w:val="17"/>
          <w:szCs w:val="17"/>
          <w:u w:val="single" w:color="auto"/>
          <w:color w:val="auto"/>
        </w:rPr>
        <w:t>Section 2.19(d)</w:t>
      </w:r>
      <w:r>
        <w:rPr>
          <w:rFonts w:ascii="Arial" w:cs="Arial" w:eastAsia="Arial" w:hAnsi="Arial"/>
          <w:sz w:val="17"/>
          <w:szCs w:val="17"/>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71" w:lineRule="exact"/>
        <w:rPr>
          <w:sz w:val="20"/>
          <w:szCs w:val="20"/>
          <w:color w:val="auto"/>
        </w:rPr>
      </w:pPr>
    </w:p>
    <w:p>
      <w:pPr>
        <w:ind w:left="-980" w:right="20" w:firstLine="987"/>
        <w:spacing w:after="0" w:line="269" w:lineRule="auto"/>
        <w:tabs>
          <w:tab w:leader="none" w:pos="266"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7"/>
          <w:szCs w:val="17"/>
          <w:u w:val="single" w:color="auto"/>
          <w:color w:val="auto"/>
        </w:rPr>
        <w:t>Section 2.19(a)(iii)</w:t>
      </w:r>
      <w:r>
        <w:rPr>
          <w:rFonts w:ascii="Arial" w:cs="Arial" w:eastAsia="Arial" w:hAnsi="Arial"/>
          <w:sz w:val="17"/>
          <w:szCs w:val="17"/>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1" w:lineRule="exact"/>
        <w:rPr>
          <w:rFonts w:ascii="Arial" w:cs="Arial" w:eastAsia="Arial" w:hAnsi="Arial"/>
          <w:sz w:val="17"/>
          <w:szCs w:val="17"/>
          <w:color w:val="auto"/>
        </w:rPr>
      </w:pPr>
    </w:p>
    <w:p>
      <w:pPr>
        <w:ind w:left="-980" w:right="80" w:firstLine="987"/>
        <w:spacing w:after="0" w:line="254" w:lineRule="auto"/>
        <w:tabs>
          <w:tab w:leader="none" w:pos="25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980" w:right="20" w:firstLine="987"/>
        <w:spacing w:after="0" w:line="259" w:lineRule="auto"/>
        <w:tabs>
          <w:tab w:leader="none" w:pos="26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78" w:lineRule="exact"/>
        <w:rPr>
          <w:rFonts w:ascii="Arial" w:cs="Arial" w:eastAsia="Arial" w:hAnsi="Arial"/>
          <w:sz w:val="18"/>
          <w:szCs w:val="18"/>
          <w:color w:val="auto"/>
        </w:rPr>
      </w:pPr>
    </w:p>
    <w:p>
      <w:pPr>
        <w:ind w:left="-540" w:right="100" w:firstLine="948"/>
        <w:spacing w:after="0" w:line="263" w:lineRule="auto"/>
        <w:tabs>
          <w:tab w:leader="none" w:pos="627"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w:t>
      </w:r>
    </w:p>
    <w:p>
      <w:pPr>
        <w:spacing w:after="0" w:line="116" w:lineRule="exact"/>
        <w:rPr>
          <w:sz w:val="20"/>
          <w:szCs w:val="20"/>
          <w:color w:val="auto"/>
        </w:rPr>
      </w:pPr>
    </w:p>
    <w:p>
      <w:pPr>
        <w:jc w:val="both"/>
        <w:ind w:left="4680"/>
        <w:spacing w:after="0"/>
        <w:tabs>
          <w:tab w:leader="none" w:pos="79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92" w:name="page93"/>
    <w:bookmarkEnd w:id="92"/>
    <w:p>
      <w:pPr>
        <w:ind w:right="2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Defaulting Lenders’ obligation to fund participations in respect of Letters of Credit, to be applied pursuant to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70" w:lineRule="exact"/>
        <w:rPr>
          <w:sz w:val="20"/>
          <w:szCs w:val="20"/>
          <w:color w:val="auto"/>
        </w:rPr>
      </w:pPr>
    </w:p>
    <w:p>
      <w:pPr>
        <w:ind w:right="180" w:firstLine="948"/>
        <w:spacing w:after="0" w:line="279" w:lineRule="auto"/>
        <w:tabs>
          <w:tab w:leader="none" w:pos="1217"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xml:space="preserve">. Notwithstanding anything to the contrary contained in this Agreement, Cash Collateral provided under this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63" w:lineRule="exact"/>
        <w:rPr>
          <w:rFonts w:ascii="Arial" w:cs="Arial" w:eastAsia="Arial" w:hAnsi="Arial"/>
          <w:sz w:val="17"/>
          <w:szCs w:val="17"/>
          <w:color w:val="auto"/>
        </w:rPr>
      </w:pPr>
    </w:p>
    <w:p>
      <w:pPr>
        <w:ind w:right="60" w:firstLine="948"/>
        <w:spacing w:after="0" w:line="254" w:lineRule="auto"/>
        <w:tabs>
          <w:tab w:leader="none" w:pos="126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of Requirement</w:t>
      </w:r>
      <w:r>
        <w:rPr>
          <w:rFonts w:ascii="Arial" w:cs="Arial" w:eastAsia="Arial" w:hAnsi="Arial"/>
          <w:sz w:val="18"/>
          <w:szCs w:val="18"/>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other provisions of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the Person providing Cash Collateral and each Issuing Bank may agree that Cash Collateral shall be held to support future anticipated Fronting Exposure;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to the extent that such Cash Collateral was provided by Borrower, such Cash Collateral shall remain subject to the security interest granted pursuant to the Loan Documents.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SECTION 2.21.</w:t>
      </w:r>
      <w:r>
        <w:rPr>
          <w:rFonts w:ascii="Arial" w:cs="Arial" w:eastAsia="Arial" w:hAnsi="Arial"/>
          <w:sz w:val="18"/>
          <w:szCs w:val="18"/>
          <w:u w:val="single" w:color="auto"/>
          <w:color w:val="auto"/>
        </w:rPr>
        <w:t>Effect of Benchmark Transition Event</w:t>
      </w:r>
      <w:r>
        <w:rPr>
          <w:rFonts w:ascii="Arial" w:cs="Arial" w:eastAsia="Arial" w:hAnsi="Arial"/>
          <w:sz w:val="18"/>
          <w:szCs w:val="18"/>
          <w:color w:val="auto"/>
        </w:rPr>
        <w:t>.</w:t>
      </w:r>
    </w:p>
    <w:p>
      <w:pPr>
        <w:spacing w:after="0" w:line="225" w:lineRule="exact"/>
        <w:rPr>
          <w:sz w:val="20"/>
          <w:szCs w:val="20"/>
          <w:color w:val="auto"/>
        </w:rPr>
      </w:pPr>
    </w:p>
    <w:p>
      <w:pPr>
        <w:ind w:left="-440" w:right="100" w:firstLine="987"/>
        <w:spacing w:after="0" w:line="293" w:lineRule="auto"/>
        <w:tabs>
          <w:tab w:leader="none" w:pos="796"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Benchmark Replacement.</w:t>
      </w:r>
      <w:r>
        <w:rPr>
          <w:rFonts w:ascii="Arial" w:cs="Arial" w:eastAsia="Arial" w:hAnsi="Arial"/>
          <w:sz w:val="16"/>
          <w:szCs w:val="16"/>
          <w:color w:val="auto"/>
        </w:rPr>
        <w:t xml:space="preserve"> Notwithstanding anything to the contrary herein or in any other Loan Document, if a Benchmark Transition Event or an Other Benchmark Rate Election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w:t>
      </w:r>
    </w:p>
    <w:p>
      <w:pPr>
        <w:spacing w:after="0" w:line="97" w:lineRule="exact"/>
        <w:rPr>
          <w:sz w:val="20"/>
          <w:szCs w:val="20"/>
          <w:color w:val="auto"/>
        </w:rPr>
      </w:pPr>
    </w:p>
    <w:p>
      <w:pPr>
        <w:jc w:val="both"/>
        <w:ind w:left="5220"/>
        <w:spacing w:after="0"/>
        <w:tabs>
          <w:tab w:leader="none" w:pos="8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80"/>
          </w:cols>
          <w:pgMar w:left="880" w:top="274" w:right="439" w:bottom="1440" w:gutter="0" w:footer="0" w:header="0"/>
        </w:sectPr>
      </w:pPr>
    </w:p>
    <w:bookmarkStart w:id="93" w:name="page94"/>
    <w:bookmarkEnd w:id="93"/>
    <w:p>
      <w:pPr>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(which, in the case of a Benchmark Replacement in connection with an Other Benchmark Rate Election, may be delivered on the same day that notice of such Other Benchmark Rate Election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spacing w:after="0" w:line="166" w:lineRule="exact"/>
        <w:rPr>
          <w:sz w:val="20"/>
          <w:szCs w:val="20"/>
          <w:color w:val="auto"/>
        </w:rPr>
      </w:pPr>
    </w:p>
    <w:p>
      <w:pPr>
        <w:ind w:left="4" w:right="120" w:firstLine="987"/>
        <w:spacing w:after="0" w:line="301" w:lineRule="auto"/>
        <w:tabs>
          <w:tab w:leader="none" w:pos="125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7" w:lineRule="exact"/>
        <w:rPr>
          <w:rFonts w:ascii="Arial" w:cs="Arial" w:eastAsia="Arial" w:hAnsi="Arial"/>
          <w:sz w:val="16"/>
          <w:szCs w:val="16"/>
          <w:color w:val="auto"/>
        </w:rPr>
      </w:pPr>
    </w:p>
    <w:p>
      <w:pPr>
        <w:ind w:left="1244" w:hanging="253"/>
        <w:spacing w:after="0"/>
        <w:tabs>
          <w:tab w:leader="none" w:pos="1244"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Notices; Standards for Decisions and Determinations</w:t>
      </w:r>
      <w:r>
        <w:rPr>
          <w:rFonts w:ascii="Arial" w:cs="Arial" w:eastAsia="Arial" w:hAnsi="Arial"/>
          <w:sz w:val="16"/>
          <w:szCs w:val="16"/>
          <w:color w:val="auto"/>
        </w:rPr>
        <w:t>. The Administrative Agent will promptly notify the Borrower and the Lenders of</w:t>
      </w:r>
    </w:p>
    <w:p>
      <w:pPr>
        <w:spacing w:after="0" w:line="46" w:lineRule="exact"/>
        <w:rPr>
          <w:rFonts w:ascii="Arial" w:cs="Arial" w:eastAsia="Arial" w:hAnsi="Arial"/>
          <w:sz w:val="16"/>
          <w:szCs w:val="16"/>
          <w:color w:val="auto"/>
        </w:rPr>
      </w:pPr>
    </w:p>
    <w:p>
      <w:pPr>
        <w:ind w:left="4" w:right="20" w:hanging="4"/>
        <w:spacing w:after="0" w:line="251" w:lineRule="auto"/>
        <w:tabs>
          <w:tab w:leader="none" w:pos="21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below and (y) the commencement of any Benchmark Unavailability Period. Any determination, decision or election that may be made by the Administrative Agent or, if applicable, any Lender (or group of Lenders)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4" w:right="120" w:firstLine="987"/>
        <w:spacing w:after="0" w:line="254" w:lineRule="auto"/>
        <w:tabs>
          <w:tab w:leader="none" w:pos="125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Notwithstanding anything to the contrary herein or in any other Loan Document, at any time (including in connection with the implementation of a Benchmark Replacement), (i) if the then-current Benchmark for a Currency is a term rate (including the Term SOFR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w:t>
      </w:r>
    </w:p>
    <w:p>
      <w:pPr>
        <w:spacing w:after="0" w:line="127"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94" w:name="page95"/>
    <w:bookmarkEnd w:id="94"/>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similar or analogous definition)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spacing w:after="0" w:line="192" w:lineRule="exact"/>
        <w:rPr>
          <w:sz w:val="20"/>
          <w:szCs w:val="20"/>
          <w:color w:val="auto"/>
        </w:rPr>
      </w:pPr>
    </w:p>
    <w:p>
      <w:pPr>
        <w:ind w:left="4" w:right="20" w:firstLine="987"/>
        <w:spacing w:after="0" w:line="283" w:lineRule="auto"/>
        <w:tabs>
          <w:tab w:leader="none" w:pos="124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 at the Borrower’s election, shall either</w:t>
      </w:r>
    </w:p>
    <w:p>
      <w:pPr>
        <w:spacing w:after="0" w:line="2" w:lineRule="exact"/>
        <w:rPr>
          <w:rFonts w:ascii="Arial" w:cs="Arial" w:eastAsia="Arial" w:hAnsi="Arial"/>
          <w:sz w:val="16"/>
          <w:szCs w:val="16"/>
          <w:color w:val="auto"/>
        </w:rPr>
      </w:pPr>
    </w:p>
    <w:p>
      <w:pPr>
        <w:ind w:left="4" w:right="60" w:hanging="4"/>
        <w:spacing w:after="0" w:line="267" w:lineRule="auto"/>
        <w:tabs>
          <w:tab w:leader="none" w:pos="25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an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w:t>
      </w:r>
    </w:p>
    <w:p>
      <w:pPr>
        <w:spacing w:after="0" w:line="115"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95" w:name="page96"/>
    <w:bookmarkEnd w:id="95"/>
    <w:p>
      <w:pPr>
        <w:ind w:left="4"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an ABR Borrowing denominated in Dollars (in an amount equal to the Dollar Equivalent of such affected Currency) at the end of the applicable Interest Period, or (3) be prepaid in full at the end of the applicable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clause (iii)(B)(1) or (iv)(B)(1) above, as applicable.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3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Borrower represents and warrants to the Lenders that:</w:t>
      </w:r>
    </w:p>
    <w:p>
      <w:pPr>
        <w:spacing w:after="0" w:line="117" w:lineRule="exact"/>
        <w:rPr>
          <w:sz w:val="20"/>
          <w:szCs w:val="20"/>
          <w:color w:val="auto"/>
        </w:rPr>
      </w:pPr>
    </w:p>
    <w:p>
      <w:pPr>
        <w:ind w:left="4" w:right="300" w:firstLine="991"/>
        <w:spacing w:after="0" w:line="29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of the Borrower and its Subsidiaries is (a) duly organized, validly existing and in good standing under the laws of the jurisdiction of its organization, (b) has all requisite power and authority to carry on its business as now conducted and,</w:t>
      </w:r>
    </w:p>
    <w:p>
      <w:pPr>
        <w:ind w:left="4" w:right="200" w:hanging="4"/>
        <w:spacing w:after="0" w:line="323" w:lineRule="auto"/>
        <w:tabs>
          <w:tab w:leader="none" w:pos="2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is qualified to do business in, and is in good standing in, every jurisdiction where such qualification is required of the Borrower or such Subsidiary, as applicable, except where the failure to comply with this clause (c) would not reasonably be expected to result in a Material Adverse Effect.</w:t>
      </w:r>
    </w:p>
    <w:p>
      <w:pPr>
        <w:spacing w:after="0" w:line="138" w:lineRule="exact"/>
        <w:rPr>
          <w:sz w:val="20"/>
          <w:szCs w:val="20"/>
          <w:color w:val="auto"/>
        </w:rPr>
      </w:pPr>
    </w:p>
    <w:p>
      <w:pPr>
        <w:ind w:left="4" w:right="100" w:firstLine="991"/>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64" w:lineRule="exact"/>
        <w:rPr>
          <w:sz w:val="20"/>
          <w:szCs w:val="20"/>
          <w:color w:val="auto"/>
        </w:rPr>
      </w:pPr>
    </w:p>
    <w:p>
      <w:pPr>
        <w:ind w:left="4" w:right="60" w:firstLine="991"/>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Governmental Approvals; No Conflicts.</w:t>
      </w:r>
      <w:r>
        <w:rPr>
          <w:rFonts w:ascii="Arial" w:cs="Arial" w:eastAsia="Arial" w:hAnsi="Arial"/>
          <w:sz w:val="17"/>
          <w:szCs w:val="17"/>
          <w:color w:val="auto"/>
        </w:rPr>
        <w:t xml:space="preserve"> The Transactions (a) do not require any consent or approval of, registration or filing with, or any other action by, any Governmental Authority, except for (i) such as have been or will be obtained or made and are or will be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w:t>
      </w:r>
    </w:p>
    <w:p>
      <w:pPr>
        <w:spacing w:after="0" w:line="104"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96" w:name="page97"/>
    <w:bookmarkEnd w:id="96"/>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in each case, except as would not reasonably be expected to have a Material Adverse Effect, and (d) except for the Liens created pursuant to this Agreement or the Security Documents, will not result in the creation or imposition of any Lien on any asset of the Borrower or any Obligor.</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225" w:lineRule="exact"/>
        <w:rPr>
          <w:sz w:val="20"/>
          <w:szCs w:val="20"/>
          <w:color w:val="auto"/>
        </w:rPr>
      </w:pPr>
    </w:p>
    <w:p>
      <w:pPr>
        <w:jc w:val="both"/>
        <w:ind w:left="4" w:right="60" w:firstLine="987"/>
        <w:spacing w:after="0" w:line="301" w:lineRule="auto"/>
        <w:tabs>
          <w:tab w:leader="none" w:pos="1240"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Borrower has heretofore delivered to the Lenders the unaudited consolidated balance sheet and statement of operations, changes in net assets and cash flows of the Borrower and its Subsidiaries as of and for the fiscal quarter ended September 30, 2022,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57" w:lineRule="exact"/>
        <w:rPr>
          <w:rFonts w:ascii="Arial" w:cs="Arial" w:eastAsia="Arial" w:hAnsi="Arial"/>
          <w:sz w:val="16"/>
          <w:szCs w:val="16"/>
          <w:color w:val="auto"/>
        </w:rPr>
      </w:pPr>
    </w:p>
    <w:p>
      <w:pPr>
        <w:ind w:left="4" w:right="160" w:firstLine="987"/>
        <w:spacing w:after="0" w:line="291" w:lineRule="auto"/>
        <w:tabs>
          <w:tab w:leader="none" w:pos="1250"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the date of the most recent Applicable Financial Statements, there has not been any event, development or circumstance (herein, a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that has had or would reasonably be expected to have a material adverse effect on</w:t>
      </w:r>
    </w:p>
    <w:p>
      <w:pPr>
        <w:jc w:val="both"/>
        <w:ind w:left="4" w:right="200" w:hanging="4"/>
        <w:spacing w:after="0" w:line="253" w:lineRule="auto"/>
        <w:tabs>
          <w:tab w:leader="none" w:pos="21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93" w:lineRule="exact"/>
        <w:rPr>
          <w:sz w:val="20"/>
          <w:szCs w:val="20"/>
          <w:color w:val="auto"/>
        </w:rPr>
      </w:pPr>
    </w:p>
    <w:p>
      <w:pPr>
        <w:ind w:left="4" w:right="240" w:firstLine="991"/>
        <w:spacing w:after="0" w:line="291"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suits, investigations or proceedings by or before any arbitrator or Governmental Authority now pending against or, to the knowledge of the Borrower, threatened in writing against or affecting the Borrower or any of its Subsidiaries</w:t>
      </w:r>
    </w:p>
    <w:p>
      <w:pPr>
        <w:ind w:left="4" w:right="340" w:hanging="4"/>
        <w:spacing w:after="0" w:line="255" w:lineRule="auto"/>
        <w:tabs>
          <w:tab w:leader="none" w:pos="21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to which there is a reasonable possibility of an adverse determination and that, if adversely determined, would reasonably be expected, individually or in the aggregate, to result in a Material Adverse Effect or (ii) that directly involve this Agreement or the Transactions (other than any action brought by the Borrower against a Defaulting Lender).</w:t>
      </w:r>
    </w:p>
    <w:p>
      <w:pPr>
        <w:spacing w:after="0" w:line="190" w:lineRule="exact"/>
        <w:rPr>
          <w:sz w:val="20"/>
          <w:szCs w:val="20"/>
          <w:color w:val="auto"/>
        </w:rPr>
      </w:pPr>
    </w:p>
    <w:p>
      <w:pPr>
        <w:ind w:left="4" w:right="100" w:firstLine="991"/>
        <w:spacing w:after="0" w:line="275"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Compliance with Laws and Agreements</w:t>
      </w:r>
      <w:r>
        <w:rPr>
          <w:rFonts w:ascii="Arial" w:cs="Arial" w:eastAsia="Arial" w:hAnsi="Arial"/>
          <w:sz w:val="17"/>
          <w:szCs w:val="17"/>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Neither the Borrower nor any other Obligor is subject to any contract or other arrangement, the performance of which by the Borrower or such Obligor would reasonably be expected to result in a Material Adverse Effect.</w:t>
      </w:r>
    </w:p>
    <w:p>
      <w:pPr>
        <w:spacing w:after="0" w:line="176" w:lineRule="exact"/>
        <w:rPr>
          <w:sz w:val="20"/>
          <w:szCs w:val="20"/>
          <w:color w:val="auto"/>
        </w:rPr>
      </w:pPr>
    </w:p>
    <w:p>
      <w:pPr>
        <w:jc w:val="both"/>
        <w:ind w:left="4" w:right="20" w:firstLine="991"/>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would not reasonably be expected to result in a Material Adverse Effect.</w:t>
      </w:r>
    </w:p>
    <w:p>
      <w:pPr>
        <w:spacing w:after="0" w:line="119" w:lineRule="exact"/>
        <w:rPr>
          <w:sz w:val="20"/>
          <w:szCs w:val="20"/>
          <w:color w:val="auto"/>
        </w:rPr>
      </w:pPr>
    </w:p>
    <w:p>
      <w:pPr>
        <w:jc w:val="both"/>
        <w:ind w:left="5664"/>
        <w:spacing w:after="0"/>
        <w:tabs>
          <w:tab w:leader="none" w:pos="8964"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97" w:name="page98"/>
    <w:bookmarkEnd w:id="97"/>
    <w:p>
      <w:pPr>
        <w:ind w:right="26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3.08.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46"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As of the Effective Date, the Borrower has disclosed in its public filings or to the Lenders all agreements, instruments and corporate or other restrictions to which it or any of its Subsidiaries is subject, and all other matters known to it, that, individually or in the aggregate, would reasonably be expected to result in a Material Adverse Effect. As of the Effective Date, none of the written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together with the Borrower’s public filings and as a whole (and after giving effect to all updates, modifications and supplements) contains any material misstatement of fact or omits to state any material fact necessary to make the statements therein, in the light of the circumstances under which they were made, not materially misleading at the time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other forward looking information relating to third parties and information of a general economic or general industry nature, the Borrower represents only that such information was prepared in good faith based upon assumptions believed to be reasonable at the time of the preparation thereof (it being understood that projections are subject to significant and inherent uncertainties and contingencies which may be outside of the Borrower’s control and that no assurance can be given that projections will be realized, and are therefore not to be viewed as fact, and that actual results for the periods covered by projections may differ from the projected results set forth in such projections and that such differences may be material).</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Investment Company Act; Margin Regulations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77" w:lineRule="auto"/>
        <w:tabs>
          <w:tab w:leader="none" w:pos="1236"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Status as Business Development Company</w:t>
      </w:r>
      <w:r>
        <w:rPr>
          <w:rFonts w:ascii="Arial" w:cs="Arial" w:eastAsia="Arial" w:hAnsi="Arial"/>
          <w:sz w:val="18"/>
          <w:szCs w:val="18"/>
          <w:color w:val="auto"/>
        </w:rPr>
        <w:t>. The Borrower has elected to be regulated as a “business development company” within the meaning of the Investment Company Act and qualifies as a RIC.</w:t>
      </w:r>
    </w:p>
    <w:p>
      <w:pPr>
        <w:spacing w:after="0" w:line="170" w:lineRule="exact"/>
        <w:rPr>
          <w:rFonts w:ascii="Arial" w:cs="Arial" w:eastAsia="Arial" w:hAnsi="Arial"/>
          <w:sz w:val="18"/>
          <w:szCs w:val="18"/>
          <w:color w:val="auto"/>
        </w:rPr>
      </w:pPr>
    </w:p>
    <w:p>
      <w:pPr>
        <w:jc w:val="both"/>
        <w:ind w:right="140" w:firstLine="987"/>
        <w:spacing w:after="0" w:line="257" w:lineRule="auto"/>
        <w:tabs>
          <w:tab w:leader="none" w:pos="1246"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Compliance with Investment Company Act</w:t>
      </w:r>
      <w:r>
        <w:rPr>
          <w:rFonts w:ascii="Arial" w:cs="Arial" w:eastAsia="Arial" w:hAnsi="Arial"/>
          <w:sz w:val="18"/>
          <w:szCs w:val="18"/>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87" w:lineRule="exact"/>
        <w:rPr>
          <w:rFonts w:ascii="Arial" w:cs="Arial" w:eastAsia="Arial" w:hAnsi="Arial"/>
          <w:sz w:val="18"/>
          <w:szCs w:val="18"/>
          <w:color w:val="auto"/>
        </w:rPr>
      </w:pPr>
    </w:p>
    <w:p>
      <w:pPr>
        <w:ind w:right="300" w:firstLine="987"/>
        <w:spacing w:after="0" w:line="342" w:lineRule="auto"/>
        <w:tabs>
          <w:tab w:leader="none" w:pos="1236"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Investment Policies</w:t>
      </w:r>
      <w:r>
        <w:rPr>
          <w:rFonts w:ascii="Arial" w:cs="Arial" w:eastAsia="Arial" w:hAnsi="Arial"/>
          <w:sz w:val="16"/>
          <w:szCs w:val="16"/>
          <w:color w:val="auto"/>
        </w:rPr>
        <w:t>. The Borrower is in compliance in all respects with the Investment Policies (after giving effect to any Permitted Policy Amendments), except to the extent that the failure to so comply would not reasonably be expected to have a Material Adverse Effect.</w:t>
      </w:r>
    </w:p>
    <w:p>
      <w:pPr>
        <w:spacing w:after="0" w:line="56"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98" w:name="page99"/>
    <w:bookmarkEnd w:id="98"/>
    <w:p>
      <w:pPr>
        <w:ind w:left="-980" w:right="20" w:firstLine="987"/>
        <w:spacing w:after="0" w:line="275" w:lineRule="auto"/>
        <w:tabs>
          <w:tab w:leader="none" w:pos="266"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Credit</w:t>
      </w:r>
      <w:r>
        <w:rPr>
          <w:rFonts w:ascii="Arial" w:cs="Arial" w:eastAsia="Arial" w:hAnsi="Arial"/>
          <w:sz w:val="17"/>
          <w:szCs w:val="17"/>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 (provided that so long as no violation of Regulation U would result therefrom and the Borrower intends to immediately retire any whole or fractional shares of its common stock purchased, the Borrower may use proceeds of the Loans to purchase its common stock in connection with the redemption (or buyback) of its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Material Agreements and Liens</w:t>
      </w:r>
      <w:r>
        <w:rPr>
          <w:rFonts w:ascii="Arial" w:cs="Arial" w:eastAsia="Arial" w:hAnsi="Arial"/>
          <w:sz w:val="18"/>
          <w:szCs w:val="18"/>
          <w:color w:val="auto"/>
        </w:rPr>
        <w:t>.</w:t>
      </w:r>
    </w:p>
    <w:p>
      <w:pPr>
        <w:spacing w:after="0" w:line="225" w:lineRule="exact"/>
        <w:rPr>
          <w:sz w:val="20"/>
          <w:szCs w:val="20"/>
          <w:color w:val="auto"/>
        </w:rPr>
      </w:pPr>
    </w:p>
    <w:p>
      <w:pPr>
        <w:ind w:left="-980" w:right="80" w:firstLine="987"/>
        <w:spacing w:after="0" w:line="293" w:lineRule="auto"/>
        <w:tabs>
          <w:tab w:leader="none" w:pos="256"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Material Agreements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is a complete and correct list, as of the Effective Date, of each credit agreement, loan agreement, indenture, purchase agreement, guarantee, letter of credit or other arrangement providing for or otherwise relating to any Indebtedness for borrowed money or any extension of credit (or commitment for any extension of credit) to, or guarantee for borrowed money by, the Borrower or any other Obligor outstanding as of the Effective Date (in each case, other than (x) Indebtedness hereunder or under any other Loan Document and (y) any such agreement or arrangement that is solely between or among two (2) or more Obligors), and the aggregate principal or face amount outstanding or that is, or may become, outstanding under each such arrangement in each case as of the Effective Date is correctly described in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980" w:right="20" w:firstLine="987"/>
        <w:spacing w:after="0" w:line="259" w:lineRule="auto"/>
        <w:tabs>
          <w:tab w:leader="none" w:pos="26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is a complete and correct list, as of the Effective Date, of each Lien securing Indebtedness of any Person outstanding on the Effective Date (other than Indebtedness hereunder or under any other Loan Document) covering any property of the Borrower or other Obligor, and the aggregate Indebtedness secured (or that may be secured) by each such Lien and the property covered by each such Lien is correctly described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w:t>
      </w:r>
    </w:p>
    <w:p>
      <w:pPr>
        <w:spacing w:after="0" w:line="225" w:lineRule="exact"/>
        <w:rPr>
          <w:sz w:val="20"/>
          <w:szCs w:val="20"/>
          <w:color w:val="auto"/>
        </w:rPr>
      </w:pPr>
    </w:p>
    <w:p>
      <w:pPr>
        <w:ind w:left="260" w:hanging="253"/>
        <w:spacing w:after="0"/>
        <w:tabs>
          <w:tab w:leader="none" w:pos="2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3.12(a)</w:t>
      </w:r>
      <w:r>
        <w:rPr>
          <w:rFonts w:ascii="Arial" w:cs="Arial" w:eastAsia="Arial" w:hAnsi="Arial"/>
          <w:sz w:val="18"/>
          <w:szCs w:val="18"/>
          <w:color w:val="auto"/>
        </w:rPr>
        <w:t xml:space="preserve"> is a list of the Borrower’s Subsidiaries as of the Effective Date.</w:t>
      </w:r>
    </w:p>
    <w:p>
      <w:pPr>
        <w:spacing w:after="0" w:line="225" w:lineRule="exact"/>
        <w:rPr>
          <w:rFonts w:ascii="Arial" w:cs="Arial" w:eastAsia="Arial" w:hAnsi="Arial"/>
          <w:sz w:val="18"/>
          <w:szCs w:val="18"/>
          <w:color w:val="auto"/>
        </w:rPr>
      </w:pPr>
    </w:p>
    <w:p>
      <w:pPr>
        <w:ind w:left="-980" w:right="200" w:firstLine="987"/>
        <w:spacing w:after="0" w:line="296" w:lineRule="auto"/>
        <w:tabs>
          <w:tab w:leader="none" w:pos="266"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Schedule 3.12(b)</w:t>
      </w:r>
      <w:r>
        <w:rPr>
          <w:rFonts w:ascii="Arial" w:cs="Arial" w:eastAsia="Arial" w:hAnsi="Arial"/>
          <w:sz w:val="16"/>
          <w:szCs w:val="16"/>
          <w:color w:val="auto"/>
        </w:rPr>
        <w:t xml:space="preserve"> is a complete and correct list, as of the Effective Date, of all Investments (other than Investments of the types referred to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held by the Borrower or any of the Subsidiary Guarantors in any Person on the Effective Date and, for each such Investment, (x) the identity of the Person or Persons holding such Investment and (y) the nature of such Investment. Except as disclosed in </w:t>
      </w:r>
      <w:r>
        <w:rPr>
          <w:rFonts w:ascii="Arial" w:cs="Arial" w:eastAsia="Arial" w:hAnsi="Arial"/>
          <w:sz w:val="16"/>
          <w:szCs w:val="16"/>
          <w:u w:val="single" w:color="auto"/>
          <w:color w:val="auto"/>
        </w:rPr>
        <w:t>Schedule 3.12</w:t>
      </w:r>
      <w:r>
        <w:rPr>
          <w:rFonts w:ascii="Arial" w:cs="Arial" w:eastAsia="Arial" w:hAnsi="Arial"/>
          <w:sz w:val="16"/>
          <w:szCs w:val="16"/>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94" w:lineRule="exact"/>
        <w:rPr>
          <w:sz w:val="20"/>
          <w:szCs w:val="20"/>
          <w:color w:val="auto"/>
        </w:rPr>
      </w:pPr>
    </w:p>
    <w:p>
      <w:pPr>
        <w:jc w:val="both"/>
        <w:ind w:left="4680"/>
        <w:spacing w:after="0"/>
        <w:tabs>
          <w:tab w:leader="none" w:pos="798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99" w:name="page100"/>
    <w:bookmarkEnd w:id="9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3.13.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17" w:lineRule="exact"/>
        <w:rPr>
          <w:sz w:val="20"/>
          <w:szCs w:val="20"/>
          <w:color w:val="auto"/>
        </w:rPr>
      </w:pPr>
    </w:p>
    <w:p>
      <w:pPr>
        <w:ind w:right="140" w:firstLine="987"/>
        <w:spacing w:after="0" w:line="259"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Title Generally</w:t>
      </w:r>
      <w:r>
        <w:rPr>
          <w:rFonts w:ascii="Arial" w:cs="Arial" w:eastAsia="Arial" w:hAnsi="Arial"/>
          <w:sz w:val="18"/>
          <w:szCs w:val="18"/>
          <w:color w:val="auto"/>
        </w:rPr>
        <w:t>. Each of the Borrower and the Subsidiary Guarantors has good title to, or valid leasehold interests in, all its real and personal property material to its business, taken as a whole, except for minor defects in title that do not interfere with its ability to conduct its business, taken as a whole, as currently conducted or to utilize such properties for their intended purposes except where failure to have title or leasehold interests would not reasonably be expected to have a Material Adverse Effect.</w:t>
      </w:r>
    </w:p>
    <w:p>
      <w:pPr>
        <w:spacing w:after="0" w:line="186" w:lineRule="exact"/>
        <w:rPr>
          <w:rFonts w:ascii="Arial" w:cs="Arial" w:eastAsia="Arial" w:hAnsi="Arial"/>
          <w:sz w:val="18"/>
          <w:szCs w:val="18"/>
          <w:color w:val="auto"/>
        </w:rPr>
      </w:pPr>
    </w:p>
    <w:p>
      <w:pPr>
        <w:ind w:right="240" w:firstLine="987"/>
        <w:spacing w:after="0" w:line="279" w:lineRule="auto"/>
        <w:tabs>
          <w:tab w:leader="none" w:pos="1246"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of the Borrower and its Subsidiaries (other than any Financing Subsidiary) owns, or is licensed to use, all trademarks, tradenames, copyrights, patents and other intellectual property material to its business, taken as a whole, and the use thereof by the Borrower and its Subsidiaries (other than any Financing Subsidiary) does not infringe upon the rights of any other Person, except for any such infringements that, individually or in the aggregate, would not reasonably be expected to result in a Material Adverse Effect.</w:t>
      </w:r>
    </w:p>
    <w:p>
      <w:pPr>
        <w:spacing w:after="0" w:line="17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Affiliate Agreements</w:t>
      </w:r>
      <w:r>
        <w:rPr>
          <w:rFonts w:ascii="Arial" w:cs="Arial" w:eastAsia="Arial" w:hAnsi="Arial"/>
          <w:sz w:val="18"/>
          <w:szCs w:val="18"/>
          <w:color w:val="auto"/>
        </w:rPr>
        <w:t>. As of the Effective Date, the Borrower has heretofore delivered (to the extent not otherwise publicly filed with the Securities and Exchange Commission) to the Administrative Agent true and complete copies of each of the Affiliate Agreements (including and schedules and exhibits thereto, and any amendments, supplements or waivers executed and delivered thereunder). As of the Effective Date, each of the Affiliate Agreements was in full force and effect.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right="340" w:firstLine="987"/>
        <w:spacing w:after="0" w:line="275" w:lineRule="auto"/>
        <w:tabs>
          <w:tab w:leader="none" w:pos="123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None of the Borrower or any of its Subsidiaries, nor, to the knowledge of the Borrower, any of their respective directors, officers or authorized signors (i) is a person on the list of Specially Designated Nationals and Blocked Persons or the subject or target of, the limitations or prohibitions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under (A) any U.S. Department of Treasury’s Office of Foreign Assets Control or U.S. Department of State regulation or executive order or (B) any international economic sanction administered or enforced by the United Nations Security Council, His Majesty’s Treasury or the European Union or (ii) is located, organized or resident in a Sanctioned Country.</w:t>
      </w:r>
    </w:p>
    <w:p>
      <w:pPr>
        <w:spacing w:after="0" w:line="176" w:lineRule="exact"/>
        <w:rPr>
          <w:rFonts w:ascii="Arial" w:cs="Arial" w:eastAsia="Arial" w:hAnsi="Arial"/>
          <w:sz w:val="17"/>
          <w:szCs w:val="17"/>
          <w:color w:val="auto"/>
        </w:rPr>
      </w:pPr>
    </w:p>
    <w:p>
      <w:pPr>
        <w:ind w:right="500" w:firstLine="987"/>
        <w:spacing w:after="0" w:line="263" w:lineRule="auto"/>
        <w:tabs>
          <w:tab w:leader="none" w:pos="124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8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Patriot Act</w:t>
      </w:r>
      <w:r>
        <w:rPr>
          <w:rFonts w:ascii="Arial" w:cs="Arial" w:eastAsia="Arial" w:hAnsi="Arial"/>
          <w:sz w:val="18"/>
          <w:szCs w:val="18"/>
          <w:color w:val="auto"/>
        </w:rPr>
        <w:t>.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w:t>
      </w:r>
    </w:p>
    <w:p>
      <w:pPr>
        <w:spacing w:after="0" w:line="127"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00" w:name="page101"/>
    <w:bookmarkEnd w:id="100"/>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or (ii) for the purpose of financing the activities in or with any Sanctioned Country, or of any Person, at the time of such financing (A) the subject or target of any Sanctions or (B) located, organized or resident in a Sanctioned Country, in each case as would result in a violation of Sanctions.</w:t>
      </w:r>
    </w:p>
    <w:p>
      <w:pPr>
        <w:spacing w:after="0" w:line="188"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on all right, title and interest of the Borrower and each Subsidiary Guarantor in the Collateral described therein except for any failure that would not constitute an Event of Default under clause (q) of Article VII. Except for filings completed on or prior to the Effective Date and as contemplated hereby and by the Security Documents and the taking of possession or control by the Collateral Agent of the Collateral with respect to which a security interest may be perfected by possession or control, no filing or other action will be necessary to perfect such Liens, to the extent required thereunder, except for the failure to make any filing or take any other action that would not constitute an Event of Default under clause (q) of Article VII.</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Neither the Borrower nor any Subsidiary is an EEA Financial Institution.</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260" w:firstLine="991"/>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3" w:lineRule="exact"/>
        <w:rPr>
          <w:sz w:val="20"/>
          <w:szCs w:val="20"/>
          <w:color w:val="auto"/>
        </w:rPr>
      </w:pPr>
    </w:p>
    <w:p>
      <w:pPr>
        <w:ind w:right="80" w:firstLine="987"/>
        <w:spacing w:after="0" w:line="260" w:lineRule="auto"/>
        <w:tabs>
          <w:tab w:leader="none" w:pos="1236"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Administrative Agent shall have received each of the following documents, each of which shall be reasonably satisfactory to the Administrative Agent (and to the extent specified below to each Lender) in form and substance:</w:t>
      </w:r>
    </w:p>
    <w:p>
      <w:pPr>
        <w:spacing w:after="0" w:line="77" w:lineRule="exact"/>
        <w:rPr>
          <w:rFonts w:ascii="Arial" w:cs="Arial" w:eastAsia="Arial" w:hAnsi="Arial"/>
          <w:sz w:val="18"/>
          <w:szCs w:val="18"/>
          <w:color w:val="auto"/>
        </w:rPr>
      </w:pPr>
    </w:p>
    <w:p>
      <w:pPr>
        <w:ind w:left="1600" w:hanging="212"/>
        <w:spacing w:after="0"/>
        <w:tabs>
          <w:tab w:leader="none" w:pos="1600" w:val="left"/>
        </w:tabs>
        <w:numPr>
          <w:ilvl w:val="2"/>
          <w:numId w:val="128"/>
        </w:numPr>
        <w:rPr>
          <w:rFonts w:ascii="Arial" w:cs="Arial" w:eastAsia="Arial" w:hAnsi="Arial"/>
          <w:sz w:val="17"/>
          <w:szCs w:val="17"/>
          <w:color w:val="auto"/>
        </w:rPr>
      </w:pPr>
      <w:r>
        <w:rPr>
          <w:rFonts w:ascii="Arial" w:cs="Arial" w:eastAsia="Arial" w:hAnsi="Arial"/>
          <w:sz w:val="17"/>
          <w:szCs w:val="17"/>
          <w:u w:val="single" w:color="auto"/>
          <w:color w:val="auto"/>
        </w:rPr>
        <w:t>Executed Counterparts</w:t>
      </w:r>
      <w:r>
        <w:rPr>
          <w:rFonts w:ascii="Arial" w:cs="Arial" w:eastAsia="Arial" w:hAnsi="Arial"/>
          <w:sz w:val="17"/>
          <w:szCs w:val="17"/>
          <w:color w:val="auto"/>
        </w:rPr>
        <w:t>. From each party hereto either (i) a counterpart of this Agreement signed on behalf of such party or</w:t>
      </w:r>
    </w:p>
    <w:p>
      <w:pPr>
        <w:spacing w:after="0" w:line="34" w:lineRule="exact"/>
        <w:rPr>
          <w:rFonts w:ascii="Arial" w:cs="Arial" w:eastAsia="Arial" w:hAnsi="Arial"/>
          <w:sz w:val="17"/>
          <w:szCs w:val="17"/>
          <w:color w:val="auto"/>
        </w:rPr>
      </w:pPr>
    </w:p>
    <w:p>
      <w:pPr>
        <w:ind w:left="440" w:right="620" w:hanging="4"/>
        <w:spacing w:after="0" w:line="260" w:lineRule="auto"/>
        <w:tabs>
          <w:tab w:leader="none" w:pos="7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written evidence satisfactory to the Administrative Agent (which may include telecopy or electronic (e.g. pdf) transmission of a signed signature page to this Agreement) that such party has signed a counterpart of this Agreement.</w:t>
      </w:r>
    </w:p>
    <w:p>
      <w:pPr>
        <w:spacing w:after="0" w:line="77" w:lineRule="exact"/>
        <w:rPr>
          <w:rFonts w:ascii="Arial" w:cs="Arial" w:eastAsia="Arial" w:hAnsi="Arial"/>
          <w:sz w:val="18"/>
          <w:szCs w:val="18"/>
          <w:color w:val="auto"/>
        </w:rPr>
      </w:pPr>
    </w:p>
    <w:p>
      <w:pPr>
        <w:ind w:left="440" w:right="220" w:firstLine="948"/>
        <w:spacing w:after="0" w:line="291" w:lineRule="auto"/>
        <w:tabs>
          <w:tab w:leader="none" w:pos="1657" w:val="left"/>
        </w:tabs>
        <w:numPr>
          <w:ilvl w:val="2"/>
          <w:numId w:val="129"/>
        </w:numPr>
        <w:rPr>
          <w:rFonts w:ascii="Arial" w:cs="Arial" w:eastAsia="Arial" w:hAnsi="Arial"/>
          <w:sz w:val="16"/>
          <w:szCs w:val="16"/>
          <w:color w:val="auto"/>
        </w:rPr>
      </w:pPr>
      <w:r>
        <w:rPr>
          <w:rFonts w:ascii="Arial" w:cs="Arial" w:eastAsia="Arial" w:hAnsi="Arial"/>
          <w:sz w:val="16"/>
          <w:szCs w:val="16"/>
          <w:u w:val="single" w:color="auto"/>
          <w:color w:val="auto"/>
        </w:rPr>
        <w:t>Opinion of Counsel to the Borrower</w:t>
      </w:r>
      <w:r>
        <w:rPr>
          <w:rFonts w:ascii="Arial" w:cs="Arial" w:eastAsia="Arial" w:hAnsi="Arial"/>
          <w:sz w:val="16"/>
          <w:szCs w:val="16"/>
          <w:color w:val="auto"/>
        </w:rPr>
        <w:t>. A favorable written opinion (addressed to the Administrative Agent and the Lenders and dated the Effective Date) of (A) Cleary Gottlieb Steen &amp; Hamilton LLP, New York counsel for the Borrower and the Subsidiary Guarantors and</w:t>
      </w:r>
    </w:p>
    <w:p>
      <w:pPr>
        <w:jc w:val="both"/>
        <w:ind w:left="440" w:right="60"/>
        <w:spacing w:after="0" w:line="255" w:lineRule="auto"/>
        <w:rPr>
          <w:rFonts w:ascii="Arial" w:cs="Arial" w:eastAsia="Arial" w:hAnsi="Arial"/>
          <w:sz w:val="16"/>
          <w:szCs w:val="16"/>
          <w:color w:val="auto"/>
        </w:rPr>
      </w:pPr>
      <w:r>
        <w:rPr>
          <w:rFonts w:ascii="Arial" w:cs="Arial" w:eastAsia="Arial" w:hAnsi="Arial"/>
          <w:sz w:val="18"/>
          <w:szCs w:val="18"/>
          <w:color w:val="auto"/>
        </w:rPr>
        <w:t>(B) Morris, Nichols, Arsht &amp; Tunnell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22"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01" w:name="page102"/>
    <w:bookmarkEnd w:id="101"/>
    <w:p>
      <w:pPr>
        <w:ind w:right="20" w:firstLine="948"/>
        <w:spacing w:after="0" w:line="311" w:lineRule="auto"/>
        <w:tabs>
          <w:tab w:leader="none" w:pos="1267"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Documents</w:t>
      </w:r>
      <w:r>
        <w:rPr>
          <w:rFonts w:ascii="Arial" w:cs="Arial" w:eastAsia="Arial" w:hAnsi="Arial"/>
          <w:sz w:val="16"/>
          <w:szCs w:val="16"/>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reasonably satisfactory to the Administrative Agent and its counsel.</w:t>
      </w:r>
    </w:p>
    <w:p>
      <w:pPr>
        <w:spacing w:after="0" w:line="40" w:lineRule="exact"/>
        <w:rPr>
          <w:rFonts w:ascii="Arial" w:cs="Arial" w:eastAsia="Arial" w:hAnsi="Arial"/>
          <w:sz w:val="16"/>
          <w:szCs w:val="16"/>
          <w:color w:val="auto"/>
        </w:rPr>
      </w:pPr>
    </w:p>
    <w:p>
      <w:pPr>
        <w:ind w:right="60" w:firstLine="948"/>
        <w:spacing w:after="0" w:line="263" w:lineRule="auto"/>
        <w:tabs>
          <w:tab w:leader="none" w:pos="1256"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20" w:firstLine="948"/>
        <w:spacing w:after="0" w:line="277" w:lineRule="auto"/>
        <w:tabs>
          <w:tab w:leader="none" w:pos="1206"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The Guarantee and Security Agreement, duly executed and delivered by each of the parties to the Guarantee and Security Agreement.</w:t>
      </w:r>
    </w:p>
    <w:p>
      <w:pPr>
        <w:spacing w:after="0" w:line="62" w:lineRule="exact"/>
        <w:rPr>
          <w:rFonts w:ascii="Arial" w:cs="Arial" w:eastAsia="Arial" w:hAnsi="Arial"/>
          <w:sz w:val="18"/>
          <w:szCs w:val="18"/>
          <w:color w:val="auto"/>
        </w:rPr>
      </w:pPr>
    </w:p>
    <w:p>
      <w:pPr>
        <w:ind w:right="400" w:firstLine="948"/>
        <w:spacing w:after="0" w:line="277" w:lineRule="auto"/>
        <w:tabs>
          <w:tab w:leader="none" w:pos="1256"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Control Agreement</w:t>
      </w:r>
      <w:r>
        <w:rPr>
          <w:rFonts w:ascii="Arial" w:cs="Arial" w:eastAsia="Arial" w:hAnsi="Arial"/>
          <w:sz w:val="18"/>
          <w:szCs w:val="18"/>
          <w:color w:val="auto"/>
        </w:rPr>
        <w:t>. A control agreement, duly executed and delivered by the Borrower, the Administrative Agent and State Street Bank and Trust Company.</w:t>
      </w:r>
    </w:p>
    <w:p>
      <w:pPr>
        <w:spacing w:after="0" w:line="62" w:lineRule="exact"/>
        <w:rPr>
          <w:rFonts w:ascii="Arial" w:cs="Arial" w:eastAsia="Arial" w:hAnsi="Arial"/>
          <w:sz w:val="18"/>
          <w:szCs w:val="18"/>
          <w:color w:val="auto"/>
        </w:rPr>
      </w:pPr>
    </w:p>
    <w:p>
      <w:pPr>
        <w:ind w:left="1300" w:hanging="352"/>
        <w:spacing w:after="0"/>
        <w:tabs>
          <w:tab w:leader="none" w:pos="1300" w:val="left"/>
        </w:tabs>
        <w:numPr>
          <w:ilvl w:val="1"/>
          <w:numId w:val="130"/>
        </w:numPr>
        <w:rPr>
          <w:rFonts w:ascii="Arial" w:cs="Arial" w:eastAsia="Arial" w:hAnsi="Arial"/>
          <w:sz w:val="17"/>
          <w:szCs w:val="17"/>
          <w:color w:val="auto"/>
        </w:rPr>
      </w:pPr>
      <w:r>
        <w:rPr>
          <w:rFonts w:ascii="Arial" w:cs="Arial" w:eastAsia="Arial" w:hAnsi="Arial"/>
          <w:sz w:val="17"/>
          <w:szCs w:val="17"/>
          <w:u w:val="single" w:color="auto"/>
          <w:color w:val="auto"/>
        </w:rPr>
        <w:t>Borrowing Base Certificate</w:t>
      </w:r>
      <w:r>
        <w:rPr>
          <w:rFonts w:ascii="Arial" w:cs="Arial" w:eastAsia="Arial" w:hAnsi="Arial"/>
          <w:sz w:val="17"/>
          <w:szCs w:val="17"/>
          <w:color w:val="auto"/>
        </w:rPr>
        <w:t>. A Borrowing Base Certificate showing a calculation of the Borrowing Base as of December 31,</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2022.</w:t>
      </w:r>
    </w:p>
    <w:p>
      <w:pPr>
        <w:spacing w:after="0" w:line="102" w:lineRule="exact"/>
        <w:rPr>
          <w:rFonts w:ascii="Arial" w:cs="Arial" w:eastAsia="Arial" w:hAnsi="Arial"/>
          <w:sz w:val="17"/>
          <w:szCs w:val="17"/>
          <w:color w:val="auto"/>
        </w:rPr>
      </w:pPr>
    </w:p>
    <w:p>
      <w:pPr>
        <w:ind w:left="-440" w:right="100" w:firstLine="987"/>
        <w:spacing w:after="0" w:line="271" w:lineRule="auto"/>
        <w:tabs>
          <w:tab w:leader="none" w:pos="806"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Liens</w:t>
      </w:r>
      <w:r>
        <w:rPr>
          <w:rFonts w:ascii="Arial" w:cs="Arial" w:eastAsia="Arial" w:hAnsi="Arial"/>
          <w:sz w:val="17"/>
          <w:szCs w:val="17"/>
          <w:color w:val="auto"/>
        </w:rPr>
        <w:t xml:space="preserve">. The Administrative Agent shall have received results of a recent lien search in each relevant jurisdiction with respect to the Borrower and the Subsidiary Guarantors, confirming that each financing statement in respect of the Liens in favor of the Collateral Agent created pursuant to the Security Documents is otherwise prior to all other financing statements or other interests reflected therein (other than any financing statement or interest in respect of liens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or Liens to be discharged on or prior to the Effective Date pursuant to documentation satisfactory to the Administrative Agent). All UCC financing statements and similar documents required to be filed in order to create in favor of the Collateral Agent, for the benefit of the Lenders, a first priority perfected security interest in the Collateral (to the extent that such a security interest may be perfected by a filing under the Uniform Commercial Code) shall have been properly filed in each jurisdiction required (or arrangements for such filings acceptable to the Administrative Agent and the Collateral Agent shall have been made).</w:t>
      </w:r>
    </w:p>
    <w:p>
      <w:pPr>
        <w:spacing w:after="0" w:line="70" w:lineRule="exact"/>
        <w:rPr>
          <w:rFonts w:ascii="Arial" w:cs="Arial" w:eastAsia="Arial" w:hAnsi="Arial"/>
          <w:sz w:val="17"/>
          <w:szCs w:val="17"/>
          <w:color w:val="auto"/>
        </w:rPr>
      </w:pPr>
    </w:p>
    <w:p>
      <w:pPr>
        <w:ind w:left="-440" w:right="180" w:firstLine="987"/>
        <w:spacing w:after="0" w:line="296" w:lineRule="auto"/>
        <w:tabs>
          <w:tab w:leader="none" w:pos="796"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The Borrower shall have obtained and delivered to the Administrative Agent certified copies of all consents, approvals, authorizations, registrations, or filings required to be made or obtained by the Borrower and all Subsidiary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94" w:lineRule="exact"/>
        <w:rPr>
          <w:sz w:val="20"/>
          <w:szCs w:val="20"/>
          <w:color w:val="auto"/>
        </w:rPr>
      </w:pPr>
    </w:p>
    <w:p>
      <w:pPr>
        <w:jc w:val="both"/>
        <w:ind w:left="5220"/>
        <w:spacing w:after="0"/>
        <w:tabs>
          <w:tab w:leader="none" w:pos="8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80"/>
          </w:cols>
          <w:pgMar w:left="880" w:top="274" w:right="439" w:bottom="1440" w:gutter="0" w:footer="0" w:header="0"/>
        </w:sectPr>
      </w:pPr>
    </w:p>
    <w:bookmarkStart w:id="102" w:name="page103"/>
    <w:bookmarkEnd w:id="102"/>
    <w:p>
      <w:pPr>
        <w:ind w:right="180" w:firstLine="987"/>
        <w:spacing w:after="0" w:line="277" w:lineRule="auto"/>
        <w:tabs>
          <w:tab w:leader="none" w:pos="1246"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and Expenses</w:t>
      </w:r>
      <w:r>
        <w:rPr>
          <w:rFonts w:ascii="Arial" w:cs="Arial" w:eastAsia="Arial" w:hAnsi="Arial"/>
          <w:sz w:val="18"/>
          <w:szCs w:val="18"/>
          <w:color w:val="auto"/>
        </w:rPr>
        <w:t>. The Borrower shall have paid in full to the Administrative Agent and the Lenders all fees and expenses related to this Agreement and the other Loan Documents owing on the Effective Date.</w:t>
      </w:r>
    </w:p>
    <w:p>
      <w:pPr>
        <w:spacing w:after="0" w:line="62" w:lineRule="exact"/>
        <w:rPr>
          <w:rFonts w:ascii="Arial" w:cs="Arial" w:eastAsia="Arial" w:hAnsi="Arial"/>
          <w:sz w:val="18"/>
          <w:szCs w:val="18"/>
          <w:color w:val="auto"/>
        </w:rPr>
      </w:pPr>
    </w:p>
    <w:p>
      <w:pPr>
        <w:jc w:val="both"/>
        <w:ind w:right="80" w:firstLine="987"/>
        <w:spacing w:after="0" w:line="259" w:lineRule="auto"/>
        <w:tabs>
          <w:tab w:leader="none" w:pos="1236"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and the Lenders shall have received, sufficiently in advance of the Effective Date, upon the reasonable request of the Lenders at least ten (10) Business Days prior to the Effective Date, documentation and other information required by bank regulatory authorities under applicable “know your customer” and anti-money laundering rules and regulations, including the USA PATRIOT Act (Title III of Pub. L. 107-56 (signed into law October 26, 2001)).</w:t>
      </w:r>
    </w:p>
    <w:p>
      <w:pPr>
        <w:spacing w:after="0" w:line="18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any Loan, and of each Issuing Bank to issue, amend, renew or extend any Letter of Credit, is additionally subject to the satisfaction of the following conditions:</w:t>
      </w:r>
    </w:p>
    <w:p>
      <w:pPr>
        <w:spacing w:after="0" w:line="62" w:lineRule="exact"/>
        <w:rPr>
          <w:sz w:val="20"/>
          <w:szCs w:val="20"/>
          <w:color w:val="auto"/>
        </w:rPr>
      </w:pPr>
    </w:p>
    <w:p>
      <w:pPr>
        <w:ind w:right="380" w:firstLine="987"/>
        <w:spacing w:after="0" w:line="279" w:lineRule="auto"/>
        <w:tabs>
          <w:tab w:leader="none" w:pos="123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71" w:lineRule="exact"/>
        <w:rPr>
          <w:rFonts w:ascii="Arial" w:cs="Arial" w:eastAsia="Arial" w:hAnsi="Arial"/>
          <w:sz w:val="17"/>
          <w:szCs w:val="17"/>
          <w:color w:val="auto"/>
        </w:rPr>
      </w:pPr>
    </w:p>
    <w:p>
      <w:pPr>
        <w:ind w:right="400" w:firstLine="987"/>
        <w:spacing w:after="0" w:line="277" w:lineRule="auto"/>
        <w:tabs>
          <w:tab w:leader="none" w:pos="12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no Default shall have occurred and be continuing; and</w:t>
      </w:r>
    </w:p>
    <w:p>
      <w:pPr>
        <w:spacing w:after="0" w:line="170" w:lineRule="exact"/>
        <w:rPr>
          <w:rFonts w:ascii="Arial" w:cs="Arial" w:eastAsia="Arial" w:hAnsi="Arial"/>
          <w:sz w:val="18"/>
          <w:szCs w:val="18"/>
          <w:color w:val="auto"/>
        </w:rPr>
      </w:pPr>
    </w:p>
    <w:p>
      <w:pPr>
        <w:ind w:right="20" w:firstLine="987"/>
        <w:spacing w:after="0" w:line="275" w:lineRule="auto"/>
        <w:tabs>
          <w:tab w:leader="none" w:pos="123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76"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Each Borrowing (but, for the avoidance of doubt, not a continuation or conversion thereof) and each issuance, renewal or extension of a Letter of Credit shall be deemed to constitute a representation and warranty by the Borrower on the date thereof as to the matters specified in the preceding sentence.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Until the Commitments have expired or been terminated and the principal of and accrued interest on each Loan and all fees payable hereunder (other than Unasserted Contingent Obligations) shall have been paid in full and all Letters of Credit shall have expired, been terminated, Cash Collateralized or backstopped and all LC Disbursements shall have been reimbursed, the Borrower covenants and agrees with the Lenders that:</w:t>
      </w:r>
    </w:p>
    <w:p>
      <w:pPr>
        <w:spacing w:after="0" w:line="81"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03" w:name="page104"/>
    <w:bookmarkEnd w:id="103"/>
    <w:p>
      <w:pPr>
        <w:ind w:right="2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(for distribution to each Lender):</w:t>
      </w:r>
    </w:p>
    <w:p>
      <w:pPr>
        <w:spacing w:after="0" w:line="62" w:lineRule="exact"/>
        <w:rPr>
          <w:sz w:val="20"/>
          <w:szCs w:val="20"/>
          <w:color w:val="auto"/>
        </w:rPr>
      </w:pPr>
    </w:p>
    <w:p>
      <w:pPr>
        <w:ind w:right="20" w:firstLine="987"/>
        <w:spacing w:after="0" w:line="270" w:lineRule="auto"/>
        <w:tabs>
          <w:tab w:leader="none" w:pos="123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within 90 days after the end of each fiscal year of the Borrower (or such longer period permitted pursuant to any orders, declarations, laws, regulations or letters issued by the Securities and Exchange Commission or any other government or regulatory authority, not to exceed one hundred twenty (120) days after the end of each fiscal year of the Borrower), commencing with the fiscal year ending December 31, 2022,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(except as disclosed therein) consistently applied;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requirements set forth in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may be fulfilled by providing to the Administrative Agent the report of the Borrower to the SEC on Form 10-K for the applicable fiscal year;</w:t>
      </w:r>
    </w:p>
    <w:p>
      <w:pPr>
        <w:spacing w:after="0" w:line="72" w:lineRule="exact"/>
        <w:rPr>
          <w:rFonts w:ascii="Arial" w:cs="Arial" w:eastAsia="Arial" w:hAnsi="Arial"/>
          <w:sz w:val="17"/>
          <w:szCs w:val="17"/>
          <w:color w:val="auto"/>
        </w:rPr>
      </w:pPr>
    </w:p>
    <w:p>
      <w:pPr>
        <w:ind w:right="20" w:firstLine="987"/>
        <w:spacing w:after="0" w:line="288" w:lineRule="auto"/>
        <w:tabs>
          <w:tab w:leader="none" w:pos="124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within 45 days after the end of each of the first three fiscal quarters of each fiscal year of the Borrower (or such longer period permitted pursuant to any orders, declarations, laws, regulations or letters issued by the SEC or any other government or regulatory authority, not to exceed seventy-five (75) days after the end of each of the first three (3)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(except as disclosed therein) consistently applied, subject to normal year-end audit adjustments and the absence of footnotes;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may be fulfilled by providing to the Administrative Agent the report of the Borrower to the SEC on Form 10-Q for the applicable quarterly period;</w:t>
      </w:r>
    </w:p>
    <w:p>
      <w:pPr>
        <w:spacing w:after="0" w:line="60" w:lineRule="exact"/>
        <w:rPr>
          <w:rFonts w:ascii="Arial" w:cs="Arial" w:eastAsia="Arial" w:hAnsi="Arial"/>
          <w:sz w:val="16"/>
          <w:szCs w:val="16"/>
          <w:color w:val="auto"/>
        </w:rPr>
      </w:pPr>
    </w:p>
    <w:p>
      <w:pPr>
        <w:ind w:right="20" w:firstLine="987"/>
        <w:spacing w:after="0" w:line="273" w:lineRule="auto"/>
        <w:tabs>
          <w:tab w:leader="none" w:pos="123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concurrently with any delivery of financial statements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 certificate of a Financial Officer of the Borrower (i) certifying as to whether the Borrower has knowledge that a Default has occurred during the applicable period and, if a Default has occurred and is continuing, specifying the details thereof and any action taken or proposed to be taken with respect thereto, (ii) setting forth reasonably detailed calculations demonstrating compliance with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w:t>
      </w:r>
      <w:r>
        <w:rPr>
          <w:rFonts w:ascii="Arial" w:cs="Arial" w:eastAsia="Arial" w:hAnsi="Arial"/>
          <w:sz w:val="17"/>
          <w:szCs w:val="17"/>
          <w:u w:val="single" w:color="auto"/>
          <w:color w:val="auto"/>
        </w:rPr>
        <w:t>6.04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6.07</w:t>
      </w:r>
      <w:r>
        <w:rPr>
          <w:rFonts w:ascii="Arial" w:cs="Arial" w:eastAsia="Arial" w:hAnsi="Arial"/>
          <w:sz w:val="17"/>
          <w:szCs w:val="17"/>
          <w:color w:val="auto"/>
        </w:rPr>
        <w:t xml:space="preserve"> and (iii) stating whether any change in GAAP as applied by (or in the application of GAAP by) the Borrower has occurred since the Effective Date (but only if the Borrower has not previously reported such change to the Administrative Agent and if such change has had a material effect on the financial statements)</w:t>
      </w:r>
    </w:p>
    <w:p>
      <w:pPr>
        <w:spacing w:after="0" w:line="110"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04" w:name="page105"/>
    <w:bookmarkEnd w:id="104"/>
    <w:p>
      <w:pPr>
        <w:jc w:val="both"/>
        <w:ind w:right="4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if any such change has occurred, specifying the effect (unless such effect has been previously reported) as determined by the Borrower of such change on the financial statements accompanying such certificate;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requirements set forth in this clause (c)(iii) may be fulfilled by providing to the Administrative Agent the report of the Borrower to the SEC on Form 10-Q for the applicable quarterly period;</w:t>
      </w:r>
    </w:p>
    <w:p>
      <w:pPr>
        <w:spacing w:after="0" w:line="165" w:lineRule="exact"/>
        <w:rPr>
          <w:sz w:val="20"/>
          <w:szCs w:val="20"/>
          <w:color w:val="auto"/>
        </w:rPr>
      </w:pPr>
    </w:p>
    <w:p>
      <w:pPr>
        <w:ind w:right="60" w:firstLine="987"/>
        <w:spacing w:after="0" w:line="296" w:lineRule="auto"/>
        <w:tabs>
          <w:tab w:leader="none" w:pos="124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Arial" w:cs="Arial" w:eastAsia="Arial" w:hAnsi="Arial"/>
          <w:sz w:val="16"/>
          <w:szCs w:val="16"/>
          <w:u w:val="single" w:color="auto"/>
          <w:color w:val="auto"/>
        </w:rPr>
        <w:t>Section 6.05(d)</w:t>
      </w:r>
      <w:r>
        <w:rPr>
          <w:rFonts w:ascii="Arial" w:cs="Arial" w:eastAsia="Arial" w:hAnsi="Arial"/>
          <w:sz w:val="16"/>
          <w:szCs w:val="16"/>
          <w:color w:val="auto"/>
        </w:rPr>
        <w:t xml:space="preserve">, such Borrowing Base Certificate shall certify that the condition set forth in </w:t>
      </w:r>
      <w:r>
        <w:rPr>
          <w:rFonts w:ascii="Arial" w:cs="Arial" w:eastAsia="Arial" w:hAnsi="Arial"/>
          <w:sz w:val="16"/>
          <w:szCs w:val="16"/>
          <w:u w:val="single" w:color="auto"/>
          <w:color w:val="auto"/>
        </w:rPr>
        <w:t>Section 6.05(d)(x)</w:t>
      </w:r>
      <w:r>
        <w:rPr>
          <w:rFonts w:ascii="Arial" w:cs="Arial" w:eastAsia="Arial" w:hAnsi="Arial"/>
          <w:sz w:val="16"/>
          <w:szCs w:val="16"/>
          <w:color w:val="auto"/>
        </w:rPr>
        <w:t xml:space="preserve"> was satisfied on the date of each such Restricted Payment;</w:t>
      </w:r>
    </w:p>
    <w:p>
      <w:pPr>
        <w:spacing w:after="0" w:line="161" w:lineRule="exact"/>
        <w:rPr>
          <w:rFonts w:ascii="Arial" w:cs="Arial" w:eastAsia="Arial" w:hAnsi="Arial"/>
          <w:sz w:val="16"/>
          <w:szCs w:val="16"/>
          <w:color w:val="auto"/>
        </w:rPr>
      </w:pPr>
    </w:p>
    <w:p>
      <w:pPr>
        <w:ind w:right="180" w:firstLine="987"/>
        <w:spacing w:after="0" w:line="257" w:lineRule="auto"/>
        <w:tabs>
          <w:tab w:leader="none" w:pos="123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79" w:lineRule="exact"/>
        <w:rPr>
          <w:rFonts w:ascii="Arial" w:cs="Arial" w:eastAsia="Arial" w:hAnsi="Arial"/>
          <w:sz w:val="18"/>
          <w:szCs w:val="18"/>
          <w:color w:val="auto"/>
        </w:rPr>
      </w:pPr>
    </w:p>
    <w:p>
      <w:pPr>
        <w:ind w:right="260" w:firstLine="987"/>
        <w:spacing w:after="0" w:line="275" w:lineRule="auto"/>
        <w:tabs>
          <w:tab w:leader="none" w:pos="121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promptly upon receipt thereof copies of all significant written reports submitted to management or the board of directors of the Borrower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 to management or the board of directors of the Borrower (other than the periodic reports that the Borrower’s independent auditors provide, in the ordinary course, to the audit committee of the Borrower’s board of directors);</w:t>
      </w:r>
    </w:p>
    <w:p>
      <w:pPr>
        <w:spacing w:after="0" w:line="176" w:lineRule="exact"/>
        <w:rPr>
          <w:rFonts w:ascii="Arial" w:cs="Arial" w:eastAsia="Arial" w:hAnsi="Arial"/>
          <w:sz w:val="17"/>
          <w:szCs w:val="17"/>
          <w:color w:val="auto"/>
        </w:rPr>
      </w:pPr>
    </w:p>
    <w:p>
      <w:pPr>
        <w:jc w:val="both"/>
        <w:ind w:right="140" w:firstLine="987"/>
        <w:spacing w:after="0" w:line="286" w:lineRule="auto"/>
        <w:tabs>
          <w:tab w:leader="none" w:pos="124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65" w:lineRule="exact"/>
        <w:rPr>
          <w:rFonts w:ascii="Arial" w:cs="Arial" w:eastAsia="Arial" w:hAnsi="Arial"/>
          <w:sz w:val="17"/>
          <w:szCs w:val="17"/>
          <w:color w:val="auto"/>
        </w:rPr>
      </w:pPr>
    </w:p>
    <w:p>
      <w:pPr>
        <w:ind w:firstLine="987"/>
        <w:spacing w:after="0" w:line="263" w:lineRule="auto"/>
        <w:tabs>
          <w:tab w:leader="none" w:pos="12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(acting through the Administrative Agent) may reasonably request.</w:t>
      </w:r>
    </w:p>
    <w:p>
      <w:pPr>
        <w:spacing w:after="0" w:line="116"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05" w:name="page106"/>
    <w:bookmarkEnd w:id="105"/>
    <w:p>
      <w:pPr>
        <w:ind w:right="60" w:firstLine="987"/>
        <w:spacing w:after="0" w:line="290" w:lineRule="auto"/>
        <w:tabs>
          <w:tab w:leader="none" w:pos="1206" w:val="left"/>
        </w:tabs>
        <w:numPr>
          <w:ilvl w:val="0"/>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and each Lender acknowledge that certain of the Lenders may be Public Lenders and, if documents or notices required to be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otherwise are being distributed through IntraLinks/IntraAgency, SyndTrak or another relevant website or other information platform (the “</w:t>
      </w:r>
      <w:r>
        <w:rPr>
          <w:rFonts w:ascii="Arial" w:cs="Arial" w:eastAsia="Arial" w:hAnsi="Arial"/>
          <w:sz w:val="16"/>
          <w:szCs w:val="16"/>
          <w:u w:val="single" w:color="auto"/>
          <w:color w:val="auto"/>
        </w:rPr>
        <w:t>Platform</w:t>
      </w:r>
      <w:r>
        <w:rPr>
          <w:rFonts w:ascii="Arial" w:cs="Arial" w:eastAsia="Arial" w:hAnsi="Arial"/>
          <w:sz w:val="16"/>
          <w:szCs w:val="16"/>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this Agreement).</w:t>
      </w:r>
    </w:p>
    <w:p>
      <w:pPr>
        <w:spacing w:after="0" w:line="165" w:lineRule="exact"/>
        <w:rPr>
          <w:rFonts w:ascii="Arial" w:cs="Arial" w:eastAsia="Arial" w:hAnsi="Arial"/>
          <w:sz w:val="16"/>
          <w:szCs w:val="16"/>
          <w:color w:val="auto"/>
        </w:rPr>
      </w:pPr>
    </w:p>
    <w:p>
      <w:pPr>
        <w:ind w:right="140" w:firstLine="987"/>
        <w:spacing w:after="0" w:line="286" w:lineRule="auto"/>
        <w:tabs>
          <w:tab w:leader="none" w:pos="120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the requirements to deliver documents set forth in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will be fulfilled by filing by the Borrower of the applicable documents for public availability on the SEC’s Electronic Data Gathering and Retrieval system; </w:t>
      </w:r>
      <w:r>
        <w:rPr>
          <w:rFonts w:ascii="Arial" w:cs="Arial" w:eastAsia="Arial" w:hAnsi="Arial"/>
          <w:sz w:val="17"/>
          <w:szCs w:val="17"/>
          <w:u w:val="single" w:color="auto"/>
          <w:color w:val="auto"/>
        </w:rPr>
        <w:t>provided</w:t>
      </w:r>
      <w:r>
        <w:rPr>
          <w:rFonts w:ascii="Arial" w:cs="Arial" w:eastAsia="Arial" w:hAnsi="Arial"/>
          <w:sz w:val="17"/>
          <w:szCs w:val="17"/>
          <w:color w:val="auto"/>
        </w:rPr>
        <w:t>, that the Borrower shall notify the Administrative Agent (by telecopier or electronic mail) of the posting of any such documents.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 The Borrower will furnish to the Administrative Agent (for distribution to each Lender)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prompt written notice upon any Responsible Officer obtaining knowledge of the following:</w:t>
      </w:r>
    </w:p>
    <w:p>
      <w:pPr>
        <w:spacing w:after="0" w:line="103" w:lineRule="exact"/>
        <w:rPr>
          <w:sz w:val="20"/>
          <w:szCs w:val="20"/>
          <w:color w:val="auto"/>
        </w:rPr>
      </w:pPr>
    </w:p>
    <w:p>
      <w:pPr>
        <w:ind w:left="1240" w:hanging="253"/>
        <w:spacing w:after="0"/>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right="600" w:firstLine="987"/>
        <w:spacing w:after="0" w:line="342" w:lineRule="auto"/>
        <w:tabs>
          <w:tab w:leader="none" w:pos="124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filing or commencement of any action, suit or proceeding by or before any arbitrator or Governmental Authority against the Borrower or any of its Subsidiaries that, if adversely determined, would reasonably be expected to result in a Material Adverse Effect;</w:t>
      </w:r>
    </w:p>
    <w:p>
      <w:pPr>
        <w:spacing w:after="0" w:line="123" w:lineRule="exact"/>
        <w:rPr>
          <w:rFonts w:ascii="Arial" w:cs="Arial" w:eastAsia="Arial" w:hAnsi="Arial"/>
          <w:sz w:val="16"/>
          <w:szCs w:val="16"/>
          <w:color w:val="auto"/>
        </w:rPr>
      </w:pPr>
    </w:p>
    <w:p>
      <w:pPr>
        <w:ind w:right="260" w:firstLine="987"/>
        <w:spacing w:after="0" w:line="342" w:lineRule="auto"/>
        <w:tabs>
          <w:tab w:leader="none" w:pos="123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occurrence of any ERISA Event that, alone or together with any other ERISA Events that have occurred after the Effective Date, would reasonably be expected to result in liability of the Borrower and its Subsidiaries in an aggregate amount exceeding $50,000,000; and</w:t>
      </w:r>
    </w:p>
    <w:p>
      <w:pPr>
        <w:spacing w:after="0" w:line="123" w:lineRule="exact"/>
        <w:rPr>
          <w:rFonts w:ascii="Arial" w:cs="Arial" w:eastAsia="Arial" w:hAnsi="Arial"/>
          <w:sz w:val="16"/>
          <w:szCs w:val="16"/>
          <w:color w:val="auto"/>
        </w:rPr>
      </w:pPr>
    </w:p>
    <w:p>
      <w:pPr>
        <w:ind w:right="580" w:firstLine="987"/>
        <w:spacing w:after="0" w:line="263" w:lineRule="auto"/>
        <w:tabs>
          <w:tab w:leader="none" w:pos="12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other development (excluding matters of a general economic, financial or political nature to the extent that they could not reasonably be expected to have a disproportionate effect on the Borrower) that results in, or would reasonably be expected to result in, a Material Adverse Effect.</w:t>
      </w:r>
    </w:p>
    <w:p>
      <w:pPr>
        <w:spacing w:after="0" w:line="184"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24" w:lineRule="exact"/>
        <w:rPr>
          <w:sz w:val="20"/>
          <w:szCs w:val="20"/>
          <w:color w:val="auto"/>
        </w:rPr>
      </w:pPr>
    </w:p>
    <w:p>
      <w:pPr>
        <w:ind w:right="620" w:firstLine="991"/>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not prohibited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19"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06" w:name="page107"/>
    <w:bookmarkEnd w:id="106"/>
    <w:p>
      <w:pPr>
        <w:ind w:right="2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61" w:lineRule="exact"/>
        <w:rPr>
          <w:sz w:val="20"/>
          <w:szCs w:val="20"/>
          <w:color w:val="auto"/>
        </w:rPr>
      </w:pPr>
    </w:p>
    <w:p>
      <w:pPr>
        <w:jc w:val="both"/>
        <w:ind w:right="160" w:firstLine="991"/>
        <w:spacing w:after="0" w:line="273"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 The Borrower will, and will cause each of its Subsidiaries (other than Immaterial Subsidiaries) to, (a) keep and maintain all property material to the conduct of its business in good working order and condition, ordinary wear and tear excepted except where failure to keep or maintain would not reasonably be expected to result in a Material Adverse Effect; provided that the foregoing shall not prohibit any merger, consolidation, liquidation or dissolution not prohibited under Section 6.03,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8"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Books and Records; Inspection and Audit Rights</w:t>
      </w:r>
      <w:r>
        <w:rPr>
          <w:rFonts w:ascii="Arial" w:cs="Arial" w:eastAsia="Arial" w:hAnsi="Arial"/>
          <w:sz w:val="17"/>
          <w:szCs w:val="17"/>
          <w:color w:val="auto"/>
        </w:rPr>
        <w:t xml:space="preserve">. The Borrower will, and will cause each of its Subsidiaries to, keep books of record and account in accordance with GAAP in all material respects. The Borrower will, and will cause each other Obligor to, permit any representatives designated by the Administrative Agent or any Lender, upon reasonable prior notice, to visit and inspect its properties during business hours, to examine and make extracts from its books and records (but only to the extent the Borrower is not prohibited from disclosing such information or providing access to such information pursuant to applicable law or an agreement any Obligor entered into with a third party in the ordinary course of its business),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82"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25" w:lineRule="exact"/>
        <w:rPr>
          <w:sz w:val="20"/>
          <w:szCs w:val="20"/>
          <w:color w:val="auto"/>
        </w:rPr>
      </w:pPr>
    </w:p>
    <w:p>
      <w:pPr>
        <w:jc w:val="both"/>
        <w:ind w:left="5660"/>
        <w:spacing w:after="0"/>
        <w:tabs>
          <w:tab w:leader="none" w:pos="89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5.08. Certain Obligations Respecting Subsidiaries; Further Assurances.</w:t>
      </w:r>
    </w:p>
    <w:p>
      <w:pPr>
        <w:spacing w:after="0" w:line="225" w:lineRule="exact"/>
        <w:rPr>
          <w:sz w:val="20"/>
          <w:szCs w:val="20"/>
          <w:color w:val="auto"/>
        </w:rPr>
      </w:pPr>
    </w:p>
    <w:p>
      <w:pPr>
        <w:ind w:left="-980" w:firstLine="987"/>
        <w:spacing w:after="0" w:line="255" w:lineRule="auto"/>
        <w:tabs>
          <w:tab w:leader="none" w:pos="256"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Subsidiary Guarantors</w:t>
      </w:r>
      <w:r>
        <w:rPr>
          <w:rFonts w:ascii="Arial" w:cs="Arial" w:eastAsia="Arial" w:hAnsi="Arial"/>
          <w:sz w:val="18"/>
          <w:szCs w:val="18"/>
          <w:color w:val="auto"/>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(unless waived by the Administrative Agent) and other documents as is consistent with those delivered by the Borrower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upon the Effective Date or as the Administrative Agent shall have reasonably requested.</w:t>
      </w:r>
    </w:p>
    <w:p>
      <w:pPr>
        <w:spacing w:after="0" w:line="192" w:lineRule="exact"/>
        <w:rPr>
          <w:rFonts w:ascii="Arial" w:cs="Arial" w:eastAsia="Arial" w:hAnsi="Arial"/>
          <w:sz w:val="18"/>
          <w:szCs w:val="18"/>
          <w:color w:val="auto"/>
        </w:rPr>
      </w:pPr>
    </w:p>
    <w:p>
      <w:pPr>
        <w:ind w:left="-980" w:right="80" w:firstLine="987"/>
        <w:spacing w:after="0" w:line="277" w:lineRule="auto"/>
        <w:tabs>
          <w:tab w:leader="none" w:pos="266"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 The Borrower will, and will cause each of its Subsidiaries to, take such action from time to time as shall be necessary to ensure that each of its Subsidiaries is a wholly owned Subsidiary.</w:t>
      </w:r>
    </w:p>
    <w:p>
      <w:pPr>
        <w:spacing w:after="0" w:line="170" w:lineRule="exact"/>
        <w:rPr>
          <w:rFonts w:ascii="Arial" w:cs="Arial" w:eastAsia="Arial" w:hAnsi="Arial"/>
          <w:sz w:val="18"/>
          <w:szCs w:val="18"/>
          <w:color w:val="auto"/>
        </w:rPr>
      </w:pPr>
    </w:p>
    <w:p>
      <w:pPr>
        <w:ind w:left="-980" w:right="20" w:firstLine="987"/>
        <w:spacing w:after="0" w:line="284" w:lineRule="auto"/>
        <w:tabs>
          <w:tab w:leader="none" w:pos="256"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security interest or Lien shall be subject to the relevant requirements of the Security Documents, (ii) in the case of any Portfolio Investment consisting of a Bank Loan (as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if an Event of Default has occurred and is continuing,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14" w:lineRule="exact"/>
        <w:rPr>
          <w:sz w:val="20"/>
          <w:szCs w:val="20"/>
          <w:color w:val="auto"/>
        </w:rPr>
      </w:pPr>
    </w:p>
    <w:p>
      <w:pPr>
        <w:jc w:val="both"/>
        <w:ind w:left="4680"/>
        <w:spacing w:after="0"/>
        <w:tabs>
          <w:tab w:leader="none" w:pos="798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108" w:name="page109"/>
    <w:bookmarkEnd w:id="108"/>
    <w:p>
      <w:pPr>
        <w:ind w:left="4" w:right="2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5.09.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Administrative Agent nor any Lender shall have any responsibility as to the use of any of such proceeds. No part of the proceeds of any Loan will be used in violation of</w:t>
      </w:r>
    </w:p>
    <w:p>
      <w:pPr>
        <w:spacing w:after="0" w:line="1" w:lineRule="exact"/>
        <w:rPr>
          <w:sz w:val="20"/>
          <w:szCs w:val="20"/>
          <w:color w:val="auto"/>
        </w:rPr>
      </w:pPr>
    </w:p>
    <w:p>
      <w:pPr>
        <w:ind w:left="244" w:hanging="244"/>
        <w:spacing w:after="0"/>
        <w:tabs>
          <w:tab w:leader="none" w:pos="24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applicable law or, directly or indirectly, for the purpose, whether immediate, incidental or ultimate, of buying or carrying any Margin Stock or</w:t>
      </w:r>
    </w:p>
    <w:p>
      <w:pPr>
        <w:spacing w:after="0" w:line="20" w:lineRule="exact"/>
        <w:rPr>
          <w:rFonts w:ascii="Arial" w:cs="Arial" w:eastAsia="Arial" w:hAnsi="Arial"/>
          <w:sz w:val="17"/>
          <w:szCs w:val="17"/>
          <w:color w:val="auto"/>
        </w:rPr>
      </w:pPr>
    </w:p>
    <w:p>
      <w:pPr>
        <w:ind w:left="4" w:right="220" w:hanging="4"/>
        <w:spacing w:after="0" w:line="260" w:lineRule="auto"/>
        <w:tabs>
          <w:tab w:leader="none" w:pos="259"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Section 3.16</w:t>
      </w:r>
      <w:r>
        <w:rPr>
          <w:rFonts w:ascii="Arial" w:cs="Arial" w:eastAsia="Arial" w:hAnsi="Arial"/>
          <w:sz w:val="18"/>
          <w:szCs w:val="18"/>
          <w:color w:val="auto"/>
        </w:rPr>
        <w:t>. Margin Stock shall be purchased by the Obligors only with the proceeds of Indebtedness not directly or indirectly secured by Margin Stock, or with the proceeds of equity capital of the Borrower.</w:t>
      </w:r>
    </w:p>
    <w:p>
      <w:pPr>
        <w:spacing w:after="0" w:line="185" w:lineRule="exact"/>
        <w:rPr>
          <w:sz w:val="20"/>
          <w:szCs w:val="20"/>
          <w:color w:val="auto"/>
        </w:rPr>
      </w:pPr>
    </w:p>
    <w:p>
      <w:pPr>
        <w:ind w:left="4" w:right="660" w:firstLine="991"/>
        <w:spacing w:after="0" w:line="308"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Status of RIC and BDC</w:t>
      </w:r>
      <w:r>
        <w:rPr>
          <w:rFonts w:ascii="Arial" w:cs="Arial" w:eastAsia="Arial" w:hAnsi="Arial"/>
          <w:sz w:val="17"/>
          <w:szCs w:val="17"/>
          <w:color w:val="auto"/>
        </w:rPr>
        <w:t>. The Borrower shall at all times, subject to applicable grace periods set forth in the Code, maintain its status as a RIC under the Code, and as a “business development company” under the Investment Company Act.</w:t>
      </w:r>
    </w:p>
    <w:p>
      <w:pPr>
        <w:spacing w:after="0" w:line="146"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Investment Policies</w:t>
      </w:r>
      <w:r>
        <w:rPr>
          <w:rFonts w:ascii="Arial" w:cs="Arial" w:eastAsia="Arial" w:hAnsi="Arial"/>
          <w:sz w:val="18"/>
          <w:szCs w:val="18"/>
          <w:color w:val="auto"/>
        </w:rPr>
        <w:t>. The Borrower shall at all times be in compliance in all material respects with its Investment Policies (after giving effect to any Permitted Policy Amendments).</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Portfolio Valuation and Diversification Etc</w:t>
      </w:r>
      <w:r>
        <w:rPr>
          <w:rFonts w:ascii="Arial" w:cs="Arial" w:eastAsia="Arial" w:hAnsi="Arial"/>
          <w:sz w:val="18"/>
          <w:szCs w:val="18"/>
          <w:color w:val="auto"/>
        </w:rPr>
        <w:t>.</w:t>
      </w:r>
    </w:p>
    <w:p>
      <w:pPr>
        <w:spacing w:after="0" w:line="225" w:lineRule="exact"/>
        <w:rPr>
          <w:sz w:val="20"/>
          <w:szCs w:val="20"/>
          <w:color w:val="auto"/>
        </w:rPr>
      </w:pPr>
    </w:p>
    <w:p>
      <w:pPr>
        <w:ind w:left="4" w:right="140" w:firstLine="987"/>
        <w:spacing w:after="0" w:line="275" w:lineRule="auto"/>
        <w:tabs>
          <w:tab w:leader="none" w:pos="124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Industry Classification Groups</w:t>
      </w:r>
      <w:r>
        <w:rPr>
          <w:rFonts w:ascii="Arial" w:cs="Arial" w:eastAsia="Arial" w:hAnsi="Arial"/>
          <w:sz w:val="17"/>
          <w:szCs w:val="17"/>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76" w:lineRule="exact"/>
        <w:rPr>
          <w:rFonts w:ascii="Arial" w:cs="Arial" w:eastAsia="Arial" w:hAnsi="Arial"/>
          <w:sz w:val="17"/>
          <w:szCs w:val="17"/>
          <w:color w:val="auto"/>
        </w:rPr>
      </w:pPr>
    </w:p>
    <w:p>
      <w:pPr>
        <w:ind w:left="1244" w:hanging="253"/>
        <w:spacing w:after="0"/>
        <w:tabs>
          <w:tab w:leader="none" w:pos="12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Portfolio Valuation Etc.</w:t>
      </w:r>
    </w:p>
    <w:p>
      <w:pPr>
        <w:spacing w:after="0" w:line="117" w:lineRule="exact"/>
        <w:rPr>
          <w:rFonts w:ascii="Arial" w:cs="Arial" w:eastAsia="Arial" w:hAnsi="Arial"/>
          <w:sz w:val="18"/>
          <w:szCs w:val="18"/>
          <w:color w:val="auto"/>
        </w:rPr>
      </w:pPr>
    </w:p>
    <w:p>
      <w:pPr>
        <w:ind w:left="444" w:right="140" w:firstLine="948"/>
        <w:spacing w:after="0" w:line="257" w:lineRule="auto"/>
        <w:tabs>
          <w:tab w:leader="none" w:pos="1611"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Settlement Date Basis</w:t>
      </w:r>
      <w:r>
        <w:rPr>
          <w:rFonts w:ascii="Arial" w:cs="Arial" w:eastAsia="Arial" w:hAnsi="Arial"/>
          <w:sz w:val="18"/>
          <w:szCs w:val="18"/>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investment shall be included as a Portfolio Investment to the extent it has not been paid for in full.</w:t>
      </w:r>
    </w:p>
    <w:p>
      <w:pPr>
        <w:spacing w:after="0" w:line="120"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09" w:name="page110"/>
    <w:bookmarkEnd w:id="109"/>
    <w:p>
      <w:pPr>
        <w:ind w:left="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(ii) </w:t>
      </w:r>
      <w:r>
        <w:rPr>
          <w:rFonts w:ascii="Arial" w:cs="Arial" w:eastAsia="Arial" w:hAnsi="Arial"/>
          <w:sz w:val="16"/>
          <w:szCs w:val="16"/>
          <w:u w:val="single" w:color="auto"/>
          <w:color w:val="auto"/>
        </w:rPr>
        <w:t>Determination of Values</w:t>
      </w:r>
      <w:r>
        <w:rPr>
          <w:rFonts w:ascii="Arial" w:cs="Arial" w:eastAsia="Arial" w:hAnsi="Arial"/>
          <w:sz w:val="16"/>
          <w:szCs w:val="16"/>
          <w:color w:val="auto"/>
        </w:rPr>
        <w:t>. The Borrower will conduct reviews of the value to be assigned to each of its Portfolio Investments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540" w:right="60" w:firstLine="910"/>
        <w:spacing w:after="0" w:line="259" w:lineRule="auto"/>
        <w:tabs>
          <w:tab w:leader="none" w:pos="1737"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Quoted Investments—External Review</w:t>
      </w:r>
      <w:r>
        <w:rPr>
          <w:rFonts w:ascii="Arial" w:cs="Arial" w:eastAsia="Arial" w:hAnsi="Arial"/>
          <w:sz w:val="18"/>
          <w:szCs w:val="18"/>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78" w:lineRule="exact"/>
        <w:rPr>
          <w:rFonts w:ascii="Arial" w:cs="Arial" w:eastAsia="Arial" w:hAnsi="Arial"/>
          <w:sz w:val="18"/>
          <w:szCs w:val="18"/>
          <w:color w:val="auto"/>
        </w:rPr>
      </w:pPr>
    </w:p>
    <w:p>
      <w:pPr>
        <w:ind w:left="980" w:right="80" w:firstLine="391"/>
        <w:spacing w:after="0" w:line="277" w:lineRule="auto"/>
        <w:tabs>
          <w:tab w:leader="none" w:pos="165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case of public and 144A securities, the average of the bid prices as determined by two Approved Dealers selected by the Borrower,</w:t>
      </w:r>
    </w:p>
    <w:p>
      <w:pPr>
        <w:spacing w:after="0" w:line="62" w:lineRule="exact"/>
        <w:rPr>
          <w:rFonts w:ascii="Arial" w:cs="Arial" w:eastAsia="Arial" w:hAnsi="Arial"/>
          <w:sz w:val="18"/>
          <w:szCs w:val="18"/>
          <w:color w:val="auto"/>
        </w:rPr>
      </w:pPr>
    </w:p>
    <w:p>
      <w:pPr>
        <w:ind w:left="1620" w:hanging="249"/>
        <w:spacing w:after="0"/>
        <w:tabs>
          <w:tab w:leader="none" w:pos="16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case of bank loans, the bid price as determined by one Approved Dealer selected by the Borrower,</w:t>
      </w:r>
    </w:p>
    <w:p>
      <w:pPr>
        <w:spacing w:after="0" w:line="117" w:lineRule="exact"/>
        <w:rPr>
          <w:rFonts w:ascii="Arial" w:cs="Arial" w:eastAsia="Arial" w:hAnsi="Arial"/>
          <w:sz w:val="18"/>
          <w:szCs w:val="18"/>
          <w:color w:val="auto"/>
        </w:rPr>
      </w:pPr>
    </w:p>
    <w:p>
      <w:pPr>
        <w:ind w:left="980" w:right="40" w:firstLine="391"/>
        <w:spacing w:after="0" w:line="277" w:lineRule="auto"/>
        <w:tabs>
          <w:tab w:leader="none" w:pos="161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case of any Portfolio Investment traded on an exchange, the closing price for such Portfolio Investment most recently posted on such exchange, and</w:t>
      </w:r>
    </w:p>
    <w:p>
      <w:pPr>
        <w:spacing w:after="0" w:line="62" w:lineRule="exact"/>
        <w:rPr>
          <w:rFonts w:ascii="Arial" w:cs="Arial" w:eastAsia="Arial" w:hAnsi="Arial"/>
          <w:sz w:val="18"/>
          <w:szCs w:val="18"/>
          <w:color w:val="auto"/>
        </w:rPr>
      </w:pPr>
    </w:p>
    <w:p>
      <w:pPr>
        <w:ind w:left="980" w:right="220" w:firstLine="391"/>
        <w:spacing w:after="0" w:line="277" w:lineRule="auto"/>
        <w:tabs>
          <w:tab w:leader="none" w:pos="16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case of any other Portfolio Investment, the fair market value thereof as determined by an Approved Pricing Service selected by the Borrower; and</w:t>
      </w:r>
    </w:p>
    <w:p>
      <w:pPr>
        <w:spacing w:after="0" w:line="62" w:lineRule="exact"/>
        <w:rPr>
          <w:rFonts w:ascii="Arial" w:cs="Arial" w:eastAsia="Arial" w:hAnsi="Arial"/>
          <w:sz w:val="18"/>
          <w:szCs w:val="18"/>
          <w:color w:val="auto"/>
        </w:rPr>
      </w:pPr>
    </w:p>
    <w:p>
      <w:pPr>
        <w:ind w:left="540" w:right="80" w:firstLine="910"/>
        <w:spacing w:after="0" w:line="257" w:lineRule="auto"/>
        <w:tabs>
          <w:tab w:leader="none" w:pos="1727"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Unquoted Investments- External Review</w:t>
      </w:r>
      <w:r>
        <w:rPr>
          <w:rFonts w:ascii="Arial" w:cs="Arial" w:eastAsia="Arial" w:hAnsi="Arial"/>
          <w:sz w:val="18"/>
          <w:szCs w:val="18"/>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0" w:lineRule="exact"/>
        <w:rPr>
          <w:sz w:val="20"/>
          <w:szCs w:val="20"/>
          <w:color w:val="auto"/>
        </w:rPr>
      </w:pPr>
    </w:p>
    <w:p>
      <w:pPr>
        <w:ind w:left="980" w:right="220" w:firstLine="391"/>
        <w:spacing w:after="0" w:line="259" w:lineRule="auto"/>
        <w:tabs>
          <w:tab w:leader="none" w:pos="16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as at the last day of the next succeeding Testing Quarter with respect to such Portfolio Investment;</w:t>
      </w:r>
    </w:p>
    <w:p>
      <w:pPr>
        <w:spacing w:after="0" w:line="78" w:lineRule="exact"/>
        <w:rPr>
          <w:rFonts w:ascii="Arial" w:cs="Arial" w:eastAsia="Arial" w:hAnsi="Arial"/>
          <w:sz w:val="18"/>
          <w:szCs w:val="18"/>
          <w:color w:val="auto"/>
        </w:rPr>
      </w:pPr>
    </w:p>
    <w:p>
      <w:pPr>
        <w:ind w:left="980" w:right="100" w:firstLine="391"/>
        <w:spacing w:after="0" w:line="257" w:lineRule="auto"/>
        <w:tabs>
          <w:tab w:leader="none" w:pos="161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w:t>
      </w:r>
    </w:p>
    <w:p>
      <w:pPr>
        <w:spacing w:after="0" w:line="120" w:lineRule="exact"/>
        <w:rPr>
          <w:sz w:val="20"/>
          <w:szCs w:val="20"/>
          <w:color w:val="auto"/>
        </w:rPr>
      </w:pPr>
    </w:p>
    <w:p>
      <w:pPr>
        <w:jc w:val="both"/>
        <w:ind w:left="5160"/>
        <w:spacing w:after="0"/>
        <w:tabs>
          <w:tab w:leader="none" w:pos="8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80"/>
          </w:cols>
          <w:pgMar w:left="880" w:top="274" w:right="439" w:bottom="1440" w:gutter="0" w:footer="0" w:header="0"/>
        </w:sectPr>
      </w:pPr>
    </w:p>
    <w:bookmarkStart w:id="110" w:name="page111"/>
    <w:bookmarkEnd w:id="110"/>
    <w:p>
      <w:pPr>
        <w:ind w:left="433"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79" w:lineRule="exact"/>
        <w:rPr>
          <w:sz w:val="20"/>
          <w:szCs w:val="20"/>
          <w:color w:val="auto"/>
        </w:rPr>
      </w:pPr>
    </w:p>
    <w:p>
      <w:pPr>
        <w:ind w:left="433" w:right="140" w:firstLine="391"/>
        <w:spacing w:after="0" w:line="308" w:lineRule="auto"/>
        <w:tabs>
          <w:tab w:leader="none" w:pos="1061" w:val="left"/>
        </w:tabs>
        <w:numPr>
          <w:ilvl w:val="1"/>
          <w:numId w:val="144"/>
        </w:numPr>
        <w:rPr>
          <w:rFonts w:ascii="Arial" w:cs="Arial" w:eastAsia="Arial" w:hAnsi="Arial"/>
          <w:sz w:val="17"/>
          <w:szCs w:val="17"/>
          <w:color w:val="auto"/>
        </w:rPr>
      </w:pPr>
      <w:r>
        <w:rPr>
          <w:rFonts w:ascii="Arial" w:cs="Arial" w:eastAsia="Arial" w:hAnsi="Arial"/>
          <w:sz w:val="17"/>
          <w:szCs w:val="17"/>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38" w:lineRule="exact"/>
        <w:rPr>
          <w:rFonts w:ascii="Arial" w:cs="Arial" w:eastAsia="Arial" w:hAnsi="Arial"/>
          <w:sz w:val="17"/>
          <w:szCs w:val="17"/>
          <w:color w:val="auto"/>
        </w:rPr>
      </w:pPr>
    </w:p>
    <w:p>
      <w:pPr>
        <w:ind w:left="-7" w:right="160" w:firstLine="910"/>
        <w:spacing w:after="0" w:line="286" w:lineRule="auto"/>
        <w:tabs>
          <w:tab w:leader="none" w:pos="1180" w:val="left"/>
        </w:tabs>
        <w:numPr>
          <w:ilvl w:val="2"/>
          <w:numId w:val="144"/>
        </w:numPr>
        <w:rPr>
          <w:rFonts w:ascii="Arial" w:cs="Arial" w:eastAsia="Arial" w:hAnsi="Arial"/>
          <w:sz w:val="16"/>
          <w:szCs w:val="16"/>
          <w:color w:val="auto"/>
        </w:rPr>
      </w:pPr>
      <w:r>
        <w:rPr>
          <w:rFonts w:ascii="Arial" w:cs="Arial" w:eastAsia="Arial" w:hAnsi="Arial"/>
          <w:sz w:val="16"/>
          <w:szCs w:val="16"/>
          <w:u w:val="single" w:color="auto"/>
          <w:color w:val="auto"/>
        </w:rPr>
        <w:t>Internal Review</w:t>
      </w:r>
      <w:r>
        <w:rPr>
          <w:rFonts w:ascii="Arial" w:cs="Arial" w:eastAsia="Arial" w:hAnsi="Arial"/>
          <w:sz w:val="16"/>
          <w:szCs w:val="16"/>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Arial" w:cs="Arial" w:eastAsia="Arial" w:hAnsi="Arial"/>
          <w:sz w:val="16"/>
          <w:szCs w:val="16"/>
          <w:u w:val="single" w:color="auto"/>
          <w:color w:val="auto"/>
        </w:rPr>
        <w:t>Section 5.12(b)(ii)(C)</w:t>
      </w:r>
      <w:r>
        <w:rPr>
          <w:rFonts w:ascii="Arial" w:cs="Arial" w:eastAsia="Arial" w:hAnsi="Arial"/>
          <w:sz w:val="16"/>
          <w:szCs w:val="16"/>
          <w:color w:val="auto"/>
        </w:rPr>
        <w:t xml:space="preserve"> is lower than the value of such Portfolio Investment as most recently determined pursuant to </w:t>
      </w:r>
      <w:r>
        <w:rPr>
          <w:rFonts w:ascii="Arial" w:cs="Arial" w:eastAsia="Arial" w:hAnsi="Arial"/>
          <w:sz w:val="16"/>
          <w:szCs w:val="16"/>
          <w:u w:val="single" w:color="auto"/>
          <w:color w:val="auto"/>
        </w:rPr>
        <w:t>Section 5.12(b)(ii)</w:t>
      </w:r>
    </w:p>
    <w:p>
      <w:pPr>
        <w:spacing w:after="0" w:line="1" w:lineRule="exact"/>
        <w:rPr>
          <w:rFonts w:ascii="Arial" w:cs="Arial" w:eastAsia="Arial" w:hAnsi="Arial"/>
          <w:sz w:val="16"/>
          <w:szCs w:val="16"/>
          <w:color w:val="auto"/>
        </w:rPr>
      </w:pPr>
    </w:p>
    <w:p>
      <w:pPr>
        <w:ind w:left="-7" w:right="80" w:firstLine="7"/>
        <w:spacing w:after="0" w:line="292" w:lineRule="auto"/>
        <w:tabs>
          <w:tab w:leader="none" w:pos="287" w:val="left"/>
        </w:tabs>
        <w:numPr>
          <w:ilvl w:val="0"/>
          <w:numId w:val="145"/>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such lower value shall be deemed to be the “Value” of such Portfolio Investment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54" w:lineRule="exact"/>
        <w:rPr>
          <w:rFonts w:ascii="Arial" w:cs="Arial" w:eastAsia="Arial" w:hAnsi="Arial"/>
          <w:sz w:val="16"/>
          <w:szCs w:val="16"/>
          <w:u w:val="single" w:color="auto"/>
          <w:color w:val="auto"/>
        </w:rPr>
      </w:pPr>
    </w:p>
    <w:p>
      <w:pPr>
        <w:ind w:left="-7" w:right="240" w:firstLine="910"/>
        <w:spacing w:after="0" w:line="263" w:lineRule="auto"/>
        <w:tabs>
          <w:tab w:leader="none" w:pos="1189" w:val="left"/>
        </w:tabs>
        <w:numPr>
          <w:ilvl w:val="2"/>
          <w:numId w:val="145"/>
        </w:numPr>
        <w:rPr>
          <w:rFonts w:ascii="Arial" w:cs="Arial" w:eastAsia="Arial" w:hAnsi="Arial"/>
          <w:sz w:val="18"/>
          <w:szCs w:val="18"/>
          <w:color w:val="auto"/>
        </w:rPr>
      </w:pPr>
      <w:r>
        <w:rPr>
          <w:rFonts w:ascii="Arial" w:cs="Arial" w:eastAsia="Arial" w:hAnsi="Arial"/>
          <w:sz w:val="18"/>
          <w:szCs w:val="18"/>
          <w:u w:val="single" w:color="auto"/>
          <w:color w:val="auto"/>
        </w:rPr>
        <w:t>Failure to Determine Values</w:t>
      </w:r>
      <w:r>
        <w:rPr>
          <w:rFonts w:ascii="Arial" w:cs="Arial" w:eastAsia="Arial" w:hAnsi="Arial"/>
          <w:sz w:val="18"/>
          <w:szCs w:val="18"/>
          <w:color w:val="auto"/>
        </w:rPr>
        <w:t xml:space="preserve">. If the Borrower shall fail to determine the value of any Portfolio Investment as at any date pursuant to the requirements of the foregoing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then the “Value” of such Portfolio Investment as at such date shall be deemed to be zero.</w:t>
      </w:r>
    </w:p>
    <w:p>
      <w:pPr>
        <w:spacing w:after="0" w:line="75" w:lineRule="exact"/>
        <w:rPr>
          <w:rFonts w:ascii="Arial" w:cs="Arial" w:eastAsia="Arial" w:hAnsi="Arial"/>
          <w:sz w:val="18"/>
          <w:szCs w:val="18"/>
          <w:color w:val="auto"/>
        </w:rPr>
      </w:pPr>
    </w:p>
    <w:p>
      <w:pPr>
        <w:ind w:left="1173" w:hanging="270"/>
        <w:spacing w:after="0"/>
        <w:tabs>
          <w:tab w:leader="none" w:pos="1173" w:val="left"/>
        </w:tabs>
        <w:numPr>
          <w:ilvl w:val="2"/>
          <w:numId w:val="145"/>
        </w:numPr>
        <w:rPr>
          <w:rFonts w:ascii="Arial" w:cs="Arial" w:eastAsia="Arial" w:hAnsi="Arial"/>
          <w:sz w:val="18"/>
          <w:szCs w:val="18"/>
          <w:color w:val="auto"/>
        </w:rPr>
      </w:pPr>
      <w:r>
        <w:rPr>
          <w:rFonts w:ascii="Arial" w:cs="Arial" w:eastAsia="Arial" w:hAnsi="Arial"/>
          <w:sz w:val="18"/>
          <w:szCs w:val="18"/>
          <w:color w:val="auto"/>
        </w:rPr>
        <w:t>Testing of Values.</w:t>
      </w:r>
    </w:p>
    <w:p>
      <w:pPr>
        <w:spacing w:after="0" w:line="117" w:lineRule="exact"/>
        <w:rPr>
          <w:rFonts w:ascii="Arial" w:cs="Arial" w:eastAsia="Arial" w:hAnsi="Arial"/>
          <w:sz w:val="18"/>
          <w:szCs w:val="18"/>
          <w:color w:val="auto"/>
        </w:rPr>
      </w:pPr>
    </w:p>
    <w:p>
      <w:pPr>
        <w:ind w:left="433" w:right="60" w:firstLine="391"/>
        <w:spacing w:after="0" w:line="291" w:lineRule="auto"/>
        <w:tabs>
          <w:tab w:leader="none" w:pos="1071" w:val="left"/>
        </w:tabs>
        <w:numPr>
          <w:ilvl w:val="1"/>
          <w:numId w:val="145"/>
        </w:numPr>
        <w:rPr>
          <w:rFonts w:ascii="Arial" w:cs="Arial" w:eastAsia="Arial" w:hAnsi="Arial"/>
          <w:sz w:val="16"/>
          <w:szCs w:val="16"/>
          <w:color w:val="auto"/>
        </w:rPr>
      </w:pPr>
      <w:r>
        <w:rPr>
          <w:rFonts w:ascii="Arial" w:cs="Arial" w:eastAsia="Arial" w:hAnsi="Arial"/>
          <w:sz w:val="16"/>
          <w:szCs w:val="16"/>
          <w:color w:val="auto"/>
        </w:rPr>
        <w:t>For the second calendar month immediately following the end of each fiscal quarter (the last such fiscal quarter is referred to herein as, the “</w:t>
      </w:r>
      <w:r>
        <w:rPr>
          <w:rFonts w:ascii="Arial" w:cs="Arial" w:eastAsia="Arial" w:hAnsi="Arial"/>
          <w:sz w:val="16"/>
          <w:szCs w:val="16"/>
          <w:u w:val="single" w:color="auto"/>
          <w:color w:val="auto"/>
        </w:rPr>
        <w:t>Testing Period</w:t>
      </w:r>
      <w:r>
        <w:rPr>
          <w:rFonts w:ascii="Arial" w:cs="Arial" w:eastAsia="Arial" w:hAnsi="Arial"/>
          <w:sz w:val="16"/>
          <w:szCs w:val="16"/>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Arial" w:cs="Arial" w:eastAsia="Arial" w:hAnsi="Arial"/>
          <w:sz w:val="16"/>
          <w:szCs w:val="16"/>
          <w:u w:val="single" w:color="auto"/>
          <w:color w:val="auto"/>
        </w:rPr>
        <w:t>sub-clause (F)</w:t>
      </w:r>
      <w:r>
        <w:rPr>
          <w:rFonts w:ascii="Arial" w:cs="Arial" w:eastAsia="Arial" w:hAnsi="Arial"/>
          <w:sz w:val="16"/>
          <w:szCs w:val="16"/>
          <w:color w:val="auto"/>
        </w:rPr>
        <w:t xml:space="preserve"> below.</w:t>
      </w:r>
    </w:p>
    <w:p>
      <w:pPr>
        <w:spacing w:after="0" w:line="99" w:lineRule="exact"/>
        <w:rPr>
          <w:sz w:val="20"/>
          <w:szCs w:val="20"/>
          <w:color w:val="auto"/>
        </w:rPr>
      </w:pPr>
    </w:p>
    <w:p>
      <w:pPr>
        <w:jc w:val="both"/>
        <w:ind w:left="4613"/>
        <w:spacing w:after="0"/>
        <w:tabs>
          <w:tab w:leader="none" w:pos="797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33"/>
          </w:cols>
          <w:pgMar w:left="1427" w:top="274" w:right="439" w:bottom="1440" w:gutter="0" w:footer="0" w:header="0"/>
        </w:sectPr>
      </w:pPr>
    </w:p>
    <w:bookmarkStart w:id="111" w:name="page112"/>
    <w:bookmarkEnd w:id="111"/>
    <w:p>
      <w:pPr>
        <w:ind w:left="420" w:right="80" w:firstLine="391"/>
        <w:spacing w:after="0" w:line="276" w:lineRule="auto"/>
        <w:tabs>
          <w:tab w:leader="none" w:pos="1058" w:val="left"/>
        </w:tabs>
        <w:numPr>
          <w:ilvl w:val="0"/>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6"/>
          <w:szCs w:val="16"/>
          <w:u w:val="single" w:color="auto"/>
          <w:color w:val="auto"/>
        </w:rPr>
        <w:t>Administrative Agent Appraisal Testing Period</w:t>
      </w:r>
      <w:r>
        <w:rPr>
          <w:rFonts w:ascii="Arial" w:cs="Arial" w:eastAsia="Arial" w:hAnsi="Arial"/>
          <w:sz w:val="16"/>
          <w:szCs w:val="16"/>
          <w:color w:val="auto"/>
        </w:rPr>
        <w:t>”) and would be reflected in the Borrowing Base Certificate for such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Approved Third-Party Appraiser delivers such valuation at least seven (7) Business Days before the 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2022, then (A) the Administrative Agent would initiate the testing of Values (using the December 31, 2022 Calculation Values for purposes of determining the scope of the testing under clauses (E)(x) during the month of February with the anticipation of receiving the valuations from the applicable Approved Third-Party Appraiser(s) on or after February 28, 2023 and (B)(xx) if such valuations were received before the 7th Business Day before March 20, 2023, such valuations would be included in the March 20, 2023 Borrowing Base Certificate covering the month of February, or (yy) if such valuations were received after such time, they would be included in the April 20, 2023 Borrowing Base Certificate for the month of March.</w:t>
      </w:r>
    </w:p>
    <w:p>
      <w:pPr>
        <w:spacing w:after="0" w:line="73" w:lineRule="exact"/>
        <w:rPr>
          <w:sz w:val="20"/>
          <w:szCs w:val="20"/>
          <w:color w:val="auto"/>
        </w:rPr>
      </w:pPr>
    </w:p>
    <w:p>
      <w:pPr>
        <w:ind w:left="420" w:right="200"/>
        <w:spacing w:after="0" w:line="277" w:lineRule="auto"/>
        <w:rPr>
          <w:sz w:val="20"/>
          <w:szCs w:val="20"/>
          <w:color w:val="auto"/>
        </w:rPr>
      </w:pPr>
      <w:r>
        <w:rPr>
          <w:rFonts w:ascii="Arial" w:cs="Arial" w:eastAsia="Arial" w:hAnsi="Arial"/>
          <w:sz w:val="18"/>
          <w:szCs w:val="18"/>
          <w:color w:val="auto"/>
        </w:rPr>
        <w:t xml:space="preserve">For the avoidance of doubt, all calculations of value pursuant to this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shall be determined without application of the Advance Rates.</w:t>
      </w:r>
    </w:p>
    <w:p>
      <w:pPr>
        <w:spacing w:after="0" w:line="62" w:lineRule="exact"/>
        <w:rPr>
          <w:sz w:val="20"/>
          <w:szCs w:val="20"/>
          <w:color w:val="auto"/>
        </w:rPr>
      </w:pPr>
    </w:p>
    <w:p>
      <w:pPr>
        <w:ind w:left="-20" w:right="60" w:firstLine="910"/>
        <w:spacing w:after="0" w:line="269" w:lineRule="auto"/>
        <w:tabs>
          <w:tab w:leader="none" w:pos="1147"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Valuation Dispute Resolution</w:t>
      </w:r>
      <w:r>
        <w:rPr>
          <w:rFonts w:ascii="Arial" w:cs="Arial" w:eastAsia="Arial" w:hAnsi="Arial"/>
          <w:sz w:val="17"/>
          <w:szCs w:val="17"/>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Arial" w:cs="Arial" w:eastAsia="Arial" w:hAnsi="Arial"/>
          <w:sz w:val="17"/>
          <w:szCs w:val="17"/>
          <w:u w:val="single" w:color="auto"/>
          <w:color w:val="auto"/>
        </w:rPr>
        <w:t>Section 5.12(b)(ii)(B)</w:t>
      </w:r>
      <w:r>
        <w:rPr>
          <w:rFonts w:ascii="Arial" w:cs="Arial" w:eastAsia="Arial" w:hAnsi="Arial"/>
          <w:sz w:val="17"/>
          <w:szCs w:val="17"/>
          <w:color w:val="auto"/>
        </w:rPr>
        <w:t xml:space="preserve"> and the valuation of any Approved Third-Party Appraiser selected by the Administrative Agent pursuant to </w:t>
      </w:r>
      <w:r>
        <w:rPr>
          <w:rFonts w:ascii="Arial" w:cs="Arial" w:eastAsia="Arial" w:hAnsi="Arial"/>
          <w:sz w:val="17"/>
          <w:szCs w:val="17"/>
          <w:u w:val="single" w:color="auto"/>
          <w:color w:val="auto"/>
        </w:rPr>
        <w:t>Section 5.12(b)(ii)(E)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14" w:lineRule="exact"/>
        <w:rPr>
          <w:sz w:val="20"/>
          <w:szCs w:val="20"/>
          <w:color w:val="auto"/>
        </w:rPr>
      </w:pPr>
    </w:p>
    <w:p>
      <w:pPr>
        <w:jc w:val="both"/>
        <w:ind w:left="4600"/>
        <w:spacing w:after="0"/>
        <w:tabs>
          <w:tab w:leader="none" w:pos="79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20"/>
          </w:cols>
          <w:pgMar w:left="1440" w:top="274" w:right="439" w:bottom="1440" w:gutter="0" w:footer="0" w:header="0"/>
        </w:sectPr>
      </w:pPr>
    </w:p>
    <w:bookmarkStart w:id="112" w:name="page113"/>
    <w:bookmarkEnd w:id="112"/>
    <w:p>
      <w:pPr>
        <w:ind w:right="540" w:firstLine="987"/>
        <w:spacing w:after="0" w:line="263" w:lineRule="auto"/>
        <w:tabs>
          <w:tab w:leader="none" w:pos="1236"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RIC Diversification Requirements</w:t>
      </w:r>
      <w:r>
        <w:rPr>
          <w:rFonts w:ascii="Arial" w:cs="Arial" w:eastAsia="Arial" w:hAnsi="Arial"/>
          <w:sz w:val="18"/>
          <w:szCs w:val="18"/>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84" w:lineRule="exact"/>
        <w:rPr>
          <w:sz w:val="20"/>
          <w:szCs w:val="20"/>
          <w:color w:val="auto"/>
        </w:rPr>
      </w:pPr>
    </w:p>
    <w:p>
      <w:pPr>
        <w:ind w:right="340" w:firstLine="991"/>
        <w:spacing w:after="0" w:line="28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Calculation of Borrowing Base</w:t>
      </w:r>
      <w:r>
        <w:rPr>
          <w:rFonts w:ascii="Arial" w:cs="Arial" w:eastAsia="Arial" w:hAnsi="Arial"/>
          <w:sz w:val="17"/>
          <w:szCs w:val="17"/>
          <w:color w:val="auto"/>
        </w:rPr>
        <w:t>. For purposes of this Agreement, the “</w:t>
      </w:r>
      <w:r>
        <w:rPr>
          <w:rFonts w:ascii="Arial" w:cs="Arial" w:eastAsia="Arial" w:hAnsi="Arial"/>
          <w:sz w:val="17"/>
          <w:szCs w:val="17"/>
          <w:u w:val="single" w:color="auto"/>
          <w:color w:val="auto"/>
        </w:rPr>
        <w:t>Borrowing Base</w:t>
      </w:r>
      <w:r>
        <w:rPr>
          <w:rFonts w:ascii="Arial" w:cs="Arial" w:eastAsia="Arial" w:hAnsi="Arial"/>
          <w:sz w:val="17"/>
          <w:szCs w:val="17"/>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or the last paragraph of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65" w:lineRule="exact"/>
        <w:rPr>
          <w:sz w:val="20"/>
          <w:szCs w:val="20"/>
          <w:color w:val="auto"/>
        </w:rPr>
      </w:pPr>
    </w:p>
    <w:p>
      <w:pPr>
        <w:ind w:right="60" w:firstLine="987"/>
        <w:spacing w:after="0" w:line="286" w:lineRule="auto"/>
        <w:tabs>
          <w:tab w:leader="none" w:pos="123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Advance Rate applicable to that portion of the aggregate Value of the Portfolio Investments of all issuers in a consolidated group of corporations or other entities (collectively, a “</w:t>
      </w:r>
      <w:r>
        <w:rPr>
          <w:rFonts w:ascii="Arial" w:cs="Arial" w:eastAsia="Arial" w:hAnsi="Arial"/>
          <w:sz w:val="17"/>
          <w:szCs w:val="17"/>
          <w:u w:val="single" w:color="auto"/>
          <w:color w:val="auto"/>
        </w:rPr>
        <w:t>Consolidated Group</w:t>
      </w:r>
      <w:r>
        <w:rPr>
          <w:rFonts w:ascii="Arial" w:cs="Arial" w:eastAsia="Arial" w:hAnsi="Arial"/>
          <w:sz w:val="17"/>
          <w:szCs w:val="17"/>
          <w:color w:val="auto"/>
        </w:rPr>
        <w:t>”), in accordance with GAAP, that exceeds 6% of the aggregate Value of all Portfolio Investments in the Collateral Pool as of the end of the most recent quarter shall be 50% of the Advance Rate otherwise applicable;</w:t>
      </w:r>
    </w:p>
    <w:p>
      <w:pPr>
        <w:spacing w:after="0" w:line="165" w:lineRule="exact"/>
        <w:rPr>
          <w:rFonts w:ascii="Arial" w:cs="Arial" w:eastAsia="Arial" w:hAnsi="Arial"/>
          <w:sz w:val="17"/>
          <w:szCs w:val="17"/>
          <w:color w:val="auto"/>
        </w:rPr>
      </w:pPr>
    </w:p>
    <w:p>
      <w:pPr>
        <w:ind w:right="160" w:firstLine="987"/>
        <w:spacing w:after="0" w:line="342" w:lineRule="auto"/>
        <w:tabs>
          <w:tab w:leader="none" w:pos="124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23" w:lineRule="exact"/>
        <w:rPr>
          <w:rFonts w:ascii="Arial" w:cs="Arial" w:eastAsia="Arial" w:hAnsi="Arial"/>
          <w:sz w:val="16"/>
          <w:szCs w:val="16"/>
          <w:color w:val="auto"/>
        </w:rPr>
      </w:pPr>
    </w:p>
    <w:p>
      <w:pPr>
        <w:ind w:right="40" w:firstLine="987"/>
        <w:spacing w:after="0" w:line="255" w:lineRule="auto"/>
        <w:tabs>
          <w:tab w:leader="none" w:pos="12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92" w:lineRule="exact"/>
        <w:rPr>
          <w:rFonts w:ascii="Arial" w:cs="Arial" w:eastAsia="Arial" w:hAnsi="Arial"/>
          <w:sz w:val="18"/>
          <w:szCs w:val="18"/>
          <w:color w:val="auto"/>
        </w:rPr>
      </w:pPr>
    </w:p>
    <w:p>
      <w:pPr>
        <w:jc w:val="both"/>
        <w:ind w:right="240" w:firstLine="987"/>
        <w:spacing w:after="0" w:line="311" w:lineRule="auto"/>
        <w:tabs>
          <w:tab w:leader="none" w:pos="124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48" w:lineRule="exact"/>
        <w:rPr>
          <w:rFonts w:ascii="Arial" w:cs="Arial" w:eastAsia="Arial" w:hAnsi="Arial"/>
          <w:sz w:val="16"/>
          <w:szCs w:val="16"/>
          <w:color w:val="auto"/>
        </w:rPr>
      </w:pPr>
    </w:p>
    <w:p>
      <w:pPr>
        <w:ind w:right="720" w:firstLine="987"/>
        <w:spacing w:after="0" w:line="277" w:lineRule="auto"/>
        <w:tabs>
          <w:tab w:leader="none" w:pos="12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03"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13" w:name="page114"/>
    <w:bookmarkEnd w:id="113"/>
    <w:p>
      <w:pPr>
        <w:ind w:right="500" w:firstLine="987"/>
        <w:spacing w:after="0" w:line="277" w:lineRule="auto"/>
        <w:tabs>
          <w:tab w:leader="none" w:pos="1216"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portion of the Borrowing Base attributable to Equity Interests shall not exceed 10% (it being understood that in no event shall Equity Interests of Financing Subsidiaries be included in the Borrowing Base);</w:t>
      </w:r>
    </w:p>
    <w:p>
      <w:pPr>
        <w:spacing w:after="0" w:line="170" w:lineRule="exact"/>
        <w:rPr>
          <w:rFonts w:ascii="Arial" w:cs="Arial" w:eastAsia="Arial" w:hAnsi="Arial"/>
          <w:sz w:val="18"/>
          <w:szCs w:val="18"/>
          <w:color w:val="auto"/>
        </w:rPr>
      </w:pPr>
    </w:p>
    <w:p>
      <w:pPr>
        <w:ind w:right="260" w:firstLine="987"/>
        <w:spacing w:after="0" w:line="263" w:lineRule="auto"/>
        <w:tabs>
          <w:tab w:leader="none" w:pos="12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83" w:lineRule="exact"/>
        <w:rPr>
          <w:rFonts w:ascii="Arial" w:cs="Arial" w:eastAsia="Arial" w:hAnsi="Arial"/>
          <w:sz w:val="18"/>
          <w:szCs w:val="18"/>
          <w:color w:val="auto"/>
        </w:rPr>
      </w:pPr>
    </w:p>
    <w:p>
      <w:pPr>
        <w:ind w:right="180" w:firstLine="987"/>
        <w:spacing w:after="0" w:line="263" w:lineRule="auto"/>
        <w:tabs>
          <w:tab w:leader="none" w:pos="12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83" w:lineRule="exact"/>
        <w:rPr>
          <w:rFonts w:ascii="Arial" w:cs="Arial" w:eastAsia="Arial" w:hAnsi="Arial"/>
          <w:sz w:val="18"/>
          <w:szCs w:val="18"/>
          <w:color w:val="auto"/>
        </w:rPr>
      </w:pPr>
    </w:p>
    <w:p>
      <w:pPr>
        <w:ind w:firstLine="987"/>
        <w:spacing w:after="0" w:line="263" w:lineRule="auto"/>
        <w:tabs>
          <w:tab w:leader="none" w:pos="120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spacing w:after="0" w:line="183" w:lineRule="exact"/>
        <w:rPr>
          <w:rFonts w:ascii="Arial" w:cs="Arial" w:eastAsia="Arial" w:hAnsi="Arial"/>
          <w:sz w:val="18"/>
          <w:szCs w:val="18"/>
          <w:color w:val="auto"/>
        </w:rPr>
      </w:pPr>
    </w:p>
    <w:p>
      <w:pPr>
        <w:ind w:right="20" w:firstLine="987"/>
        <w:spacing w:after="0" w:line="308" w:lineRule="auto"/>
        <w:tabs>
          <w:tab w:leader="none" w:pos="120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following meanings:</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means, as to any Portfolio Investment and subject to adjustment as provided in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the following percentages with respect to such Portfolio Investment:</w:t>
      </w:r>
    </w:p>
    <w:p>
      <w:pPr>
        <w:spacing w:after="0" w:line="71"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5540" w:type="dxa"/>
            <w:vAlign w:val="bottom"/>
            <w:gridSpan w:val="2"/>
          </w:tcPr>
          <w:p>
            <w:pPr>
              <w:spacing w:after="0"/>
              <w:rPr>
                <w:sz w:val="20"/>
                <w:szCs w:val="20"/>
                <w:color w:val="auto"/>
              </w:rPr>
            </w:pPr>
            <w:r>
              <w:rPr>
                <w:rFonts w:ascii="Arial" w:cs="Arial" w:eastAsia="Arial" w:hAnsi="Arial"/>
                <w:sz w:val="14"/>
                <w:szCs w:val="14"/>
                <w:color w:val="auto"/>
              </w:rPr>
              <w:t>Portfolio Investment</w:t>
            </w:r>
          </w:p>
        </w:tc>
        <w:tc>
          <w:tcPr>
            <w:tcW w:w="2040" w:type="dxa"/>
            <w:vAlign w:val="bottom"/>
            <w:gridSpan w:val="3"/>
          </w:tcPr>
          <w:p>
            <w:pPr>
              <w:jc w:val="right"/>
              <w:ind w:right="640"/>
              <w:spacing w:after="0"/>
              <w:rPr>
                <w:sz w:val="20"/>
                <w:szCs w:val="20"/>
                <w:color w:val="auto"/>
              </w:rPr>
            </w:pPr>
            <w:r>
              <w:rPr>
                <w:rFonts w:ascii="Arial" w:cs="Arial" w:eastAsia="Arial" w:hAnsi="Arial"/>
                <w:sz w:val="14"/>
                <w:szCs w:val="14"/>
                <w:color w:val="auto"/>
              </w:rPr>
              <w:t>Quoted</w:t>
            </w:r>
          </w:p>
        </w:tc>
        <w:tc>
          <w:tcPr>
            <w:tcW w:w="2120" w:type="dxa"/>
            <w:vAlign w:val="bottom"/>
            <w:gridSpan w:val="3"/>
          </w:tcPr>
          <w:p>
            <w:pPr>
              <w:spacing w:after="0"/>
              <w:rPr>
                <w:sz w:val="20"/>
                <w:szCs w:val="20"/>
                <w:color w:val="auto"/>
              </w:rPr>
            </w:pPr>
            <w:r>
              <w:rPr>
                <w:rFonts w:ascii="Arial" w:cs="Arial" w:eastAsia="Arial" w:hAnsi="Arial"/>
                <w:sz w:val="14"/>
                <w:szCs w:val="14"/>
                <w:color w:val="auto"/>
              </w:rPr>
              <w:t>Unquoted</w:t>
            </w: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5"/>
        </w:trPr>
        <w:tc>
          <w:tcPr>
            <w:tcW w:w="55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Cash Equivalents and</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tcPr>
          <w:p>
            <w:pPr>
              <w:spacing w:after="0"/>
              <w:rPr>
                <w:sz w:val="15"/>
                <w:szCs w:val="15"/>
                <w:color w:val="auto"/>
              </w:rPr>
            </w:pPr>
          </w:p>
        </w:tc>
      </w:tr>
      <w:tr>
        <w:trPr>
          <w:trHeight w:val="23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U.S. Government Securities</w:t>
            </w: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340" w:type="dxa"/>
            <w:vAlign w:val="bottom"/>
          </w:tcPr>
          <w:p>
            <w:pPr>
              <w:spacing w:after="0"/>
              <w:rPr>
                <w:sz w:val="20"/>
                <w:szCs w:val="20"/>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Long-Term U.S. Government Securities</w:t>
            </w: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95%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34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First Lien Bank Loans</w:t>
            </w: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1340" w:type="dxa"/>
            <w:vAlign w:val="bottom"/>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Performing Unitranche Loans</w:t>
            </w: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80%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34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Second Lien Bank Loans</w:t>
            </w: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1340" w:type="dxa"/>
            <w:vAlign w:val="bottom"/>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Performing Cash Pay High Yield Securities</w:t>
            </w: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70%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134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Cash Pay Mezzanine Investments</w:t>
            </w: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1340" w:type="dxa"/>
            <w:vAlign w:val="bottom"/>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Performing Non-Cash Pay High Yield Securities</w:t>
            </w: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60%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34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Non-Cash Pay Mezzanine Investments</w:t>
            </w: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340" w:type="dxa"/>
            <w:vAlign w:val="bottom"/>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Non-Performing First Lien Bank Loans</w:t>
            </w: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45%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134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Unitranche Loans</w:t>
            </w: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1340" w:type="dxa"/>
            <w:vAlign w:val="bottom"/>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Non-Performing Second Lien Bank Loans</w:t>
            </w: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40%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34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High Yield Securities</w:t>
            </w: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1340" w:type="dxa"/>
            <w:vAlign w:val="bottom"/>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Non-Performing Cash Pay Mezzanine Investments</w:t>
            </w: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30%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1340" w:type="dxa"/>
            <w:vAlign w:val="bottom"/>
          </w:tcPr>
          <w:p>
            <w:pPr>
              <w:spacing w:after="0"/>
              <w:rPr>
                <w:sz w:val="18"/>
                <w:szCs w:val="18"/>
                <w:color w:val="auto"/>
              </w:rPr>
            </w:pPr>
          </w:p>
        </w:tc>
      </w:tr>
      <w:tr>
        <w:trPr>
          <w:trHeight w:val="202"/>
        </w:trPr>
        <w:tc>
          <w:tcPr>
            <w:tcW w:w="5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Performing Common Equity (and zero cost or</w:t>
            </w:r>
          </w:p>
        </w:tc>
        <w:tc>
          <w:tcPr>
            <w:tcW w:w="2040" w:type="dxa"/>
            <w:vAlign w:val="bottom"/>
            <w:gridSpan w:val="3"/>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30%</w:t>
            </w:r>
          </w:p>
        </w:tc>
        <w:tc>
          <w:tcPr>
            <w:tcW w:w="78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20%</w:t>
            </w:r>
          </w:p>
        </w:tc>
        <w:tc>
          <w:tcPr>
            <w:tcW w:w="1340" w:type="dxa"/>
            <w:vAlign w:val="bottom"/>
          </w:tcPr>
          <w:p>
            <w:pPr>
              <w:spacing w:after="0"/>
              <w:rPr>
                <w:sz w:val="17"/>
                <w:szCs w:val="17"/>
                <w:color w:val="auto"/>
              </w:rPr>
            </w:pPr>
          </w:p>
        </w:tc>
      </w:tr>
      <w:tr>
        <w:trPr>
          <w:trHeight w:val="244"/>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penny warrants with performing debt)</w:t>
            </w: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tcPr>
          <w:p>
            <w:pPr>
              <w:spacing w:after="0"/>
              <w:rPr>
                <w:sz w:val="21"/>
                <w:szCs w:val="2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Non-Performing Common Equity</w:t>
            </w:r>
          </w:p>
        </w:tc>
        <w:tc>
          <w:tcPr>
            <w:tcW w:w="2040" w:type="dxa"/>
            <w:vAlign w:val="bottom"/>
            <w:gridSpan w:val="3"/>
          </w:tcPr>
          <w:p>
            <w:pPr>
              <w:jc w:val="right"/>
              <w:ind w:right="48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34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Obligations and Finance Leases</w:t>
            </w: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340" w:type="dxa"/>
            <w:vAlign w:val="bottom"/>
          </w:tcPr>
          <w:p>
            <w:pPr>
              <w:spacing w:after="0"/>
              <w:rPr>
                <w:sz w:val="18"/>
                <w:szCs w:val="18"/>
                <w:color w:val="auto"/>
              </w:rPr>
            </w:pPr>
          </w:p>
        </w:tc>
      </w:tr>
      <w:tr>
        <w:trPr>
          <w:trHeight w:val="365"/>
        </w:trPr>
        <w:tc>
          <w:tcPr>
            <w:tcW w:w="5540" w:type="dxa"/>
            <w:vAlign w:val="bottom"/>
            <w:gridSpan w:val="2"/>
          </w:tcPr>
          <w:p>
            <w:pPr>
              <w:ind w:left="4280"/>
              <w:spacing w:after="0"/>
              <w:rPr>
                <w:sz w:val="20"/>
                <w:szCs w:val="20"/>
                <w:color w:val="auto"/>
              </w:rPr>
            </w:pPr>
            <w:r>
              <w:rPr>
                <w:rFonts w:ascii="Arial" w:cs="Arial" w:eastAsia="Arial" w:hAnsi="Arial"/>
                <w:sz w:val="18"/>
                <w:szCs w:val="18"/>
                <w:color w:val="auto"/>
              </w:rPr>
              <w:t>105</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gridSpan w:val="3"/>
          </w:tcPr>
          <w:p>
            <w:pPr>
              <w:ind w:left="80"/>
              <w:spacing w:after="0"/>
              <w:rPr>
                <w:sz w:val="20"/>
                <w:szCs w:val="20"/>
                <w:color w:val="auto"/>
              </w:rPr>
            </w:pPr>
            <w:r>
              <w:rPr>
                <w:rFonts w:ascii="Arial" w:cs="Arial" w:eastAsia="Arial" w:hAnsi="Arial"/>
                <w:sz w:val="18"/>
                <w:szCs w:val="18"/>
                <w:i w:val="1"/>
                <w:iCs w:val="1"/>
                <w:color w:val="auto"/>
                <w:w w:val="89"/>
              </w:rPr>
              <w:t>Revolving Credit Agreement</w:t>
            </w:r>
          </w:p>
        </w:tc>
      </w:tr>
    </w:tbl>
    <w:p>
      <w:pPr>
        <w:sectPr>
          <w:pgSz w:w="11900" w:h="16838" w:orient="portrait"/>
          <w:cols w:equalWidth="0" w:num="1">
            <w:col w:w="11020"/>
          </w:cols>
          <w:pgMar w:left="440" w:top="274" w:right="439" w:bottom="1440" w:gutter="0" w:footer="0" w:header="0"/>
        </w:sectPr>
      </w:pPr>
    </w:p>
    <w:bookmarkStart w:id="114" w:name="page115"/>
    <w:bookmarkEnd w:id="114"/>
    <w:p>
      <w:pPr>
        <w:jc w:val="both"/>
        <w:ind w:right="52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Bank Loans</w:t>
      </w:r>
      <w:r>
        <w:rPr>
          <w:rFonts w:ascii="Arial" w:cs="Arial" w:eastAsia="Arial" w:hAnsi="Arial"/>
          <w:sz w:val="16"/>
          <w:szCs w:val="16"/>
          <w:color w:val="auto"/>
        </w:rPr>
        <w:t>” 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49"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jc w:val="both"/>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Lease</w:t>
      </w:r>
      <w:r>
        <w:rPr>
          <w:rFonts w:ascii="Arial" w:cs="Arial" w:eastAsia="Arial" w:hAnsi="Arial"/>
          <w:sz w:val="18"/>
          <w:szCs w:val="18"/>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70"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Bank Loan</w:t>
      </w:r>
      <w:r>
        <w:rPr>
          <w:rFonts w:ascii="Arial" w:cs="Arial" w:eastAsia="Arial" w:hAnsi="Arial"/>
          <w:sz w:val="18"/>
          <w:szCs w:val="18"/>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8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Yield Securities</w:t>
      </w:r>
      <w:r>
        <w:rPr>
          <w:rFonts w:ascii="Arial" w:cs="Arial" w:eastAsia="Arial" w:hAnsi="Arial"/>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U.S. Government Securities</w:t>
      </w:r>
      <w:r>
        <w:rPr>
          <w:rFonts w:ascii="Arial" w:cs="Arial" w:eastAsia="Arial" w:hAnsi="Arial"/>
          <w:sz w:val="18"/>
          <w:szCs w:val="18"/>
          <w:color w:val="auto"/>
        </w:rPr>
        <w:t>” means U.S. Government Securities maturing more than one year from the applicable date of determination.</w:t>
      </w:r>
    </w:p>
    <w:p>
      <w:pPr>
        <w:spacing w:after="0" w:line="170"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Mezzanine Investments</w:t>
      </w:r>
      <w:r>
        <w:rPr>
          <w:rFonts w:ascii="Arial" w:cs="Arial" w:eastAsia="Arial" w:hAnsi="Arial"/>
          <w:sz w:val="18"/>
          <w:szCs w:val="18"/>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87"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Common Equity</w:t>
      </w:r>
      <w:r>
        <w:rPr>
          <w:rFonts w:ascii="Arial" w:cs="Arial" w:eastAsia="Arial" w:hAnsi="Arial"/>
          <w:sz w:val="18"/>
          <w:szCs w:val="18"/>
          <w:color w:val="auto"/>
        </w:rPr>
        <w:t>” means Capital Stock (other than Preferred Stock) and warrants of an issuer having any debt outstanding that is non-Performing.</w:t>
      </w:r>
    </w:p>
    <w:p>
      <w:pPr>
        <w:spacing w:after="0" w:line="103"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15" w:name="page116"/>
    <w:bookmarkEnd w:id="11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Non-Performing First Lien Bank Loans</w:t>
      </w:r>
      <w:r>
        <w:rPr>
          <w:rFonts w:ascii="Arial" w:cs="Arial" w:eastAsia="Arial" w:hAnsi="Arial"/>
          <w:sz w:val="18"/>
          <w:szCs w:val="18"/>
          <w:color w:val="auto"/>
        </w:rPr>
        <w:t>” means First Lien Bank Loans other than Performing First Lien Bank Loans.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High Yield Securities</w:t>
      </w:r>
      <w:r>
        <w:rPr>
          <w:rFonts w:ascii="Arial" w:cs="Arial" w:eastAsia="Arial" w:hAnsi="Arial"/>
          <w:sz w:val="18"/>
          <w:szCs w:val="18"/>
          <w:color w:val="auto"/>
        </w:rPr>
        <w:t>” means High Yield Securities other than Performing High Yield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Mezzanine Investments</w:t>
      </w:r>
      <w:r>
        <w:rPr>
          <w:rFonts w:ascii="Arial" w:cs="Arial" w:eastAsia="Arial" w:hAnsi="Arial"/>
          <w:sz w:val="18"/>
          <w:szCs w:val="18"/>
          <w:color w:val="auto"/>
        </w:rPr>
        <w:t>” means Mezzanine Investments other than Performing Mezzanine Investments.</w:t>
      </w:r>
    </w:p>
    <w:p>
      <w:pPr>
        <w:spacing w:after="0" w:line="225"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Portfolio Investment</w:t>
      </w:r>
      <w:r>
        <w:rPr>
          <w:rFonts w:ascii="Arial" w:cs="Arial" w:eastAsia="Arial" w:hAnsi="Arial"/>
          <w:sz w:val="18"/>
          <w:szCs w:val="18"/>
          <w:color w:val="auto"/>
        </w:rPr>
        <w:t>” means Portfolio Investments for which the issuer is in default of any payment obligations of principal or interest in respect thereof after the expiration of any applicable grace period.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Second Lien Bank Loans</w:t>
      </w:r>
      <w:r>
        <w:rPr>
          <w:rFonts w:ascii="Arial" w:cs="Arial" w:eastAsia="Arial" w:hAnsi="Arial"/>
          <w:sz w:val="18"/>
          <w:szCs w:val="18"/>
          <w:color w:val="auto"/>
        </w:rPr>
        <w:t>” means Second Lien Bank Loans other than Performing Second Lien Bank Loans.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Unitranche Loans</w:t>
      </w:r>
      <w:r>
        <w:rPr>
          <w:rFonts w:ascii="Arial" w:cs="Arial" w:eastAsia="Arial" w:hAnsi="Arial"/>
          <w:sz w:val="18"/>
          <w:szCs w:val="18"/>
          <w:color w:val="auto"/>
        </w:rPr>
        <w:t>” means Unitranche Loans other than Performing Unitranche Loans.</w:t>
      </w:r>
    </w:p>
    <w:p>
      <w:pPr>
        <w:spacing w:after="0" w:line="225" w:lineRule="exact"/>
        <w:rPr>
          <w:sz w:val="20"/>
          <w:szCs w:val="20"/>
          <w:color w:val="auto"/>
        </w:rPr>
      </w:pPr>
    </w:p>
    <w:p>
      <w:pPr>
        <w:jc w:val="both"/>
        <w:ind w:right="3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w:t>
      </w:r>
      <w:r>
        <w:rPr>
          <w:rFonts w:ascii="Arial" w:cs="Arial" w:eastAsia="Arial" w:hAnsi="Arial"/>
          <w:sz w:val="18"/>
          <w:szCs w:val="18"/>
          <w:color w:val="auto"/>
        </w:rPr>
        <w:t>”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87"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High Yield Securities</w:t>
      </w:r>
      <w:r>
        <w:rPr>
          <w:rFonts w:ascii="Arial" w:cs="Arial" w:eastAsia="Arial" w:hAnsi="Arial"/>
          <w:sz w:val="18"/>
          <w:szCs w:val="18"/>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4"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Mezzanine Investments</w:t>
      </w:r>
      <w:r>
        <w:rPr>
          <w:rFonts w:ascii="Arial" w:cs="Arial" w:eastAsia="Arial" w:hAnsi="Arial"/>
          <w:sz w:val="18"/>
          <w:szCs w:val="18"/>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Common Equity</w:t>
      </w:r>
      <w:r>
        <w:rPr>
          <w:rFonts w:ascii="Arial" w:cs="Arial" w:eastAsia="Arial" w:hAnsi="Arial"/>
          <w:sz w:val="16"/>
          <w:szCs w:val="16"/>
          <w:color w:val="auto"/>
        </w:rPr>
        <w:t>” means Capital Stock (other than Preferred Stock) and warrants of an issuer all of whose outstanding debt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Performing.</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First Lien Bank Loans</w:t>
      </w:r>
      <w:r>
        <w:rPr>
          <w:rFonts w:ascii="Arial" w:cs="Arial" w:eastAsia="Arial" w:hAnsi="Arial"/>
          <w:sz w:val="18"/>
          <w:szCs w:val="18"/>
          <w:color w:val="auto"/>
        </w:rPr>
        <w:t>” means First Lien Bank Loans which are Performing.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Performing Non-Cash Pay High Yield Securities</w:t>
      </w:r>
      <w:r>
        <w:rPr>
          <w:rFonts w:ascii="Arial" w:cs="Arial" w:eastAsia="Arial" w:hAnsi="Arial"/>
          <w:sz w:val="16"/>
          <w:szCs w:val="16"/>
          <w:color w:val="auto"/>
        </w:rPr>
        <w:t>” means Performing High Yield Securities other than Performing Cash Pay High Yield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Non-Cash Pay Mezzanine Investments</w:t>
      </w:r>
      <w:r>
        <w:rPr>
          <w:rFonts w:ascii="Arial" w:cs="Arial" w:eastAsia="Arial" w:hAnsi="Arial"/>
          <w:sz w:val="18"/>
          <w:szCs w:val="18"/>
          <w:color w:val="auto"/>
        </w:rPr>
        <w:t>” means Performing Mezzanine Investments other than Performing Cash Pay Mezzanine Investments.</w:t>
      </w:r>
    </w:p>
    <w:p>
      <w:pPr>
        <w:spacing w:after="0" w:line="103"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16" w:name="page117"/>
    <w:bookmarkEnd w:id="11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Performing Second Lien Bank Loans</w:t>
      </w:r>
      <w:r>
        <w:rPr>
          <w:rFonts w:ascii="Arial" w:cs="Arial" w:eastAsia="Arial" w:hAnsi="Arial"/>
          <w:sz w:val="18"/>
          <w:szCs w:val="18"/>
          <w:color w:val="auto"/>
        </w:rPr>
        <w:t>” means Second Lien Bank Loans which are Performing.</w:t>
      </w:r>
    </w:p>
    <w:p>
      <w:pPr>
        <w:spacing w:after="0" w:line="225"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71"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Lien Bank Loan</w:t>
      </w:r>
      <w:r>
        <w:rPr>
          <w:rFonts w:ascii="Arial" w:cs="Arial" w:eastAsia="Arial" w:hAnsi="Arial"/>
          <w:sz w:val="17"/>
          <w:szCs w:val="17"/>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46"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Short-Term U.S. Government Securities</w:t>
      </w:r>
      <w:r>
        <w:rPr>
          <w:rFonts w:ascii="Arial" w:cs="Arial" w:eastAsia="Arial" w:hAnsi="Arial"/>
          <w:sz w:val="18"/>
          <w:szCs w:val="18"/>
          <w:color w:val="auto"/>
        </w:rPr>
        <w:t>” means U.S. Government Securities maturing within one year of the applicable date of determination.</w:t>
      </w:r>
    </w:p>
    <w:p>
      <w:pPr>
        <w:spacing w:after="0" w:line="170"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Unitranche Loan</w:t>
      </w:r>
      <w:r>
        <w:rPr>
          <w:rFonts w:ascii="Arial" w:cs="Arial" w:eastAsia="Arial" w:hAnsi="Arial"/>
          <w:sz w:val="17"/>
          <w:szCs w:val="17"/>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Portfolio Investment, the lower 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(i) the most recent internal market value as determined pursuant to </w:t>
      </w:r>
      <w:r>
        <w:rPr>
          <w:rFonts w:ascii="Arial" w:cs="Arial" w:eastAsia="Arial" w:hAnsi="Arial"/>
          <w:sz w:val="18"/>
          <w:szCs w:val="18"/>
          <w:u w:val="single" w:color="auto"/>
          <w:color w:val="auto"/>
        </w:rPr>
        <w:t>Section 5.12(b)(ii)(C)</w:t>
      </w:r>
      <w:r>
        <w:rPr>
          <w:rFonts w:ascii="Arial" w:cs="Arial" w:eastAsia="Arial" w:hAnsi="Arial"/>
          <w:sz w:val="18"/>
          <w:szCs w:val="18"/>
          <w:color w:val="auto"/>
        </w:rPr>
        <w:t xml:space="preserve"> and</w:t>
      </w:r>
    </w:p>
    <w:p>
      <w:pPr>
        <w:spacing w:after="0" w:line="158"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17" w:name="page118"/>
    <w:bookmarkEnd w:id="11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(ii) the most recent external market value as determined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Until the Commitments have expired or terminated and the principal of and accrued interest on each Loan and all fees payable hereunder (other than Unasserted Contingent Obligations) have been paid in full and all Letters of Credit have expired, been terminated, Cash Collateralized or backstopped and all LC Disbursements shall have been reimbursed, the Borrower covenants and agrees with the Lenders that: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Subject to the last sentence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the Borrower will not, nor will it permit any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Subsidiary Guarantors to, create, incur, assume or permit to exist any Indebtedness, except:</w:t>
      </w:r>
    </w:p>
    <w:p>
      <w:pPr>
        <w:spacing w:after="0" w:line="103" w:lineRule="exact"/>
        <w:rPr>
          <w:sz w:val="20"/>
          <w:szCs w:val="20"/>
          <w:color w:val="auto"/>
        </w:rPr>
      </w:pPr>
    </w:p>
    <w:p>
      <w:pPr>
        <w:ind w:left="1240" w:hanging="253"/>
        <w:spacing w:after="0"/>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Indebtedness created hereunder or under any other Loan Document;</w:t>
      </w:r>
    </w:p>
    <w:p>
      <w:pPr>
        <w:spacing w:after="0" w:line="225" w:lineRule="exact"/>
        <w:rPr>
          <w:rFonts w:ascii="Arial" w:cs="Arial" w:eastAsia="Arial" w:hAnsi="Arial"/>
          <w:sz w:val="18"/>
          <w:szCs w:val="18"/>
          <w:color w:val="auto"/>
        </w:rPr>
      </w:pPr>
    </w:p>
    <w:p>
      <w:pPr>
        <w:ind w:right="40" w:firstLine="987"/>
        <w:spacing w:after="0" w:line="257" w:lineRule="auto"/>
        <w:tabs>
          <w:tab w:leader="none" w:pos="12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18"/>
          <w:szCs w:val="18"/>
          <w:u w:val="single" w:color="auto"/>
          <w:color w:val="auto"/>
        </w:rPr>
        <w:t>Sections 6.07(c)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and (iii) prior to and immediately after giving effect to the incurrence of any Secured Longer-Term Indebtedness, the Covered Debt Amount does not or would not exceed the Borrowing Base then in effect;</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Other Permitted Indebtedness;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Guarantees of Indebtedness otherwise permitted hereunder;</w:t>
      </w:r>
    </w:p>
    <w:p>
      <w:pPr>
        <w:spacing w:after="0" w:line="225" w:lineRule="exact"/>
        <w:rPr>
          <w:rFonts w:ascii="Arial" w:cs="Arial" w:eastAsia="Arial" w:hAnsi="Arial"/>
          <w:sz w:val="18"/>
          <w:szCs w:val="18"/>
          <w:color w:val="auto"/>
        </w:rPr>
      </w:pPr>
    </w:p>
    <w:p>
      <w:pPr>
        <w:ind w:right="200" w:firstLine="987"/>
        <w:spacing w:after="0" w:line="277" w:lineRule="auto"/>
        <w:tabs>
          <w:tab w:leader="none" w:pos="123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Indebtedness of any Obligor owing to any other Obligor or, if such Indebtedness is subject to subordination terms and conditions that are satisfactory to the Administrative Agent, any other Subsidiary of the Borrower;</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Indebtedness of Financing Subsidiaries;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repurchase obligations arising in the ordinary course of business with respect to U.S. Government Securities;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obligations payable to clearing agencies, brokers or dealers in connection with the purchase or sale of securities in the ordinary course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210" w:lineRule="exact"/>
        <w:rPr>
          <w:rFonts w:ascii="Arial" w:cs="Arial" w:eastAsia="Arial" w:hAnsi="Arial"/>
          <w:sz w:val="16"/>
          <w:szCs w:val="16"/>
          <w:color w:val="auto"/>
        </w:rPr>
      </w:pPr>
    </w:p>
    <w:p>
      <w:pPr>
        <w:ind w:right="120" w:firstLine="987"/>
        <w:spacing w:after="0" w:line="275" w:lineRule="auto"/>
        <w:tabs>
          <w:tab w:leader="none" w:pos="120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Arial" w:cs="Arial" w:eastAsia="Arial" w:hAnsi="Arial"/>
          <w:sz w:val="17"/>
          <w:szCs w:val="17"/>
          <w:u w:val="single" w:color="auto"/>
          <w:color w:val="auto"/>
        </w:rPr>
        <w:t>Sections 6.07(c)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and (iv) prior to and immediately after giving effect to the incurrence of any such Indebtedness, the Covered Debt Amount does not or would not exceed the Borrowing Base then in effect;</w:t>
      </w:r>
    </w:p>
    <w:p>
      <w:pPr>
        <w:spacing w:after="0" w:line="109"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18" w:name="page119"/>
    <w:bookmarkEnd w:id="118"/>
    <w:p>
      <w:pPr>
        <w:ind w:left="1204" w:hanging="213"/>
        <w:spacing w:after="0"/>
        <w:tabs>
          <w:tab w:leader="none" w:pos="12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(including Guarantees) in respect of Standard Securitization Undertakings;</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Permitted SBIC Guarantees;</w:t>
      </w:r>
    </w:p>
    <w:p>
      <w:pPr>
        <w:spacing w:after="0" w:line="225" w:lineRule="exact"/>
        <w:rPr>
          <w:rFonts w:ascii="Arial" w:cs="Arial" w:eastAsia="Arial" w:hAnsi="Arial"/>
          <w:sz w:val="18"/>
          <w:szCs w:val="18"/>
          <w:color w:val="auto"/>
        </w:rPr>
      </w:pPr>
    </w:p>
    <w:p>
      <w:pPr>
        <w:ind w:left="4" w:right="60" w:firstLine="987"/>
        <w:spacing w:after="0" w:line="263" w:lineRule="auto"/>
        <w:tabs>
          <w:tab w:leader="none" w:pos="121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Indebtedness under any Capital Call Facility the aggregate principal amount of which does not exceed, at the time incurred, the Borrower’s aggregate Unused Capital Commitments (or similar defined term used for the purposes contemplated herein, in each case, as defined in each of the Borrower’s subscription agreements) of its investors; and;</w:t>
      </w:r>
    </w:p>
    <w:p>
      <w:pPr>
        <w:spacing w:after="0" w:line="183" w:lineRule="exact"/>
        <w:rPr>
          <w:rFonts w:ascii="Arial" w:cs="Arial" w:eastAsia="Arial" w:hAnsi="Arial"/>
          <w:sz w:val="18"/>
          <w:szCs w:val="18"/>
          <w:color w:val="auto"/>
        </w:rPr>
      </w:pPr>
    </w:p>
    <w:p>
      <w:pPr>
        <w:ind w:left="4" w:right="20" w:firstLine="987"/>
        <w:spacing w:after="0" w:line="291" w:lineRule="auto"/>
        <w:tabs>
          <w:tab w:leader="none" w:pos="13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$150,000,000, (iii) the aggregate amount (determined at the time of the incurrence of such Indebtedness) of such Indebtedness, taken together with then-outstanding Special Unsecured Indebtedness incurred pursuant to </w:t>
      </w:r>
      <w:r>
        <w:rPr>
          <w:rFonts w:ascii="Arial" w:cs="Arial" w:eastAsia="Arial" w:hAnsi="Arial"/>
          <w:sz w:val="16"/>
          <w:szCs w:val="16"/>
          <w:u w:val="single" w:color="auto"/>
          <w:color w:val="auto"/>
        </w:rPr>
        <w:t>Section 6.01(n)</w:t>
      </w:r>
      <w:r>
        <w:rPr>
          <w:rFonts w:ascii="Arial" w:cs="Arial" w:eastAsia="Arial" w:hAnsi="Arial"/>
          <w:sz w:val="16"/>
          <w:szCs w:val="16"/>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16"/>
          <w:szCs w:val="16"/>
          <w:u w:val="single" w:color="auto"/>
          <w:color w:val="auto"/>
        </w:rPr>
        <w:t>Sections 6.07(c)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and (v) prior to and immediately after giving effect to the incurrence of any such Indebtedness, the Covered Debt Amount does not or would not exceed the Borrowing Base then in effect;</w:t>
      </w:r>
    </w:p>
    <w:p>
      <w:pPr>
        <w:spacing w:after="0" w:line="166" w:lineRule="exact"/>
        <w:rPr>
          <w:rFonts w:ascii="Arial" w:cs="Arial" w:eastAsia="Arial" w:hAnsi="Arial"/>
          <w:sz w:val="16"/>
          <w:szCs w:val="16"/>
          <w:color w:val="auto"/>
        </w:rPr>
      </w:pPr>
    </w:p>
    <w:p>
      <w:pPr>
        <w:jc w:val="both"/>
        <w:ind w:left="4" w:right="680" w:firstLine="987"/>
        <w:spacing w:after="0" w:line="291" w:lineRule="auto"/>
        <w:tabs>
          <w:tab w:leader="none" w:pos="125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Special Unsecured Indebtedness so long as (i) no Default exists at the time of the incurrence thereof, (ii) the aggregate amount (determined at the time of the incurrence of such Indebtedness) of such Indebtedness does not exceed $400,000,000, (iii) the aggregate amount</w:t>
      </w:r>
    </w:p>
    <w:p>
      <w:pPr>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(determined at the time of the incurrence of such Indebtedness) of such Indebtedness, taken together with then-outstanding Unsecured Shorter-Term Indebtedness incurred pursuant to </w:t>
      </w:r>
      <w:r>
        <w:rPr>
          <w:rFonts w:ascii="Arial" w:cs="Arial" w:eastAsia="Arial" w:hAnsi="Arial"/>
          <w:sz w:val="18"/>
          <w:szCs w:val="18"/>
          <w:u w:val="single" w:color="auto"/>
          <w:color w:val="auto"/>
        </w:rPr>
        <w:t>Section 6.01(m)</w:t>
      </w:r>
      <w:r>
        <w:rPr>
          <w:rFonts w:ascii="Arial" w:cs="Arial" w:eastAsia="Arial" w:hAnsi="Arial"/>
          <w:sz w:val="18"/>
          <w:szCs w:val="18"/>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18"/>
          <w:szCs w:val="18"/>
          <w:u w:val="single" w:color="auto"/>
          <w:color w:val="auto"/>
        </w:rPr>
        <w:t>Sections 6.07(c)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and (v) prior to and immediately after giving effect to the incurrence of any such Indebtedness, the Covered Debt Amount does not or would not exceed the Borrowing Base then in effect; and</w:t>
      </w:r>
    </w:p>
    <w:p>
      <w:pPr>
        <w:spacing w:after="0" w:line="190" w:lineRule="exact"/>
        <w:rPr>
          <w:rFonts w:ascii="Arial" w:cs="Arial" w:eastAsia="Arial" w:hAnsi="Arial"/>
          <w:sz w:val="16"/>
          <w:szCs w:val="16"/>
          <w:color w:val="auto"/>
        </w:rPr>
      </w:pPr>
    </w:p>
    <w:p>
      <w:pPr>
        <w:ind w:left="1244" w:hanging="253"/>
        <w:spacing w:after="0"/>
        <w:tabs>
          <w:tab w:leader="none" w:pos="124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other Indebtedness not to exceed the greater of (i) $25,000,000 and (ii) 5% of Shareholders’ Equity at any time outstanding.</w:t>
      </w:r>
    </w:p>
    <w:p>
      <w:pPr>
        <w:spacing w:after="0" w:line="237" w:lineRule="exact"/>
        <w:rPr>
          <w:sz w:val="20"/>
          <w:szCs w:val="20"/>
          <w:color w:val="auto"/>
        </w:rPr>
      </w:pPr>
    </w:p>
    <w:p>
      <w:pPr>
        <w:ind w:left="4" w:right="320" w:firstLine="991"/>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84" w:lineRule="exact"/>
        <w:rPr>
          <w:sz w:val="20"/>
          <w:szCs w:val="20"/>
          <w:color w:val="auto"/>
        </w:rPr>
      </w:pPr>
    </w:p>
    <w:p>
      <w:pPr>
        <w:ind w:left="1244" w:hanging="253"/>
        <w:spacing w:after="0"/>
        <w:tabs>
          <w:tab w:leader="none" w:pos="124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of the Borrower existing on the Effective Date and set forth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4" w:right="540" w:hanging="4"/>
        <w:spacing w:after="0" w:line="302" w:lineRule="auto"/>
        <w:tabs>
          <w:tab w:leader="none" w:pos="21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 such Lien shall extend to any other property or asset of the Borrower or any of the Subsidiary Guarantors (other than proceeds thereof of accessions thereto), and (ii) any such Lien shall secure only those obligations which it secures on the Effective Date and extensions, renewals and replacements thereof that do not increase the outstanding principal amount thereof except to the extent not prohibited hereunder;</w:t>
      </w:r>
    </w:p>
    <w:p>
      <w:pPr>
        <w:spacing w:after="0" w:line="88"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19" w:name="page120"/>
    <w:bookmarkEnd w:id="119"/>
    <w:p>
      <w:pPr>
        <w:ind w:left="4" w:right="260" w:firstLine="987"/>
        <w:spacing w:after="0" w:line="277" w:lineRule="auto"/>
        <w:tabs>
          <w:tab w:leader="none" w:pos="1250" w:val="left"/>
        </w:tabs>
        <w:numPr>
          <w:ilvl w:val="1"/>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created pursuant to this Agreement (including </w:t>
      </w:r>
      <w:r>
        <w:rPr>
          <w:rFonts w:ascii="Arial" w:cs="Arial" w:eastAsia="Arial" w:hAnsi="Arial"/>
          <w:sz w:val="18"/>
          <w:szCs w:val="18"/>
          <w:u w:val="single" w:color="auto"/>
          <w:color w:val="auto"/>
        </w:rPr>
        <w:t>Section 2.19</w:t>
      </w:r>
      <w:r>
        <w:rPr>
          <w:rFonts w:ascii="Arial" w:cs="Arial" w:eastAsia="Arial" w:hAnsi="Arial"/>
          <w:sz w:val="18"/>
          <w:szCs w:val="18"/>
          <w:color w:val="auto"/>
        </w:rPr>
        <w:t>) or any of the Security Documents (including Liens in favor of the Designated Indebtedness Holders (as defined in the Guarantee and Security Agreement));</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Liens on the assets of a Financing Subsidiary securing obligations of such Financing Subsidiary;</w:t>
      </w:r>
    </w:p>
    <w:p>
      <w:pPr>
        <w:spacing w:after="0" w:line="225" w:lineRule="exact"/>
        <w:rPr>
          <w:rFonts w:ascii="Arial" w:cs="Arial" w:eastAsia="Arial" w:hAnsi="Arial"/>
          <w:sz w:val="18"/>
          <w:szCs w:val="18"/>
          <w:color w:val="auto"/>
        </w:rPr>
      </w:pPr>
    </w:p>
    <w:p>
      <w:pPr>
        <w:ind w:left="4" w:right="240" w:firstLine="987"/>
        <w:spacing w:after="0" w:line="277" w:lineRule="auto"/>
        <w:tabs>
          <w:tab w:leader="none" w:pos="125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Liens on Special Equity Interests included in the Portfolio Investments of the Borrower but only to the extent securing obligations in the manner provided in the definition of “</w:t>
      </w:r>
      <w:r>
        <w:rPr>
          <w:rFonts w:ascii="Arial" w:cs="Arial" w:eastAsia="Arial" w:hAnsi="Arial"/>
          <w:sz w:val="18"/>
          <w:szCs w:val="18"/>
          <w:u w:val="single" w:color="auto"/>
          <w:color w:val="auto"/>
        </w:rPr>
        <w:t>Special Equity Interests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100" w:firstLine="987"/>
        <w:spacing w:after="0" w:line="286" w:lineRule="auto"/>
        <w:tabs>
          <w:tab w:leader="none" w:pos="124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Liens securing Indebtedness or other obligations in an aggregate principal amount not exceeding the greater of (i) $25,000,000 and (ii) 5% of Shareholders’ Equity at any one time outstanding (which may cover Portfolio Investments, but only to the extent released from, or otherwise not covered by, the Lien in favor of the Collateral Agent pursuant to Section 10.03 of the Guarantee and Security Agreement), so long as at the time of incurrence of such Indebtedness or other obligations, the aggregate outstanding principal amount of Indebtedness permitted under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 w:right="760" w:hanging="4"/>
        <w:spacing w:after="0" w:line="260" w:lineRule="auto"/>
        <w:tabs>
          <w:tab w:leader="none" w:pos="309" w:val="left"/>
        </w:tabs>
        <w:numPr>
          <w:ilvl w:val="0"/>
          <w:numId w:val="156"/>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(n)</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does not exceed the lesser of (i) the Borrowing Base and (ii) the amount required to comply with the provisions of </w:t>
      </w:r>
      <w:r>
        <w:rPr>
          <w:rFonts w:ascii="Arial" w:cs="Arial" w:eastAsia="Arial" w:hAnsi="Arial"/>
          <w:sz w:val="18"/>
          <w:szCs w:val="18"/>
          <w:u w:val="single" w:color="auto"/>
          <w:color w:val="auto"/>
        </w:rPr>
        <w:t>Sections 6.07(c)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185" w:lineRule="exact"/>
        <w:rPr>
          <w:rFonts w:ascii="Arial" w:cs="Arial" w:eastAsia="Arial" w:hAnsi="Arial"/>
          <w:sz w:val="18"/>
          <w:szCs w:val="18"/>
          <w:u w:val="single" w:color="auto"/>
          <w:color w:val="auto"/>
        </w:rPr>
      </w:pPr>
    </w:p>
    <w:p>
      <w:pPr>
        <w:ind w:left="1224" w:hanging="233"/>
        <w:spacing w:after="0"/>
        <w:tabs>
          <w:tab w:leader="none" w:pos="122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Liens on Equity Interests in any SBIC Subsidiary created in favor of the SBA;</w:t>
      </w:r>
    </w:p>
    <w:p>
      <w:pPr>
        <w:spacing w:after="0" w:line="225" w:lineRule="exact"/>
        <w:rPr>
          <w:rFonts w:ascii="Arial" w:cs="Arial" w:eastAsia="Arial" w:hAnsi="Arial"/>
          <w:sz w:val="18"/>
          <w:szCs w:val="18"/>
          <w:color w:val="auto"/>
        </w:rPr>
      </w:pPr>
    </w:p>
    <w:p>
      <w:pPr>
        <w:ind w:left="4" w:right="100" w:firstLine="987"/>
        <w:spacing w:after="0" w:line="259" w:lineRule="auto"/>
        <w:tabs>
          <w:tab w:leader="none" w:pos="125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Liens on the capital commitments of the equity holders of the Borrower and assets related thereto in connection with any Indebtedness permitted under Section 6.01(l) (including any account pledged to the agent or lenders in respect to such Indebtedness but excluding any Portfolio Investments, any proceeds of any Portfolio Investments and any cash or other property that has been credited to Pledged Account (as defined in the Guarantee and Security Agreement);</w:t>
      </w:r>
    </w:p>
    <w:p>
      <w:pPr>
        <w:spacing w:after="0" w:line="186" w:lineRule="exact"/>
        <w:rPr>
          <w:rFonts w:ascii="Arial" w:cs="Arial" w:eastAsia="Arial" w:hAnsi="Arial"/>
          <w:sz w:val="18"/>
          <w:szCs w:val="18"/>
          <w:color w:val="auto"/>
        </w:rPr>
      </w:pPr>
    </w:p>
    <w:p>
      <w:pPr>
        <w:ind w:left="4" w:right="120" w:firstLine="987"/>
        <w:spacing w:after="0" w:line="289" w:lineRule="auto"/>
        <w:tabs>
          <w:tab w:leader="none" w:pos="121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(x) Liens securing Hedging Agreements permitted under </w:t>
      </w:r>
      <w:r>
        <w:rPr>
          <w:rFonts w:ascii="Arial" w:cs="Arial" w:eastAsia="Arial" w:hAnsi="Arial"/>
          <w:sz w:val="16"/>
          <w:szCs w:val="16"/>
          <w:u w:val="single" w:color="auto"/>
          <w:color w:val="auto"/>
        </w:rPr>
        <w:t>Section 6.04(c)</w:t>
      </w:r>
      <w:r>
        <w:rPr>
          <w:rFonts w:ascii="Arial" w:cs="Arial" w:eastAsia="Arial" w:hAnsi="Arial"/>
          <w:sz w:val="16"/>
          <w:szCs w:val="16"/>
          <w:color w:val="auto"/>
        </w:rPr>
        <w:t xml:space="preserve"> and not otherwise permitted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Arial" w:cs="Arial" w:eastAsia="Arial" w:hAnsi="Arial"/>
          <w:sz w:val="16"/>
          <w:szCs w:val="16"/>
          <w:u w:val="single" w:color="auto"/>
          <w:color w:val="auto"/>
        </w:rPr>
        <w:t>sub-clause (y)</w:t>
      </w:r>
      <w:r>
        <w:rPr>
          <w:rFonts w:ascii="Arial" w:cs="Arial" w:eastAsia="Arial" w:hAnsi="Arial"/>
          <w:sz w:val="16"/>
          <w:szCs w:val="16"/>
          <w:color w:val="auto"/>
        </w:rPr>
        <w:t xml:space="preserve"> even if such Lender has assigned all of its Loans and other interests in this Agreement and thus has ceased to be a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Obligor be permitted to create, incur or assume any Lien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increase the aggregate amount of collateral securing any Liens previously permitted under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99" w:lineRule="exact"/>
        <w:rPr>
          <w:sz w:val="20"/>
          <w:szCs w:val="20"/>
          <w:color w:val="auto"/>
        </w:rPr>
      </w:pPr>
    </w:p>
    <w:p>
      <w:pPr>
        <w:jc w:val="both"/>
        <w:ind w:left="5624"/>
        <w:spacing w:after="0"/>
        <w:tabs>
          <w:tab w:leader="none" w:pos="896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20" w:name="page121"/>
    <w:bookmarkEnd w:id="120"/>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 Liens securing repurchase obligations arising in the ordinary course of business with respect to U.S. Government Securities.</w:t>
      </w:r>
    </w:p>
    <w:p>
      <w:pPr>
        <w:spacing w:after="0" w:line="237"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xml:space="preserve">.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6"/>
          <w:szCs w:val="16"/>
          <w:u w:val="single" w:color="auto"/>
          <w:color w:val="auto"/>
        </w:rPr>
        <w:t>clauses (d)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below, Portfolio Investments.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Notwithstanding the foregoing provisions of this Section:</w:t>
      </w:r>
    </w:p>
    <w:p>
      <w:pPr>
        <w:spacing w:after="0" w:line="117" w:lineRule="exact"/>
        <w:rPr>
          <w:sz w:val="20"/>
          <w:szCs w:val="20"/>
          <w:color w:val="auto"/>
        </w:rPr>
      </w:pPr>
    </w:p>
    <w:p>
      <w:pPr>
        <w:ind w:right="160" w:firstLine="987"/>
        <w:spacing w:after="0" w:line="263" w:lineRule="auto"/>
        <w:tabs>
          <w:tab w:leader="none" w:pos="12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any Subsidiary Guarantor of the Borrower may be merged or consolidated with or into the Borrower or any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transaction shall be between a Subsidiary Guarantor and a wholly owned Subsidiary Guarantor, the wholly owned Subsidiary Guarantor shall be the continuing or surviving entity;</w:t>
      </w:r>
    </w:p>
    <w:p>
      <w:pPr>
        <w:spacing w:after="0" w:line="183" w:lineRule="exact"/>
        <w:rPr>
          <w:rFonts w:ascii="Arial" w:cs="Arial" w:eastAsia="Arial" w:hAnsi="Arial"/>
          <w:sz w:val="18"/>
          <w:szCs w:val="18"/>
          <w:color w:val="auto"/>
        </w:rPr>
      </w:pPr>
    </w:p>
    <w:p>
      <w:pPr>
        <w:ind w:right="320" w:firstLine="987"/>
        <w:spacing w:after="0" w:line="263" w:lineRule="auto"/>
        <w:tabs>
          <w:tab w:leader="none" w:pos="12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Subsidiary Guarantor of the Borrower may sell, lease, transfer (including a deemed transfer resulting from a division or plan of division) or otherwise dispose of any or all of its assets (upon voluntary liquidation or otherwise) to the Borrower or any wholly owned Subsidiary Guarantor of the Borrower;</w:t>
      </w:r>
    </w:p>
    <w:p>
      <w:pPr>
        <w:spacing w:after="0" w:line="183" w:lineRule="exact"/>
        <w:rPr>
          <w:rFonts w:ascii="Arial" w:cs="Arial" w:eastAsia="Arial" w:hAnsi="Arial"/>
          <w:sz w:val="18"/>
          <w:szCs w:val="18"/>
          <w:color w:val="auto"/>
        </w:rPr>
      </w:pPr>
    </w:p>
    <w:p>
      <w:pPr>
        <w:ind w:right="200" w:firstLine="987"/>
        <w:spacing w:after="0" w:line="277" w:lineRule="auto"/>
        <w:tabs>
          <w:tab w:leader="none" w:pos="12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capital stock of any Subsidiary of the Borrower may be sold, transferred (including a deemed transfer resulting from a division or plan of division) or otherwise disposed of to the Borrower or any wholly owned Subsidiary Guarantor of the Borrower;</w:t>
      </w:r>
    </w:p>
    <w:p>
      <w:pPr>
        <w:spacing w:after="0" w:line="170" w:lineRule="exact"/>
        <w:rPr>
          <w:rFonts w:ascii="Arial" w:cs="Arial" w:eastAsia="Arial" w:hAnsi="Arial"/>
          <w:sz w:val="18"/>
          <w:szCs w:val="18"/>
          <w:color w:val="auto"/>
        </w:rPr>
      </w:pPr>
    </w:p>
    <w:p>
      <w:pPr>
        <w:ind w:right="140" w:firstLine="987"/>
        <w:spacing w:after="0" w:line="279" w:lineRule="auto"/>
        <w:tabs>
          <w:tab w:leader="none" w:pos="124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Obligors may sell, transfer (including a deemed transfer resulting from a division or plan of division)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71" w:lineRule="exact"/>
        <w:rPr>
          <w:rFonts w:ascii="Arial" w:cs="Arial" w:eastAsia="Arial" w:hAnsi="Arial"/>
          <w:sz w:val="17"/>
          <w:szCs w:val="17"/>
          <w:color w:val="auto"/>
        </w:rPr>
      </w:pPr>
    </w:p>
    <w:p>
      <w:pPr>
        <w:ind w:right="520" w:firstLine="987"/>
        <w:spacing w:after="0" w:line="263" w:lineRule="auto"/>
        <w:tabs>
          <w:tab w:leader="none" w:pos="12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Obligors may sell, transfer (including a deemed transfer resulting from a division or plan of division) or otherwise dispose of Portfolio Investments to a Financing Subsidiary so long as (i) after giving effect to such sale, transfer or other disposition (and any concurrent acquisitions of Portfolio Investments or payment of outstanding Loans or Other</w:t>
      </w:r>
    </w:p>
    <w:p>
      <w:pPr>
        <w:spacing w:after="0" w:line="116"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21" w:name="page122"/>
    <w:bookmarkEnd w:id="121"/>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71" w:lineRule="exact"/>
        <w:rPr>
          <w:sz w:val="20"/>
          <w:szCs w:val="20"/>
          <w:color w:val="auto"/>
        </w:rPr>
      </w:pPr>
    </w:p>
    <w:p>
      <w:pPr>
        <w:ind w:right="500" w:firstLine="987"/>
        <w:spacing w:after="0" w:line="263" w:lineRule="auto"/>
        <w:tabs>
          <w:tab w:leader="none" w:pos="121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 and</w:t>
      </w:r>
    </w:p>
    <w:p>
      <w:pPr>
        <w:spacing w:after="0" w:line="183" w:lineRule="exact"/>
        <w:rPr>
          <w:rFonts w:ascii="Arial" w:cs="Arial" w:eastAsia="Arial" w:hAnsi="Arial"/>
          <w:sz w:val="18"/>
          <w:szCs w:val="18"/>
          <w:color w:val="auto"/>
        </w:rPr>
      </w:pPr>
    </w:p>
    <w:p>
      <w:pPr>
        <w:ind w:right="160" w:firstLine="987"/>
        <w:spacing w:after="0" w:line="263" w:lineRule="auto"/>
        <w:tabs>
          <w:tab w:leader="none" w:pos="12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Borrower and each of the Subsidiary Guarantors may sell, lease, transfer (including a deemed transfer resulting from a division or plan of division) or otherwise dispose of equipment or other property or assets that do not consist of Portfolio Investments so long as the aggregate amount of all such sales, leases, transfer and dispositions does not exceed $5,000,000 in any fiscal year.</w:t>
      </w:r>
    </w:p>
    <w:p>
      <w:pPr>
        <w:spacing w:after="0" w:line="1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w:t>
      </w:r>
      <w:r>
        <w:rPr>
          <w:rFonts w:ascii="Arial" w:cs="Arial" w:eastAsia="Arial" w:hAnsi="Arial"/>
          <w:sz w:val="18"/>
          <w:szCs w:val="18"/>
          <w:color w:val="auto"/>
        </w:rPr>
        <w:t>. The Borrower will not, nor will it permit any of the Subsidiary Guarantors to, acquire, make or enter into, or hold, any Investments except:</w:t>
      </w:r>
    </w:p>
    <w:p>
      <w:pPr>
        <w:spacing w:after="0" w:line="170" w:lineRule="exact"/>
        <w:rPr>
          <w:sz w:val="20"/>
          <w:szCs w:val="20"/>
          <w:color w:val="auto"/>
        </w:rPr>
      </w:pPr>
    </w:p>
    <w:p>
      <w:pPr>
        <w:ind w:left="1240" w:hanging="253"/>
        <w:spacing w:after="0"/>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operating deposit accounts with banks;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Investments by the Borrower and the Subsidiary Guarantors in the Borrower and the Subsidiary Guarantors;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Hedging Agreements entered into in the ordinary course of the Borrower’s financial planning and not for speculative purposes;</w:t>
      </w:r>
    </w:p>
    <w:p>
      <w:pPr>
        <w:spacing w:after="0" w:line="236" w:lineRule="exact"/>
        <w:rPr>
          <w:rFonts w:ascii="Arial" w:cs="Arial" w:eastAsia="Arial" w:hAnsi="Arial"/>
          <w:sz w:val="17"/>
          <w:szCs w:val="17"/>
          <w:color w:val="auto"/>
        </w:rPr>
      </w:pPr>
    </w:p>
    <w:p>
      <w:pPr>
        <w:ind w:right="80" w:firstLine="987"/>
        <w:spacing w:after="0" w:line="277" w:lineRule="auto"/>
        <w:tabs>
          <w:tab w:leader="none" w:pos="12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70" w:lineRule="exact"/>
        <w:rPr>
          <w:rFonts w:ascii="Arial" w:cs="Arial" w:eastAsia="Arial" w:hAnsi="Arial"/>
          <w:sz w:val="18"/>
          <w:szCs w:val="18"/>
          <w:color w:val="auto"/>
        </w:rPr>
      </w:pPr>
    </w:p>
    <w:p>
      <w:pPr>
        <w:ind w:right="100" w:firstLine="987"/>
        <w:spacing w:after="0" w:line="286" w:lineRule="auto"/>
        <w:tabs>
          <w:tab w:leader="none" w:pos="123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that occur after the Commitment Termination Date and (y) all Investments under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below that occur after the Commitment Termination Date, shall not exceed $10,000,000 in the aggregate;</w:t>
      </w:r>
    </w:p>
    <w:p>
      <w:pPr>
        <w:spacing w:after="0" w:line="165" w:lineRule="exact"/>
        <w:rPr>
          <w:rFonts w:ascii="Arial" w:cs="Arial" w:eastAsia="Arial" w:hAnsi="Arial"/>
          <w:sz w:val="17"/>
          <w:szCs w:val="17"/>
          <w:color w:val="auto"/>
        </w:rPr>
      </w:pPr>
    </w:p>
    <w:p>
      <w:pPr>
        <w:ind w:right="300" w:firstLine="987"/>
        <w:spacing w:after="0" w:line="263" w:lineRule="auto"/>
        <w:tabs>
          <w:tab w:leader="none" w:pos="121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additional Investments up to but not exceeding $15,000,000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sum of (x) all Investments under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that occur after the Commitment Termination Date and (y) all Investments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that occur after the Commitment Termination Date, shall not exceed $10,000,000 in the aggregate;</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Investments described on </w:t>
      </w:r>
      <w:r>
        <w:rPr>
          <w:rFonts w:ascii="Arial" w:cs="Arial" w:eastAsia="Arial" w:hAnsi="Arial"/>
          <w:sz w:val="18"/>
          <w:szCs w:val="18"/>
          <w:u w:val="single" w:color="auto"/>
          <w:color w:val="auto"/>
        </w:rPr>
        <w:t>Schedule 3.12(b)</w:t>
      </w:r>
      <w:r>
        <w:rPr>
          <w:rFonts w:ascii="Arial" w:cs="Arial" w:eastAsia="Arial" w:hAnsi="Arial"/>
          <w:sz w:val="18"/>
          <w:szCs w:val="18"/>
          <w:color w:val="auto"/>
        </w:rPr>
        <w:t>;</w:t>
      </w:r>
    </w:p>
    <w:p>
      <w:pPr>
        <w:spacing w:after="0" w:line="158"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22" w:name="page123"/>
    <w:bookmarkEnd w:id="122"/>
    <w:p>
      <w:pPr>
        <w:ind w:left="1200" w:hanging="213"/>
        <w:spacing w:after="0"/>
        <w:tabs>
          <w:tab w:leader="none" w:pos="12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by a Financing Subsidiary; and</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Investments in the form of Guarantees permitted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For purposes of </w:t>
      </w:r>
      <w:r>
        <w:rPr>
          <w:rFonts w:ascii="Arial" w:cs="Arial" w:eastAsia="Arial" w:hAnsi="Arial"/>
          <w:sz w:val="17"/>
          <w:szCs w:val="17"/>
          <w:u w:val="single" w:color="auto"/>
          <w:color w:val="auto"/>
        </w:rPr>
        <w:t>clause (f)</w:t>
      </w:r>
      <w:r>
        <w:rPr>
          <w:rFonts w:ascii="Arial" w:cs="Arial" w:eastAsia="Arial" w:hAnsi="Arial"/>
          <w:sz w:val="17"/>
          <w:szCs w:val="17"/>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dividends, distributions or other payments received in cash in respect of such Investment;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78"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nor will it permit any of the Subsidiary Guarantors to, declare or make, or agree to pay or make, directly or indirectly, any Restricted Payment, except that the Borrower may declare and pay:</w:t>
      </w:r>
    </w:p>
    <w:p>
      <w:pPr>
        <w:spacing w:after="0" w:line="170" w:lineRule="exact"/>
        <w:rPr>
          <w:sz w:val="20"/>
          <w:szCs w:val="20"/>
          <w:color w:val="auto"/>
        </w:rPr>
      </w:pPr>
    </w:p>
    <w:p>
      <w:pPr>
        <w:ind w:left="1240" w:hanging="253"/>
        <w:spacing w:after="0"/>
        <w:tabs>
          <w:tab w:leader="none" w:pos="12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dividends with respect to the capital stock of the Borrower payable solely in additional shares of the Borrower’s common stock;</w:t>
      </w:r>
    </w:p>
    <w:p>
      <w:pPr>
        <w:spacing w:after="0" w:line="236" w:lineRule="exact"/>
        <w:rPr>
          <w:rFonts w:ascii="Arial" w:cs="Arial" w:eastAsia="Arial" w:hAnsi="Arial"/>
          <w:sz w:val="17"/>
          <w:szCs w:val="17"/>
          <w:color w:val="auto"/>
        </w:rPr>
      </w:pPr>
    </w:p>
    <w:p>
      <w:pPr>
        <w:ind w:right="260" w:firstLine="987"/>
        <w:spacing w:after="0" w:line="286" w:lineRule="auto"/>
        <w:tabs>
          <w:tab w:leader="none" w:pos="124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65" w:lineRule="exact"/>
        <w:rPr>
          <w:rFonts w:ascii="Arial" w:cs="Arial" w:eastAsia="Arial" w:hAnsi="Arial"/>
          <w:sz w:val="17"/>
          <w:szCs w:val="17"/>
          <w:color w:val="auto"/>
        </w:rPr>
      </w:pPr>
    </w:p>
    <w:p>
      <w:pPr>
        <w:ind w:right="20" w:firstLine="987"/>
        <w:spacing w:after="0" w:line="263" w:lineRule="auto"/>
        <w:tabs>
          <w:tab w:leader="none" w:pos="123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so long as on the date of such Restricted Payment and after giving effect thereto:</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result therefrom; and</w:t>
      </w:r>
    </w:p>
    <w:p>
      <w:pPr>
        <w:spacing w:after="0" w:line="117" w:lineRule="exact"/>
        <w:rPr>
          <w:rFonts w:ascii="Arial" w:cs="Arial" w:eastAsia="Arial" w:hAnsi="Arial"/>
          <w:sz w:val="18"/>
          <w:szCs w:val="18"/>
          <w:color w:val="auto"/>
        </w:rPr>
      </w:pPr>
    </w:p>
    <w:p>
      <w:pPr>
        <w:ind w:left="440" w:right="20" w:firstLine="948"/>
        <w:spacing w:after="0" w:line="255" w:lineRule="auto"/>
        <w:tabs>
          <w:tab w:leader="none" w:pos="165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the aggregate amount of Restricted Payments made during any taxable year of the Borrower after the date hereof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exceed the difference of (x) an amount equal to 10% of the taxable income of the Borrower for such taxable year determined under section 852(b)(2) of the Code, but without regard to </w:t>
      </w:r>
      <w:r>
        <w:rPr>
          <w:rFonts w:ascii="Arial" w:cs="Arial" w:eastAsia="Arial" w:hAnsi="Arial"/>
          <w:sz w:val="18"/>
          <w:szCs w:val="18"/>
          <w:u w:val="single" w:color="auto"/>
          <w:color w:val="auto"/>
        </w:rPr>
        <w:t>subparagraphs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amount, if any, by which dividends and distributions made during such taxable year pursuant to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such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for such taxable year.</w:t>
      </w:r>
    </w:p>
    <w:p>
      <w:pPr>
        <w:spacing w:after="0" w:line="192" w:lineRule="exact"/>
        <w:rPr>
          <w:rFonts w:ascii="Arial" w:cs="Arial" w:eastAsia="Arial" w:hAnsi="Arial"/>
          <w:sz w:val="18"/>
          <w:szCs w:val="18"/>
          <w:color w:val="auto"/>
        </w:rPr>
      </w:pPr>
    </w:p>
    <w:p>
      <w:pPr>
        <w:ind w:right="100" w:firstLine="987"/>
        <w:spacing w:after="0" w:line="342" w:lineRule="auto"/>
        <w:tabs>
          <w:tab w:leader="none" w:pos="124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other Restricted Payments so long as on the date of such other Restricted Payment and after giving effect thereto (x) the Covered Debt Amount does not exceed 90% of the Borrowing Base and (y) no Default shall have occurred and be continuing or would result therefrom.</w:t>
      </w:r>
    </w:p>
    <w:p>
      <w:pPr>
        <w:spacing w:after="0" w:line="56"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23" w:name="page124"/>
    <w:bookmarkEnd w:id="123"/>
    <w:p>
      <w:pPr>
        <w:ind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herein shall be deemed to prohibit the payment of Restricted Payments by any Subsidiary of the Borrower to the Borrower or to any other Subsidiary Guarantor.</w:t>
      </w:r>
    </w:p>
    <w:p>
      <w:pPr>
        <w:spacing w:after="0" w:line="170"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Certain Restrictions on Subsidiaries</w:t>
      </w:r>
      <w:r>
        <w:rPr>
          <w:rFonts w:ascii="Arial" w:cs="Arial" w:eastAsia="Arial" w:hAnsi="Arial"/>
          <w:sz w:val="17"/>
          <w:szCs w:val="17"/>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Certain Financial Covenants</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63" w:lineRule="auto"/>
        <w:tabs>
          <w:tab w:leader="none" w:pos="1236"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Minimum Shareholders’ Equity</w:t>
      </w:r>
      <w:r>
        <w:rPr>
          <w:rFonts w:ascii="Arial" w:cs="Arial" w:eastAsia="Arial" w:hAnsi="Arial"/>
          <w:sz w:val="18"/>
          <w:szCs w:val="18"/>
          <w:color w:val="auto"/>
        </w:rPr>
        <w:t>. The Borrower will not permit Shareholders’ Equity at the last day of any fiscal quarter of the Borrower to be less than (i) $356,000,000, plus (ii) 25% of the net proceeds of the sale of Equity Interests by the Borrower and its Subsidiaries after the Effective Date (other than proceeds of sales of Equity Interests by and among the Borrower and its Subsidiaries).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Borrower Asset Coverage Ratio</w:t>
      </w:r>
      <w:r>
        <w:rPr>
          <w:rFonts w:ascii="Arial" w:cs="Arial" w:eastAsia="Arial" w:hAnsi="Arial"/>
          <w:sz w:val="18"/>
          <w:szCs w:val="18"/>
          <w:color w:val="auto"/>
        </w:rPr>
        <w:t>. The Borrower will not permit the Borrower Asset Coverage Ratio at the last day of any fiscal quarter of the Borrower to be less than 2.00 to 1 at any time.</w:t>
      </w:r>
    </w:p>
    <w:p>
      <w:pPr>
        <w:spacing w:after="0" w:line="170"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Consolidated Asset Coverage Ratio</w:t>
      </w:r>
      <w:r>
        <w:rPr>
          <w:rFonts w:ascii="Arial" w:cs="Arial" w:eastAsia="Arial" w:hAnsi="Arial"/>
          <w:sz w:val="18"/>
          <w:szCs w:val="18"/>
          <w:color w:val="auto"/>
        </w:rPr>
        <w:t>. The Borrower will not permit the Consolidated Asset Coverage Ratio at the last day of any fiscal quarter of the Borrower to be less than 1.50 to 1 at any time.</w:t>
      </w:r>
    </w:p>
    <w:p>
      <w:pPr>
        <w:spacing w:after="0" w:line="170" w:lineRule="exact"/>
        <w:rPr>
          <w:sz w:val="20"/>
          <w:szCs w:val="20"/>
          <w:color w:val="auto"/>
        </w:rPr>
      </w:pPr>
    </w:p>
    <w:p>
      <w:pPr>
        <w:ind w:right="240" w:firstLine="991"/>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The Borrower will not, and will not permit any of its Subsidiaries to enter into any transactions with any of its Affiliates, even if otherwise permitted under this Agreement, except (a) transactions at prices and on terms and conditions not materially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(d) the Affiliate Agreements and the transactions provided in the Affiliate Agreements, (e) transactions described on </w:t>
      </w:r>
      <w:r>
        <w:rPr>
          <w:rFonts w:ascii="Arial" w:cs="Arial" w:eastAsia="Arial" w:hAnsi="Arial"/>
          <w:sz w:val="18"/>
          <w:szCs w:val="18"/>
          <w:u w:val="single" w:color="auto"/>
          <w:color w:val="auto"/>
        </w:rPr>
        <w:t>Schedule 6.08</w:t>
      </w:r>
      <w:r>
        <w:rPr>
          <w:rFonts w:ascii="Arial" w:cs="Arial" w:eastAsia="Arial" w:hAnsi="Arial"/>
          <w:sz w:val="18"/>
          <w:szCs w:val="18"/>
          <w:color w:val="auto"/>
        </w:rPr>
        <w:t>,</w:t>
      </w:r>
    </w:p>
    <w:p>
      <w:pPr>
        <w:spacing w:after="0" w:line="125"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24" w:name="page125"/>
    <w:bookmarkEnd w:id="124"/>
    <w:p>
      <w:pPr>
        <w:ind w:left="4" w:right="200" w:hanging="4"/>
        <w:spacing w:after="0" w:line="259" w:lineRule="auto"/>
        <w:tabs>
          <w:tab w:leader="none" w:pos="229"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187"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4" w:lineRule="exact"/>
        <w:rPr>
          <w:sz w:val="20"/>
          <w:szCs w:val="20"/>
          <w:color w:val="auto"/>
        </w:rPr>
      </w:pPr>
    </w:p>
    <w:p>
      <w:pPr>
        <w:ind w:left="4" w:right="20" w:firstLine="991"/>
        <w:spacing w:after="0" w:line="269"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No Further Negative Pledge</w:t>
      </w:r>
      <w:r>
        <w:rPr>
          <w:rFonts w:ascii="Arial" w:cs="Arial" w:eastAsia="Arial" w:hAnsi="Arial"/>
          <w:sz w:val="17"/>
          <w:szCs w:val="17"/>
          <w:color w:val="auto"/>
        </w:rPr>
        <w:t xml:space="preserve">. The Borrower will not, and will not permit any of the Subsidiary Guarantors to, enter into any agreement, instrument, deed or lease which prohibits or limits in any material respect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7"/>
          <w:szCs w:val="17"/>
          <w:u w:val="single" w:color="auto"/>
          <w:color w:val="auto"/>
        </w:rPr>
        <w:t>Section 6.01(b), (i)</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(n)</w:t>
      </w:r>
      <w:r>
        <w:rPr>
          <w:rFonts w:ascii="Arial" w:cs="Arial" w:eastAsia="Arial" w:hAnsi="Arial"/>
          <w:sz w:val="17"/>
          <w:szCs w:val="17"/>
          <w:color w:val="auto"/>
        </w:rPr>
        <w:t xml:space="preserve">; (b) covenants in documents creating Liens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(including covenants with respect to the Designated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7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Modifications of Longer-Term Indebtedness Documents</w:t>
      </w:r>
      <w:r>
        <w:rPr>
          <w:rFonts w:ascii="Arial" w:cs="Arial" w:eastAsia="Arial" w:hAnsi="Arial"/>
          <w:sz w:val="16"/>
          <w:szCs w:val="16"/>
          <w:color w:val="auto"/>
        </w:rPr>
        <w:t>. The Borrower will not consent to any modification, supplement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waiver of:</w:t>
      </w:r>
    </w:p>
    <w:p>
      <w:pPr>
        <w:spacing w:after="0" w:line="211" w:lineRule="exact"/>
        <w:rPr>
          <w:sz w:val="20"/>
          <w:szCs w:val="20"/>
          <w:color w:val="auto"/>
        </w:rPr>
      </w:pPr>
    </w:p>
    <w:p>
      <w:pPr>
        <w:ind w:left="4" w:right="20" w:firstLine="987"/>
        <w:spacing w:after="0" w:line="289" w:lineRule="auto"/>
        <w:tabs>
          <w:tab w:leader="none" w:pos="124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99"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25" w:name="page126"/>
    <w:bookmarkEnd w:id="125"/>
    <w:p>
      <w:pPr>
        <w:ind w:left="4" w:right="180" w:firstLine="987"/>
        <w:spacing w:after="0" w:line="263" w:lineRule="auto"/>
        <w:tabs>
          <w:tab w:leader="none" w:pos="1250"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84"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Payments of Longer-Term Indebtedness</w:t>
      </w:r>
      <w:r>
        <w:rPr>
          <w:rFonts w:ascii="Arial" w:cs="Arial" w:eastAsia="Arial" w:hAnsi="Arial"/>
          <w:sz w:val="16"/>
          <w:szCs w:val="16"/>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or Special Unsecured Indebtedness (other than the refinancing of Secured Longer-Term Indebtedness, Unsecured Longer-Term Indebtedness or Special Unsecured Indebtedness with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 so long as no Default shall exist or be continuing, any payment that, if treated as a Restricted Payment for purposes of </w:t>
      </w:r>
      <w:r>
        <w:rPr>
          <w:rFonts w:ascii="Arial" w:cs="Arial" w:eastAsia="Arial" w:hAnsi="Arial"/>
          <w:sz w:val="16"/>
          <w:szCs w:val="16"/>
          <w:u w:val="single" w:color="auto"/>
          <w:color w:val="auto"/>
        </w:rPr>
        <w:t>Section 6.05(d)</w:t>
      </w:r>
      <w:r>
        <w:rPr>
          <w:rFonts w:ascii="Arial" w:cs="Arial" w:eastAsia="Arial" w:hAnsi="Arial"/>
          <w:sz w:val="16"/>
          <w:szCs w:val="16"/>
          <w:color w:val="auto"/>
        </w:rPr>
        <w:t xml:space="preserve">, would be permitted to be made pursuant to the provisions set forth in </w:t>
      </w:r>
      <w:r>
        <w:rPr>
          <w:rFonts w:ascii="Arial" w:cs="Arial" w:eastAsia="Arial" w:hAnsi="Arial"/>
          <w:sz w:val="16"/>
          <w:szCs w:val="16"/>
          <w:u w:val="single" w:color="auto"/>
          <w:color w:val="auto"/>
        </w:rPr>
        <w:t>Section 6.05(d)</w:t>
      </w:r>
      <w:r>
        <w:rPr>
          <w:rFonts w:ascii="Arial" w:cs="Arial" w:eastAsia="Arial" w:hAnsi="Arial"/>
          <w:sz w:val="16"/>
          <w:szCs w:val="16"/>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and (ii) no Default shall exist or be continuing; (d) mandatory payments, required prepayments or mandatory redemptions of convertible notes constituting Unsecured Longer-Term Indebtedness or Special Unsecured Indebtedness in Cash (including any cash payment elected to be paid in connection with the settlement by the Borrower of any conversion at the option of any holder of convertible notes pursuant to the conversion features thereunder), so long as both before and after giving effect to such payment (i) no Event of Default shall exist or be continuing and (ii) the Covered Debt Amount does not exceed the Borrowing Base; and (e) 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18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Accounting Changes</w:t>
      </w:r>
      <w:r>
        <w:rPr>
          <w:rFonts w:ascii="Arial" w:cs="Arial" w:eastAsia="Arial" w:hAnsi="Arial"/>
          <w:sz w:val="18"/>
          <w:szCs w:val="18"/>
          <w:color w:val="auto"/>
        </w:rPr>
        <w:t>. The Borrower will not, nor will it permit any of its Subsidiaries to, make any change in</w:t>
      </w:r>
    </w:p>
    <w:p>
      <w:pPr>
        <w:spacing w:after="0" w:line="23" w:lineRule="exact"/>
        <w:rPr>
          <w:sz w:val="20"/>
          <w:szCs w:val="20"/>
          <w:color w:val="auto"/>
        </w:rPr>
      </w:pPr>
    </w:p>
    <w:p>
      <w:pPr>
        <w:ind w:left="4" w:right="120" w:hanging="4"/>
        <w:spacing w:after="0" w:line="260" w:lineRule="auto"/>
        <w:tabs>
          <w:tab w:leader="none" w:pos="24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accounting policies or reporting practices, except as permitted under GAAP or required by law or rule or regulation of any Governmental Authority, or (b) its fiscal year.</w:t>
      </w:r>
    </w:p>
    <w:p>
      <w:pPr>
        <w:spacing w:after="0" w:line="118"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26" w:name="page127"/>
    <w:bookmarkEnd w:id="126"/>
    <w:p>
      <w:pPr>
        <w:ind w:right="3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6.14. </w:t>
      </w:r>
      <w:r>
        <w:rPr>
          <w:rFonts w:ascii="Arial" w:cs="Arial" w:eastAsia="Arial" w:hAnsi="Arial"/>
          <w:sz w:val="18"/>
          <w:szCs w:val="18"/>
          <w:u w:val="single" w:color="auto"/>
          <w:color w:val="auto"/>
        </w:rPr>
        <w:t>SBIC Guarantee</w:t>
      </w:r>
      <w:r>
        <w:rPr>
          <w:rFonts w:ascii="Arial" w:cs="Arial" w:eastAsia="Arial" w:hAnsi="Arial"/>
          <w:sz w:val="18"/>
          <w:szCs w:val="18"/>
          <w:color w:val="auto"/>
        </w:rPr>
        <w:t>. The Borrower will not, nor will it permit any of its Subsidiaries to, cause or permit the occurrence of any event or condition that would result in any recourse to any Obligor under any Permitted SBIC Guarantee.</w:t>
      </w:r>
    </w:p>
    <w:p>
      <w:pPr>
        <w:spacing w:after="0" w:line="170"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SECTION 6.15.</w:t>
      </w:r>
      <w:r>
        <w:rPr>
          <w:rFonts w:ascii="Arial" w:cs="Arial" w:eastAsia="Arial" w:hAnsi="Arial"/>
          <w:sz w:val="17"/>
          <w:szCs w:val="17"/>
          <w:u w:val="single" w:color="auto"/>
          <w:color w:val="auto"/>
        </w:rPr>
        <w:t>Capital Call Facility</w:t>
      </w:r>
      <w:r>
        <w:rPr>
          <w:rFonts w:ascii="Arial" w:cs="Arial" w:eastAsia="Arial" w:hAnsi="Arial"/>
          <w:sz w:val="17"/>
          <w:szCs w:val="17"/>
          <w:color w:val="auto"/>
        </w:rPr>
        <w:t>. The Borrower will not, nor will it permit any other Obligor to, make any payment or prepayment of the principal or any other amount owing in respect of any Capital Call Facility from the proceeds of the Collateral, except (a) regularly scheduled payments of principal and interest and (b) any other payment if (i) no Default or Event of Default shall have occurred and be continuing and (ii) the Covered Debt Amount does not exceed the Borrowing Base after giving effect to such payment. For avoidance of doubt, there shall be no restriction on payment or prepayment of any Capital Call Facility from amounts that do not constitute Collateral.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117" w:lineRule="exact"/>
        <w:rPr>
          <w:sz w:val="20"/>
          <w:szCs w:val="20"/>
          <w:color w:val="auto"/>
        </w:rPr>
      </w:pPr>
    </w:p>
    <w:p>
      <w:pPr>
        <w:ind w:right="160" w:firstLine="987"/>
        <w:spacing w:after="0" w:line="259" w:lineRule="auto"/>
        <w:tabs>
          <w:tab w:leader="none" w:pos="12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on the Commitment Termination Date on the date so required;</w:t>
      </w:r>
    </w:p>
    <w:p>
      <w:pPr>
        <w:spacing w:after="0" w:line="186" w:lineRule="exact"/>
        <w:rPr>
          <w:rFonts w:ascii="Arial" w:cs="Arial" w:eastAsia="Arial" w:hAnsi="Arial"/>
          <w:sz w:val="18"/>
          <w:szCs w:val="18"/>
          <w:color w:val="auto"/>
        </w:rPr>
      </w:pPr>
    </w:p>
    <w:p>
      <w:pPr>
        <w:ind w:right="40" w:firstLine="987"/>
        <w:spacing w:after="0" w:line="263" w:lineRule="auto"/>
        <w:tabs>
          <w:tab w:leader="none" w:pos="12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the Borrower shall fail to pay any interest on any Loan or any fee or any other amount (other than an amount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75" w:lineRule="exact"/>
        <w:rPr>
          <w:rFonts w:ascii="Arial" w:cs="Arial" w:eastAsia="Arial" w:hAnsi="Arial"/>
          <w:sz w:val="18"/>
          <w:szCs w:val="18"/>
          <w:color w:val="auto"/>
        </w:rPr>
      </w:pPr>
    </w:p>
    <w:p>
      <w:pPr>
        <w:ind w:right="60" w:firstLine="987"/>
        <w:spacing w:after="0" w:line="273" w:lineRule="auto"/>
        <w:tabs>
          <w:tab w:leader="none" w:pos="123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 and such failure shall continue unremedied for a period of ten (10) or more Business Days after the earlier of the Borrower obtaining actual knowledge thereof or receiving notice thereof from the Administrative Agent (given at the request of any Lender);</w:t>
      </w:r>
    </w:p>
    <w:p>
      <w:pPr>
        <w:spacing w:after="0" w:line="177" w:lineRule="exact"/>
        <w:rPr>
          <w:rFonts w:ascii="Arial" w:cs="Arial" w:eastAsia="Arial" w:hAnsi="Arial"/>
          <w:sz w:val="17"/>
          <w:szCs w:val="17"/>
          <w:color w:val="auto"/>
        </w:rPr>
      </w:pPr>
    </w:p>
    <w:p>
      <w:pPr>
        <w:ind w:right="180" w:firstLine="987"/>
        <w:spacing w:after="0" w:line="301" w:lineRule="auto"/>
        <w:tabs>
          <w:tab w:leader="none" w:pos="124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Borrower shall fail to observe or perform any covenant, condition or agreement contained in (i)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(with respect to the Borrower’s existence) or </w:t>
      </w:r>
      <w:r>
        <w:rPr>
          <w:rFonts w:ascii="Arial" w:cs="Arial" w:eastAsia="Arial" w:hAnsi="Arial"/>
          <w:sz w:val="16"/>
          <w:szCs w:val="16"/>
          <w:u w:val="single" w:color="auto"/>
          <w:color w:val="auto"/>
        </w:rPr>
        <w:t>Sections 5.08(a)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any Obligor shall default in the performance of any of its obligations contained in Sections 3 and 7 of the Guarantee and Security Agreement or (ii) </w:t>
      </w:r>
      <w:r>
        <w:rPr>
          <w:rFonts w:ascii="Arial" w:cs="Arial" w:eastAsia="Arial" w:hAnsi="Arial"/>
          <w:sz w:val="16"/>
          <w:szCs w:val="16"/>
          <w:u w:val="single" w:color="auto"/>
          <w:color w:val="auto"/>
        </w:rPr>
        <w:t>Sections 5.01(d)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and such failure shall continue unremedied for a period of five or more days after notice thereof by the Administrative Agent (given at the request of any Lender) to the Borrower;</w:t>
      </w:r>
    </w:p>
    <w:p>
      <w:pPr>
        <w:spacing w:after="0" w:line="90"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27" w:name="page128"/>
    <w:bookmarkEnd w:id="127"/>
    <w:p>
      <w:pPr>
        <w:ind w:left="-987" w:right="20" w:firstLine="987"/>
        <w:spacing w:after="0" w:line="275" w:lineRule="auto"/>
        <w:tabs>
          <w:tab w:leader="none" w:pos="249" w:val="left"/>
        </w:tabs>
        <w:numPr>
          <w:ilvl w:val="0"/>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7"/>
          <w:szCs w:val="17"/>
          <w:u w:val="single" w:color="auto"/>
          <w:color w:val="auto"/>
        </w:rPr>
        <w:t>Section 5.01(e)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76" w:lineRule="exact"/>
        <w:rPr>
          <w:rFonts w:ascii="Arial" w:cs="Arial" w:eastAsia="Arial" w:hAnsi="Arial"/>
          <w:sz w:val="17"/>
          <w:szCs w:val="17"/>
          <w:color w:val="auto"/>
        </w:rPr>
      </w:pPr>
    </w:p>
    <w:p>
      <w:pPr>
        <w:ind w:left="-987" w:right="340" w:firstLine="987"/>
        <w:spacing w:after="0" w:line="311" w:lineRule="auto"/>
        <w:tabs>
          <w:tab w:leader="none" w:pos="22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w:t>
      </w:r>
      <w:r>
        <w:rPr>
          <w:rFonts w:ascii="Arial" w:cs="Arial" w:eastAsia="Arial" w:hAnsi="Arial"/>
          <w:sz w:val="16"/>
          <w:szCs w:val="16"/>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48" w:lineRule="exact"/>
        <w:rPr>
          <w:rFonts w:ascii="Arial" w:cs="Arial" w:eastAsia="Arial" w:hAnsi="Arial"/>
          <w:sz w:val="16"/>
          <w:szCs w:val="16"/>
          <w:color w:val="auto"/>
        </w:rPr>
      </w:pPr>
    </w:p>
    <w:p>
      <w:pPr>
        <w:ind w:left="-987" w:right="300" w:firstLine="987"/>
        <w:spacing w:after="0" w:line="342" w:lineRule="auto"/>
        <w:tabs>
          <w:tab w:leader="none" w:pos="25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23" w:lineRule="exact"/>
        <w:rPr>
          <w:rFonts w:ascii="Arial" w:cs="Arial" w:eastAsia="Arial" w:hAnsi="Arial"/>
          <w:sz w:val="16"/>
          <w:szCs w:val="16"/>
          <w:color w:val="auto"/>
        </w:rPr>
      </w:pPr>
    </w:p>
    <w:p>
      <w:pPr>
        <w:ind w:left="-987" w:right="20" w:firstLine="987"/>
        <w:spacing w:after="0" w:line="290" w:lineRule="auto"/>
        <w:tabs>
          <w:tab w:leader="none" w:pos="25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65" w:lineRule="exact"/>
        <w:rPr>
          <w:rFonts w:ascii="Arial" w:cs="Arial" w:eastAsia="Arial" w:hAnsi="Arial"/>
          <w:sz w:val="16"/>
          <w:szCs w:val="16"/>
          <w:color w:val="auto"/>
        </w:rPr>
      </w:pPr>
    </w:p>
    <w:p>
      <w:pPr>
        <w:ind w:left="-987" w:right="20" w:firstLine="987"/>
        <w:spacing w:after="0" w:line="273" w:lineRule="auto"/>
        <w:tabs>
          <w:tab w:leader="none" w:pos="21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10" w:lineRule="exact"/>
        <w:rPr>
          <w:sz w:val="20"/>
          <w:szCs w:val="20"/>
          <w:color w:val="auto"/>
        </w:rPr>
      </w:pPr>
    </w:p>
    <w:p>
      <w:pPr>
        <w:jc w:val="both"/>
        <w:ind w:left="4613"/>
        <w:spacing w:after="0"/>
        <w:tabs>
          <w:tab w:leader="none" w:pos="7972"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33"/>
          </w:cols>
          <w:pgMar w:left="1427" w:top="274" w:right="439" w:bottom="1440" w:gutter="0" w:footer="0" w:header="0"/>
        </w:sectPr>
      </w:pPr>
    </w:p>
    <w:bookmarkStart w:id="128" w:name="page129"/>
    <w:bookmarkEnd w:id="128"/>
    <w:p>
      <w:pPr>
        <w:ind w:left="4" w:right="100" w:firstLine="987"/>
        <w:spacing w:after="0" w:line="287" w:lineRule="auto"/>
        <w:tabs>
          <w:tab w:leader="none" w:pos="1210" w:val="left"/>
        </w:tabs>
        <w:numPr>
          <w:ilvl w:val="1"/>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4" w:right="180" w:hanging="4"/>
        <w:spacing w:after="0" w:line="253" w:lineRule="auto"/>
        <w:tabs>
          <w:tab w:leader="none" w:pos="219" w:val="left"/>
        </w:tabs>
        <w:numPr>
          <w:ilvl w:val="0"/>
          <w:numId w:val="170"/>
        </w:numPr>
        <w:rPr>
          <w:rFonts w:ascii="Arial" w:cs="Arial" w:eastAsia="Arial" w:hAnsi="Arial"/>
          <w:sz w:val="18"/>
          <w:szCs w:val="18"/>
          <w:u w:val="single" w:color="auto"/>
          <w:color w:val="auto"/>
        </w:rPr>
      </w:pPr>
      <w:r>
        <w:rPr>
          <w:rFonts w:ascii="Arial" w:cs="Arial" w:eastAsia="Arial" w:hAnsi="Arial"/>
          <w:sz w:val="18"/>
          <w:szCs w:val="18"/>
          <w:color w:val="auto"/>
        </w:rPr>
        <w:t>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92" w:lineRule="exact"/>
        <w:rPr>
          <w:rFonts w:ascii="Arial" w:cs="Arial" w:eastAsia="Arial" w:hAnsi="Arial"/>
          <w:sz w:val="18"/>
          <w:szCs w:val="18"/>
          <w:u w:val="single" w:color="auto"/>
          <w:color w:val="auto"/>
        </w:rPr>
      </w:pPr>
    </w:p>
    <w:p>
      <w:pPr>
        <w:ind w:left="4" w:right="240" w:firstLine="987"/>
        <w:spacing w:after="0" w:line="277" w:lineRule="auto"/>
        <w:tabs>
          <w:tab w:leader="none" w:pos="125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Borrower or any of its Subsidiaries (other than Immaterial Subsidiaries)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ind w:left="4" w:right="60" w:firstLine="987"/>
        <w:spacing w:after="0" w:line="279" w:lineRule="auto"/>
        <w:tabs>
          <w:tab w:leader="none" w:pos="121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one or more judgments for the payment of money in an aggregate amount in excess of $50,000,000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71" w:lineRule="exact"/>
        <w:rPr>
          <w:rFonts w:ascii="Arial" w:cs="Arial" w:eastAsia="Arial" w:hAnsi="Arial"/>
          <w:sz w:val="17"/>
          <w:szCs w:val="17"/>
          <w:color w:val="auto"/>
        </w:rPr>
      </w:pPr>
    </w:p>
    <w:p>
      <w:pPr>
        <w:ind w:left="4" w:right="240" w:firstLine="987"/>
        <w:spacing w:after="0" w:line="277" w:lineRule="auto"/>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would reasonably be expected to result in a Material Adverse Effect;</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Borrower shall cease to be managed by the External Manager or an Affiliate thereof;</w:t>
      </w:r>
    </w:p>
    <w:p>
      <w:pPr>
        <w:spacing w:after="0" w:line="117" w:lineRule="exact"/>
        <w:rPr>
          <w:rFonts w:ascii="Arial" w:cs="Arial" w:eastAsia="Arial" w:hAnsi="Arial"/>
          <w:sz w:val="18"/>
          <w:szCs w:val="18"/>
          <w:color w:val="auto"/>
        </w:rPr>
      </w:pPr>
    </w:p>
    <w:p>
      <w:pPr>
        <w:ind w:left="4" w:right="80" w:firstLine="987"/>
        <w:spacing w:after="0" w:line="296" w:lineRule="auto"/>
        <w:tabs>
          <w:tab w:leader="none" w:pos="125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if, prior to the Final Maturity Date, fewer than four of Brian D’Arcy, Joshua Easterly, Mike Griffin, Michael Fishman, Bo Stanley, David Stiepleman and Alan Waxman, fail to devote substantially all of their business time and attention to the investment activities of the Borrower and the other investment vehicles managed by TSSP Management Holdings, L.P. and its Affiliates;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61" w:lineRule="exact"/>
        <w:rPr>
          <w:rFonts w:ascii="Arial" w:cs="Arial" w:eastAsia="Arial" w:hAnsi="Arial"/>
          <w:sz w:val="16"/>
          <w:szCs w:val="16"/>
          <w:color w:val="auto"/>
        </w:rPr>
      </w:pPr>
    </w:p>
    <w:p>
      <w:pPr>
        <w:ind w:left="4" w:right="140" w:firstLine="987"/>
        <w:spacing w:after="0" w:line="275" w:lineRule="auto"/>
        <w:tabs>
          <w:tab w:leader="none" w:pos="125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Collateral Agent, free and clear of all other Liens (other than Liens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09"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29" w:name="page130"/>
    <w:bookmarkEnd w:id="129"/>
    <w:p>
      <w:pPr>
        <w:ind w:left="4" w:right="60" w:firstLine="987"/>
        <w:spacing w:after="0" w:line="308" w:lineRule="auto"/>
        <w:tabs>
          <w:tab w:leader="none" w:pos="12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46" w:lineRule="exact"/>
        <w:rPr>
          <w:rFonts w:ascii="Arial" w:cs="Arial" w:eastAsia="Arial" w:hAnsi="Arial"/>
          <w:sz w:val="17"/>
          <w:szCs w:val="17"/>
          <w:color w:val="auto"/>
        </w:rPr>
      </w:pPr>
    </w:p>
    <w:p>
      <w:pPr>
        <w:ind w:left="4" w:right="100" w:firstLine="987"/>
        <w:spacing w:after="0" w:line="263" w:lineRule="auto"/>
        <w:tabs>
          <w:tab w:leader="none" w:pos="123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Obligors shall at any time, without the consent of the Required Lenders fail to comply with the covenant contained in </w:t>
      </w:r>
      <w:r>
        <w:rPr>
          <w:rFonts w:ascii="Arial" w:cs="Arial" w:eastAsia="Arial" w:hAnsi="Arial"/>
          <w:sz w:val="18"/>
          <w:szCs w:val="18"/>
          <w:u w:val="single" w:color="auto"/>
          <w:color w:val="auto"/>
        </w:rPr>
        <w:t>Section 5.11</w:t>
      </w:r>
      <w:r>
        <w:rPr>
          <w:rFonts w:ascii="Arial" w:cs="Arial" w:eastAsia="Arial" w:hAnsi="Arial"/>
          <w:sz w:val="18"/>
          <w:szCs w:val="18"/>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83" w:lineRule="exact"/>
        <w:rPr>
          <w:rFonts w:ascii="Arial" w:cs="Arial" w:eastAsia="Arial" w:hAnsi="Arial"/>
          <w:sz w:val="18"/>
          <w:szCs w:val="18"/>
          <w:color w:val="auto"/>
        </w:rPr>
      </w:pPr>
    </w:p>
    <w:p>
      <w:pPr>
        <w:ind w:left="4" w:right="140" w:firstLine="987"/>
        <w:spacing w:after="0" w:line="277" w:lineRule="auto"/>
        <w:tabs>
          <w:tab w:leader="none" w:pos="121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Borrower or any of its Subsidiaries shall cause or permit the occurrence of any condition or event that would result in any recourse to any Obligor under any Permitted SBIC Guarantee;</w:t>
      </w:r>
    </w:p>
    <w:p>
      <w:pPr>
        <w:spacing w:after="0" w:line="170"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 xml:space="preserve">then, and in every such event (other than an event with respect to the Borrower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82" w:lineRule="exact"/>
        <w:rPr>
          <w:sz w:val="20"/>
          <w:szCs w:val="20"/>
          <w:color w:val="auto"/>
        </w:rPr>
      </w:pPr>
    </w:p>
    <w:p>
      <w:pPr>
        <w:ind w:left="4" w:right="80" w:firstLine="991"/>
        <w:spacing w:after="0" w:line="273" w:lineRule="auto"/>
        <w:rPr>
          <w:sz w:val="20"/>
          <w:szCs w:val="20"/>
          <w:color w:val="auto"/>
        </w:rPr>
      </w:pPr>
      <w:r>
        <w:rPr>
          <w:rFonts w:ascii="Arial" w:cs="Arial" w:eastAsia="Arial" w:hAnsi="Arial"/>
          <w:sz w:val="17"/>
          <w:szCs w:val="17"/>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accrued and unpaid interest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this Article.</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7"/>
          <w:szCs w:val="17"/>
          <w:color w:val="auto"/>
        </w:rPr>
        <w:t>Notwithstanding anything to the contrary contained herein, on the CAM Exchange Date, to the extent not otherwise prohibited by law,</w:t>
      </w:r>
    </w:p>
    <w:p>
      <w:pPr>
        <w:spacing w:after="0" w:line="35" w:lineRule="exact"/>
        <w:rPr>
          <w:sz w:val="20"/>
          <w:szCs w:val="20"/>
          <w:color w:val="auto"/>
        </w:rPr>
      </w:pPr>
    </w:p>
    <w:p>
      <w:pPr>
        <w:ind w:left="4" w:right="100" w:hanging="4"/>
        <w:spacing w:after="0" w:line="260" w:lineRule="auto"/>
        <w:tabs>
          <w:tab w:leader="none" w:pos="24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Lenders shall automatically and without further act be deemed to have exchanged interests in the Designated Obligations such that, in lieu of the interests of each Lender in the Designated Obligations under each Loan in which it shall</w:t>
      </w:r>
    </w:p>
    <w:p>
      <w:pPr>
        <w:spacing w:after="0" w:line="118"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30" w:name="page131"/>
    <w:bookmarkEnd w:id="13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right="40" w:firstLine="991"/>
        <w:spacing w:after="0" w:line="293"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Appointment of the Administrative Agent</w:t>
      </w:r>
      <w:r>
        <w:rPr>
          <w:rFonts w:ascii="Arial" w:cs="Arial" w:eastAsia="Arial" w:hAnsi="Arial"/>
          <w:sz w:val="16"/>
          <w:szCs w:val="16"/>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64"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Capacity as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19"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31" w:name="page132"/>
    <w:bookmarkEnd w:id="131"/>
    <w:p>
      <w:pPr>
        <w:ind w:right="20"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8.03. </w:t>
      </w:r>
      <w:r>
        <w:rPr>
          <w:rFonts w:ascii="Arial" w:cs="Arial" w:eastAsia="Arial" w:hAnsi="Arial"/>
          <w:sz w:val="16"/>
          <w:szCs w:val="16"/>
          <w:u w:val="single" w:color="auto"/>
          <w:color w:val="auto"/>
        </w:rPr>
        <w:t>Limitation of Duties; Exculpation</w:t>
      </w:r>
      <w:r>
        <w:rPr>
          <w:rFonts w:ascii="Arial" w:cs="Arial" w:eastAsia="Arial" w:hAnsi="Arial"/>
          <w:sz w:val="16"/>
          <w:szCs w:val="16"/>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or therein, other than to confirm receipt of items expressly required to be delivered to the Administrative Agent.</w:t>
      </w:r>
    </w:p>
    <w:p>
      <w:pPr>
        <w:spacing w:after="0" w:line="176"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Reliance</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4"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Sub-Agents</w:t>
      </w:r>
      <w:r>
        <w:rPr>
          <w:rFonts w:ascii="Arial" w:cs="Arial" w:eastAsia="Arial" w:hAnsi="Arial"/>
          <w:sz w:val="18"/>
          <w:szCs w:val="18"/>
          <w:color w:val="auto"/>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fraud, gross negligence or willful misconduct in the selection of such sub-agents.</w:t>
      </w:r>
    </w:p>
    <w:p>
      <w:pPr>
        <w:spacing w:after="0" w:line="124"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32" w:name="page133"/>
    <w:bookmarkEnd w:id="132"/>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8.06. </w:t>
      </w:r>
      <w:r>
        <w:rPr>
          <w:rFonts w:ascii="Arial" w:cs="Arial" w:eastAsia="Arial" w:hAnsi="Arial"/>
          <w:sz w:val="17"/>
          <w:szCs w:val="17"/>
          <w:u w:val="single" w:color="auto"/>
          <w:color w:val="auto"/>
        </w:rPr>
        <w:t>Resignation; Successor Administrative Agent</w:t>
      </w:r>
      <w:r>
        <w:rPr>
          <w:rFonts w:ascii="Arial" w:cs="Arial" w:eastAsia="Arial" w:hAnsi="Arial"/>
          <w:sz w:val="17"/>
          <w:szCs w:val="17"/>
          <w:color w:val="auto"/>
        </w:rPr>
        <w:t>. The Administrative Agent may resign by providing not less than thirty</w:t>
      </w:r>
    </w:p>
    <w:p>
      <w:pPr>
        <w:spacing w:after="0" w:line="35" w:lineRule="exact"/>
        <w:rPr>
          <w:sz w:val="20"/>
          <w:szCs w:val="20"/>
          <w:color w:val="auto"/>
        </w:rPr>
      </w:pPr>
    </w:p>
    <w:p>
      <w:pPr>
        <w:ind w:left="4" w:hanging="4"/>
        <w:spacing w:after="0" w:line="266" w:lineRule="auto"/>
        <w:tabs>
          <w:tab w:leader="none" w:pos="34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days advance written notice to the Lenders, the Issuing Banks and the Borrower. Upon any such notice of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at the end of such thirty (30) day period (except that in the case of any collateral security held by the Administrative Agent on behalf of the Lenders or the Issuing Bank under any of the Loan Documents, the retiring or removed Administrative Agent shall continue to hold such collateral security until such time as a successor Administrative Agent is appointed)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shall continue in effect for its benefit in respect of any actions taken or omitted to be taken by it while it was acting as Administrative Agent.</w:t>
      </w:r>
    </w:p>
    <w:p>
      <w:pPr>
        <w:spacing w:after="0" w:line="191" w:lineRule="exact"/>
        <w:rPr>
          <w:sz w:val="20"/>
          <w:szCs w:val="20"/>
          <w:color w:val="auto"/>
        </w:rPr>
      </w:pPr>
    </w:p>
    <w:p>
      <w:pPr>
        <w:ind w:left="4" w:right="20" w:firstLine="991"/>
        <w:spacing w:after="0" w:line="254" w:lineRule="auto"/>
        <w:rPr>
          <w:sz w:val="20"/>
          <w:szCs w:val="20"/>
          <w:color w:val="auto"/>
        </w:rPr>
      </w:pPr>
      <w:r>
        <w:rPr>
          <w:rFonts w:ascii="Arial" w:cs="Arial" w:eastAsia="Arial" w:hAnsi="Arial"/>
          <w:sz w:val="18"/>
          <w:szCs w:val="18"/>
          <w:color w:val="auto"/>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95" w:lineRule="exact"/>
        <w:rPr>
          <w:sz w:val="20"/>
          <w:szCs w:val="20"/>
          <w:color w:val="auto"/>
        </w:rPr>
      </w:pPr>
    </w:p>
    <w:p>
      <w:pPr>
        <w:ind w:left="4" w:right="40" w:firstLine="991"/>
        <w:spacing w:after="0" w:line="293"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Reliance by Lenders</w:t>
      </w:r>
      <w:r>
        <w:rPr>
          <w:rFonts w:ascii="Arial" w:cs="Arial" w:eastAsia="Arial" w:hAnsi="Arial"/>
          <w:sz w:val="16"/>
          <w:szCs w:val="16"/>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w:t>
      </w:r>
    </w:p>
    <w:p>
      <w:pPr>
        <w:spacing w:after="0" w:line="97"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33" w:name="page134"/>
    <w:bookmarkEnd w:id="133"/>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6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84" w:lineRule="exact"/>
        <w:rPr>
          <w:sz w:val="20"/>
          <w:szCs w:val="20"/>
          <w:color w:val="auto"/>
        </w:rPr>
      </w:pPr>
    </w:p>
    <w:p>
      <w:pPr>
        <w:ind w:right="40" w:firstLine="991"/>
        <w:spacing w:after="0" w:line="285"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Modifications to Loan Documents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(except in connection with securing additional obligations equally and ratably with the Loans and other obligations hereunder in accordance with the Guarantee and Security Agreement),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(v) to release any Subsidiary Guarantor (and any property of such Subsidiary Guarantor) from its guarantee obligations to the extent it may be released in accordance with Section 10.03(f) of the Guarantee and Security Agreement, (w) to release any Lien covering property that is the subject of either a Disposition of property (including, without limitation, any property subject to a participation or repurchase transaction) permitted hereunder or a Disposition to which the Required Lenders have consented, (x) for the avoidance of doubt, execute and deliver agreements, instruments and other documents reasonably requested by the Borrower to implement collateral sharing with respect to Secured Longer-Term Indebtedness and Secured Shorter-Term Indebtedness, (y) following the (i) cancellation, expiration or termination of any commitment to extend credit or issue Letters of Credit under this Agreement or any other Loan Document, (ii) final payment in full of all principal of and interest on each Loan, any LC Disbursements, any fees and any other amounts then due and owing under this Agreement or any other Loan Document and (iii) termination of this Agreement, to release all Liens and guarantees by Obligors, and (z) to allocate the Liens created under the Security Documents to any Designated Indebtedness Obligations or Hedging Agreement Obligations (as such terms are defined in the Guarantee and Security agreement) in accordance with the Guarantee and Security Agreement.</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Erroneous Payments</w:t>
      </w:r>
      <w:r>
        <w:rPr>
          <w:rFonts w:ascii="Arial" w:cs="Arial" w:eastAsia="Arial" w:hAnsi="Arial"/>
          <w:sz w:val="18"/>
          <w:szCs w:val="18"/>
          <w:color w:val="auto"/>
        </w:rPr>
        <w:t>.</w:t>
      </w:r>
    </w:p>
    <w:p>
      <w:pPr>
        <w:spacing w:after="0" w:line="225" w:lineRule="exact"/>
        <w:rPr>
          <w:sz w:val="20"/>
          <w:szCs w:val="20"/>
          <w:color w:val="auto"/>
        </w:rPr>
      </w:pPr>
    </w:p>
    <w:p>
      <w:pPr>
        <w:ind w:right="160" w:firstLine="987"/>
        <w:spacing w:after="0" w:line="263" w:lineRule="auto"/>
        <w:tabs>
          <w:tab w:leader="none" w:pos="12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the Administrative Agent notifies a Lender, an Issuing Bank or an Indemnitee, or any Person who has received funds on behalf of a Lender, an Issuing Bank or an Indemnitee (any such Lender, Issuing Bank, Indemnitee or other recipient, a “</w:t>
      </w:r>
      <w:r>
        <w:rPr>
          <w:rFonts w:ascii="Arial" w:cs="Arial" w:eastAsia="Arial" w:hAnsi="Arial"/>
          <w:sz w:val="18"/>
          <w:szCs w:val="18"/>
          <w:u w:val="single" w:color="auto"/>
          <w:color w:val="auto"/>
        </w:rPr>
        <w:t>Payment Recipient</w:t>
      </w:r>
      <w:r>
        <w:rPr>
          <w:rFonts w:ascii="Arial" w:cs="Arial" w:eastAsia="Arial" w:hAnsi="Arial"/>
          <w:sz w:val="18"/>
          <w:szCs w:val="18"/>
          <w:color w:val="auto"/>
        </w:rPr>
        <w:t>”), that the Administrative Agent has determined in its sole discretion (whether or not</w:t>
      </w:r>
    </w:p>
    <w:p>
      <w:pPr>
        <w:spacing w:after="0" w:line="116"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34" w:name="page135"/>
    <w:bookmarkEnd w:id="13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receipt of any notice under immediately succeeding </w:t>
      </w:r>
      <w:r>
        <w:rPr>
          <w:rFonts w:ascii="Arial" w:cs="Arial" w:eastAsia="Arial" w:hAnsi="Arial"/>
          <w:sz w:val="17"/>
          <w:szCs w:val="17"/>
          <w:u w:val="single" w:color="auto"/>
          <w:color w:val="auto"/>
        </w:rPr>
        <w:t>clause (b)</w:t>
      </w:r>
      <w:r>
        <w:rPr>
          <w:rFonts w:ascii="Arial" w:cs="Arial" w:eastAsia="Arial" w:hAnsi="Arial"/>
          <w:sz w:val="17"/>
          <w:szCs w:val="17"/>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Indemnitee or other Payment Recipient on its behalf) (any such funds, whether received as a payment, prepayment or repayment of principal, interest, fees, distribution or otherwise, individually and collectively, an “</w:t>
      </w:r>
      <w:r>
        <w:rPr>
          <w:rFonts w:ascii="Arial" w:cs="Arial" w:eastAsia="Arial" w:hAnsi="Arial"/>
          <w:sz w:val="17"/>
          <w:szCs w:val="17"/>
          <w:u w:val="single" w:color="auto"/>
          <w:color w:val="auto"/>
        </w:rPr>
        <w:t>Erroneous Payment</w:t>
      </w:r>
      <w:r>
        <w:rPr>
          <w:rFonts w:ascii="Arial" w:cs="Arial" w:eastAsia="Arial" w:hAnsi="Arial"/>
          <w:sz w:val="17"/>
          <w:szCs w:val="17"/>
          <w:color w:val="auto"/>
        </w:rPr>
        <w:t xml:space="preserve">”) and demands the return of such Erroneous Payment (or a portion thereof), such Erroneous Payment shall at all times remain the property of the Administrative Agent and shall be segregated (or earmarked) by the Payment Recipient and held in trust for the benefit of the Administrative Agent, and such Lender, Issuing Bank or Indemnitee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conclusive, absent manifest error.</w:t>
      </w:r>
    </w:p>
    <w:p>
      <w:pPr>
        <w:spacing w:after="0" w:line="186" w:lineRule="exact"/>
        <w:rPr>
          <w:sz w:val="20"/>
          <w:szCs w:val="20"/>
          <w:color w:val="auto"/>
        </w:rPr>
      </w:pPr>
    </w:p>
    <w:p>
      <w:pPr>
        <w:ind w:right="40" w:firstLine="987"/>
        <w:spacing w:after="0" w:line="291" w:lineRule="auto"/>
        <w:tabs>
          <w:tab w:leader="none" w:pos="124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Without limiting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each Lender, Issuing Bank or Indemnitee, or any Person who has received funds on behalf of a Lender, Issuing Bank or Indemnitee,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Indemnitee, or other such recipient, otherwise becomes aware was transmitted, or received, in error or by mistake (in whole or in part) in each case:</w:t>
      </w:r>
    </w:p>
    <w:p>
      <w:pPr>
        <w:spacing w:after="0" w:line="58" w:lineRule="exact"/>
        <w:rPr>
          <w:rFonts w:ascii="Arial" w:cs="Arial" w:eastAsia="Arial" w:hAnsi="Arial"/>
          <w:sz w:val="16"/>
          <w:szCs w:val="16"/>
          <w:color w:val="auto"/>
        </w:rPr>
      </w:pPr>
    </w:p>
    <w:p>
      <w:pPr>
        <w:ind w:left="440" w:right="260" w:firstLine="948"/>
        <w:spacing w:after="0" w:line="263" w:lineRule="auto"/>
        <w:tabs>
          <w:tab w:leader="none" w:pos="160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(A) in the case of immediately preceding </w:t>
      </w:r>
      <w:r>
        <w:rPr>
          <w:rFonts w:ascii="Arial" w:cs="Arial" w:eastAsia="Arial" w:hAnsi="Arial"/>
          <w:sz w:val="18"/>
          <w:szCs w:val="18"/>
          <w:u w:val="single" w:color="auto"/>
          <w:color w:val="auto"/>
        </w:rPr>
        <w:t>clauses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an error shall be presumed to have been made (absent written confirmation from the Administrative Agent to the contrary) or (B) an error has been made (in the case of immediately preceding </w:t>
      </w:r>
      <w:r>
        <w:rPr>
          <w:rFonts w:ascii="Arial" w:cs="Arial" w:eastAsia="Arial" w:hAnsi="Arial"/>
          <w:sz w:val="18"/>
          <w:szCs w:val="18"/>
          <w:u w:val="single" w:color="auto"/>
          <w:color w:val="auto"/>
        </w:rPr>
        <w:t>clause (z)</w:t>
      </w:r>
      <w:r>
        <w:rPr>
          <w:rFonts w:ascii="Arial" w:cs="Arial" w:eastAsia="Arial" w:hAnsi="Arial"/>
          <w:sz w:val="18"/>
          <w:szCs w:val="18"/>
          <w:color w:val="auto"/>
        </w:rPr>
        <w:t>), in each case, with respect to such payment, prepayment or repayment; and</w:t>
      </w:r>
    </w:p>
    <w:p>
      <w:pPr>
        <w:spacing w:after="0" w:line="75" w:lineRule="exact"/>
        <w:rPr>
          <w:rFonts w:ascii="Arial" w:cs="Arial" w:eastAsia="Arial" w:hAnsi="Arial"/>
          <w:sz w:val="18"/>
          <w:szCs w:val="18"/>
          <w:color w:val="auto"/>
        </w:rPr>
      </w:pPr>
    </w:p>
    <w:p>
      <w:pPr>
        <w:ind w:left="440" w:right="80" w:firstLine="948"/>
        <w:spacing w:after="0" w:line="259" w:lineRule="auto"/>
        <w:tabs>
          <w:tab w:leader="none" w:pos="165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such Lender, Issuing Bank or Indemnitee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Arial" w:cs="Arial" w:eastAsia="Arial" w:hAnsi="Arial"/>
          <w:sz w:val="18"/>
          <w:szCs w:val="18"/>
          <w:u w:val="single" w:color="auto"/>
          <w:color w:val="auto"/>
        </w:rPr>
        <w:t>Section 8.09(b)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80" w:firstLine="987"/>
        <w:spacing w:after="0" w:line="259" w:lineRule="auto"/>
        <w:tabs>
          <w:tab w:leader="none" w:pos="123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Each Lender, Issuing Bank and Indemnitee hereby authorizes the Administrative Agent to set off, net and apply any and all amounts at any time owing to such Lender, Issuing Bank or Indemnitee under any Loan Document, or otherwise payable or distributable by the Administrative Agent to such Lender, Issuing Bank or Indemnitee from any source, against any amount due to the Administrative Agent under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under the indemnification provisions of this Agreement.</w:t>
      </w:r>
    </w:p>
    <w:p>
      <w:pPr>
        <w:spacing w:after="0" w:line="362"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35" w:name="page136"/>
    <w:bookmarkEnd w:id="135"/>
    <w:p>
      <w:pPr>
        <w:ind w:left="-987" w:right="20" w:firstLine="987"/>
        <w:spacing w:after="0" w:line="284" w:lineRule="auto"/>
        <w:tabs>
          <w:tab w:leader="none" w:pos="259" w:val="left"/>
        </w:tabs>
        <w:numPr>
          <w:ilvl w:val="0"/>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that an Erroneous Payment (or portion thereof) is not recovered by the Administrative Agent for any reason, after demand therefor by the Administrative Agent in accordance with immediately preceding </w:t>
      </w:r>
      <w:r>
        <w:rPr>
          <w:rFonts w:ascii="Arial" w:cs="Arial" w:eastAsia="Arial" w:hAnsi="Arial"/>
          <w:sz w:val="16"/>
          <w:szCs w:val="16"/>
          <w:u w:val="single" w:color="auto"/>
          <w:color w:val="auto"/>
        </w:rPr>
        <w:t>clause (a)</w:t>
      </w:r>
      <w:r>
        <w:rPr>
          <w:rFonts w:ascii="Arial" w:cs="Arial" w:eastAsia="Arial" w:hAnsi="Arial"/>
          <w:sz w:val="16"/>
          <w:szCs w:val="16"/>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6"/>
          <w:szCs w:val="16"/>
          <w:u w:val="single" w:color="auto"/>
          <w:color w:val="auto"/>
        </w:rPr>
        <w:t>Erroneous Payment Return Deficiency</w:t>
      </w:r>
      <w:r>
        <w:rPr>
          <w:rFonts w:ascii="Arial" w:cs="Arial" w:eastAsia="Arial" w:hAnsi="Arial"/>
          <w:sz w:val="16"/>
          <w:szCs w:val="16"/>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Arial" w:cs="Arial" w:eastAsia="Arial" w:hAnsi="Arial"/>
          <w:sz w:val="16"/>
          <w:szCs w:val="16"/>
          <w:u w:val="single" w:color="auto"/>
          <w:color w:val="auto"/>
        </w:rPr>
        <w:t>Erroneous Payment Impacted Class</w:t>
      </w:r>
      <w:r>
        <w:rPr>
          <w:rFonts w:ascii="Arial" w:cs="Arial" w:eastAsia="Arial" w:hAnsi="Arial"/>
          <w:sz w:val="16"/>
          <w:szCs w:val="16"/>
          <w:color w:val="auto"/>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6"/>
          <w:szCs w:val="16"/>
          <w:u w:val="single" w:color="auto"/>
          <w:color w:val="auto"/>
        </w:rPr>
        <w:t>Erroneous Payment Deficiency Assignment</w:t>
      </w:r>
      <w:r>
        <w:rPr>
          <w:rFonts w:ascii="Arial" w:cs="Arial" w:eastAsia="Arial" w:hAnsi="Arial"/>
          <w:sz w:val="16"/>
          <w:szCs w:val="16"/>
          <w:color w:val="auto"/>
        </w:rPr>
        <w:t xml:space="preserve">”)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Arial" w:cs="Arial" w:eastAsia="Arial" w:hAnsi="Arial"/>
          <w:sz w:val="16"/>
          <w:szCs w:val="16"/>
          <w:u w:val="single" w:color="auto"/>
          <w:color w:val="auto"/>
        </w:rPr>
        <w:t>Section 9.04(b)</w:t>
      </w:r>
      <w:r>
        <w:rPr>
          <w:rFonts w:ascii="Arial" w:cs="Arial" w:eastAsia="Arial" w:hAnsi="Arial"/>
          <w:sz w:val="16"/>
          <w:szCs w:val="16"/>
          <w:color w:val="auto"/>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Indemnitee under the Loan Documents with respect to each Erroneous Payment Return Deficiency (the “</w:t>
      </w:r>
      <w:r>
        <w:rPr>
          <w:rFonts w:ascii="Arial" w:cs="Arial" w:eastAsia="Arial" w:hAnsi="Arial"/>
          <w:sz w:val="16"/>
          <w:szCs w:val="16"/>
          <w:u w:val="single" w:color="auto"/>
          <w:color w:val="auto"/>
        </w:rPr>
        <w:t>Erroneous Payment Subrogation Rights</w:t>
      </w:r>
      <w:r>
        <w:rPr>
          <w:rFonts w:ascii="Arial" w:cs="Arial" w:eastAsia="Arial" w:hAnsi="Arial"/>
          <w:sz w:val="16"/>
          <w:szCs w:val="16"/>
          <w:color w:val="auto"/>
        </w:rPr>
        <w:t>”).</w:t>
      </w:r>
    </w:p>
    <w:p>
      <w:pPr>
        <w:spacing w:after="0" w:line="102" w:lineRule="exact"/>
        <w:rPr>
          <w:sz w:val="20"/>
          <w:szCs w:val="20"/>
          <w:color w:val="auto"/>
        </w:rPr>
      </w:pPr>
    </w:p>
    <w:p>
      <w:pPr>
        <w:jc w:val="both"/>
        <w:ind w:left="4613"/>
        <w:spacing w:after="0"/>
        <w:tabs>
          <w:tab w:leader="none" w:pos="7972"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33"/>
          </w:cols>
          <w:pgMar w:left="1427" w:top="274" w:right="439" w:bottom="1440" w:gutter="0" w:footer="0" w:header="0"/>
        </w:sectPr>
      </w:pPr>
    </w:p>
    <w:bookmarkStart w:id="136" w:name="page137"/>
    <w:bookmarkEnd w:id="136"/>
    <w:p>
      <w:pPr>
        <w:ind w:right="60" w:firstLine="987"/>
        <w:spacing w:after="0" w:line="272" w:lineRule="auto"/>
        <w:tabs>
          <w:tab w:leader="none" w:pos="1236" w:val="left"/>
        </w:tabs>
        <w:numPr>
          <w:ilvl w:val="0"/>
          <w:numId w:val="1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parties hereto agree that an Erroneous Payment shall not pay, prepay, repay, discharge or otherwise satisfy any Revolving Credit Exposure or other obligations owed by the Borrower or any other Obligor;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8.09(e)</w:t>
      </w:r>
      <w:r>
        <w:rPr>
          <w:rFonts w:ascii="Arial" w:cs="Arial" w:eastAsia="Arial" w:hAnsi="Arial"/>
          <w:sz w:val="17"/>
          <w:szCs w:val="17"/>
          <w:color w:val="auto"/>
        </w:rPr>
        <w:t xml:space="preserve"> shall not be interpreted to increase (or accelerate the due date for), or have the effect of increasing (or accelerating the due date for), the obligations of the Borrower or any other Obligor relative to the amount (and/or timing for payment) of the obligations that would have been payable had such Erroneous Payment not been made by the Administrative Agent;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for the avoidance of doubt, immediately preceding clause shall not apply to the extent any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77" w:lineRule="exact"/>
        <w:rPr>
          <w:rFonts w:ascii="Arial" w:cs="Arial" w:eastAsia="Arial" w:hAnsi="Arial"/>
          <w:sz w:val="17"/>
          <w:szCs w:val="17"/>
          <w:color w:val="auto"/>
        </w:rPr>
      </w:pPr>
    </w:p>
    <w:p>
      <w:pPr>
        <w:jc w:val="both"/>
        <w:ind w:right="140" w:firstLine="987"/>
        <w:spacing w:after="0" w:line="259" w:lineRule="auto"/>
        <w:tabs>
          <w:tab w:leader="none" w:pos="121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6" w:lineRule="exact"/>
        <w:rPr>
          <w:rFonts w:ascii="Arial" w:cs="Arial" w:eastAsia="Arial" w:hAnsi="Arial"/>
          <w:sz w:val="18"/>
          <w:szCs w:val="18"/>
          <w:color w:val="auto"/>
        </w:rPr>
      </w:pPr>
    </w:p>
    <w:p>
      <w:pPr>
        <w:ind w:right="380" w:firstLine="987"/>
        <w:spacing w:after="0" w:line="286" w:lineRule="auto"/>
        <w:tabs>
          <w:tab w:leader="none" w:pos="124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Each party’s obligations, agreements and waivers under this </w:t>
      </w:r>
      <w:r>
        <w:rPr>
          <w:rFonts w:ascii="Arial" w:cs="Arial" w:eastAsia="Arial" w:hAnsi="Arial"/>
          <w:sz w:val="17"/>
          <w:szCs w:val="17"/>
          <w:u w:val="single" w:color="auto"/>
          <w:color w:val="auto"/>
        </w:rPr>
        <w:t>Section 8.09</w:t>
      </w:r>
      <w:r>
        <w:rPr>
          <w:rFonts w:ascii="Arial" w:cs="Arial" w:eastAsia="Arial" w:hAnsi="Arial"/>
          <w:sz w:val="17"/>
          <w:szCs w:val="17"/>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 Electronic Communications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63" w:lineRule="auto"/>
        <w:tabs>
          <w:tab w:leader="none" w:pos="123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or electronic communication, all notices and other communications provided for herein shall be in writing and shall be delivered by hand or overnight courier service, mailed by certified or registered mail or sent by telecopy, as follows:</w:t>
      </w:r>
    </w:p>
    <w:p>
      <w:pPr>
        <w:spacing w:after="0" w:line="89" w:lineRule="exact"/>
        <w:rPr>
          <w:sz w:val="20"/>
          <w:szCs w:val="20"/>
          <w:color w:val="auto"/>
        </w:rPr>
      </w:pPr>
    </w:p>
    <w:p>
      <w:pPr>
        <w:ind w:left="1960" w:hanging="533"/>
        <w:spacing w:after="0"/>
        <w:tabs>
          <w:tab w:leader="none" w:pos="1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to the Borrower, to it at:</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Sixth Street Lending Partners</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888 Seventh Avenue, 41st Floor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Ian Simmonds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Telephone: (212) 601-4739</w:t>
      </w:r>
    </w:p>
    <w:p>
      <w:pPr>
        <w:spacing w:after="0" w:line="143"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37" w:name="page138"/>
    <w:bookmarkEnd w:id="137"/>
    <w:p>
      <w:pPr>
        <w:ind w:left="1960" w:hanging="533"/>
        <w:spacing w:after="0"/>
        <w:tabs>
          <w:tab w:leader="none" w:pos="1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Administrative Agent or Truist, in its capacity as a Swingline Lender, to it at:</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Truist Bank</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3333 Peachtree Road, 8th Floor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Hays Wood</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Telecopy Number: (404) 836-5879</w:t>
      </w:r>
    </w:p>
    <w:p>
      <w:pPr>
        <w:spacing w:after="0" w:line="10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Truist Bank</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303 Peachtree Street, NE, 25th Floor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Atlanta, GA 30308</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Karen Weich</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agency.services@truist.com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Telecopy Number: 801-453-4108</w:t>
      </w:r>
    </w:p>
    <w:p>
      <w:pPr>
        <w:spacing w:after="0" w:line="116" w:lineRule="exact"/>
        <w:rPr>
          <w:sz w:val="20"/>
          <w:szCs w:val="20"/>
          <w:color w:val="auto"/>
        </w:rPr>
      </w:pPr>
    </w:p>
    <w:p>
      <w:pPr>
        <w:ind w:left="1960" w:hanging="533"/>
        <w:spacing w:after="0"/>
        <w:tabs>
          <w:tab w:leader="none" w:pos="19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to Truist, in its capacity as Issuing Bank, to it at:</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Truist Bank</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303 Peachtree Street, NE, 25th Floor</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Atlanta, GA 30308</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Karen Weich</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agency.services@truist.com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Telecopy Number: 801-453-4108</w:t>
      </w:r>
    </w:p>
    <w:p>
      <w:pPr>
        <w:spacing w:after="0" w:line="116" w:lineRule="exact"/>
        <w:rPr>
          <w:sz w:val="20"/>
          <w:szCs w:val="20"/>
          <w:color w:val="auto"/>
        </w:rPr>
      </w:pPr>
    </w:p>
    <w:p>
      <w:pPr>
        <w:ind w:left="1960" w:hanging="533"/>
        <w:spacing w:after="0"/>
        <w:tabs>
          <w:tab w:leader="none" w:pos="1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to JPMorgan Chase Bank, N.A., in its capacity as a Swingline Lender and an Issuing Bank:</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Ground floor, 1st to 6th floors, Platina 3, Kodbis, Floor 03</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Bengaluru, 560 103, India</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Sneha Machani</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Telecopy Number: (201) 244-3885</w:t>
      </w:r>
    </w:p>
    <w:p>
      <w:pPr>
        <w:spacing w:after="0" w:line="116" w:lineRule="exact"/>
        <w:rPr>
          <w:sz w:val="20"/>
          <w:szCs w:val="20"/>
          <w:color w:val="auto"/>
        </w:rPr>
      </w:pPr>
    </w:p>
    <w:p>
      <w:pPr>
        <w:ind w:left="1960" w:hanging="533"/>
        <w:spacing w:after="0"/>
        <w:tabs>
          <w:tab w:leader="none" w:pos="1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187" w:lineRule="exact"/>
        <w:rPr>
          <w:sz w:val="20"/>
          <w:szCs w:val="20"/>
          <w:color w:val="auto"/>
        </w:rPr>
      </w:pPr>
    </w:p>
    <w:p>
      <w:pPr>
        <w:ind w:right="140" w:firstLine="987"/>
        <w:spacing w:after="0" w:line="259" w:lineRule="auto"/>
        <w:tabs>
          <w:tab w:leader="none" w:pos="1246"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Issuing Bank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if such Lender or such Issuing Bank, as</w:t>
      </w:r>
    </w:p>
    <w:p>
      <w:pPr>
        <w:spacing w:after="0" w:line="119"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38" w:name="page139"/>
    <w:bookmarkEnd w:id="138"/>
    <w:p>
      <w:pPr>
        <w:ind w:left="4" w:right="7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7" w:lineRule="exact"/>
        <w:rPr>
          <w:sz w:val="20"/>
          <w:szCs w:val="20"/>
          <w:color w:val="auto"/>
        </w:rPr>
      </w:pPr>
    </w:p>
    <w:p>
      <w:pPr>
        <w:ind w:left="4" w:right="20" w:firstLine="987"/>
        <w:spacing w:after="0" w:line="285" w:lineRule="auto"/>
        <w:tabs>
          <w:tab w:leader="none" w:pos="121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186"/>
        </w:numPr>
        <w:rPr>
          <w:rFonts w:ascii="Arial" w:cs="Arial" w:eastAsia="Arial" w:hAnsi="Arial"/>
          <w:sz w:val="18"/>
          <w:szCs w:val="18"/>
          <w:u w:val="single" w:color="auto"/>
          <w:color w:val="auto"/>
        </w:rPr>
      </w:pPr>
      <w:r>
        <w:rPr>
          <w:rFonts w:ascii="Arial" w:cs="Arial" w:eastAsia="Arial" w:hAnsi="Arial"/>
          <w:sz w:val="18"/>
          <w:szCs w:val="18"/>
          <w:color w:val="auto"/>
        </w:rPr>
        <w:t>of notification that such notice or communication is available and identifying the website address therefor.</w:t>
      </w:r>
    </w:p>
    <w:p>
      <w:pPr>
        <w:spacing w:after="0" w:line="211" w:lineRule="exact"/>
        <w:rPr>
          <w:sz w:val="20"/>
          <w:szCs w:val="20"/>
          <w:color w:val="auto"/>
        </w:rPr>
      </w:pPr>
    </w:p>
    <w:p>
      <w:pPr>
        <w:ind w:left="4" w:right="100" w:firstLine="991"/>
        <w:spacing w:after="0" w:line="289" w:lineRule="auto"/>
        <w:rPr>
          <w:sz w:val="20"/>
          <w:szCs w:val="20"/>
          <w:color w:val="auto"/>
        </w:rPr>
      </w:pPr>
      <w:r>
        <w:rPr>
          <w:rFonts w:ascii="Arial" w:cs="Arial" w:eastAsia="Arial" w:hAnsi="Arial"/>
          <w:sz w:val="16"/>
          <w:szCs w:val="16"/>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66" w:lineRule="exact"/>
        <w:rPr>
          <w:sz w:val="20"/>
          <w:szCs w:val="20"/>
          <w:color w:val="auto"/>
        </w:rPr>
      </w:pPr>
    </w:p>
    <w:p>
      <w:pPr>
        <w:ind w:left="4" w:right="140" w:firstLine="987"/>
        <w:spacing w:after="0" w:line="270" w:lineRule="auto"/>
        <w:tabs>
          <w:tab w:leader="none" w:pos="124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Private Side Information Contacts</w:t>
      </w:r>
      <w:r>
        <w:rPr>
          <w:rFonts w:ascii="Arial" w:cs="Arial" w:eastAsia="Arial" w:hAnsi="Arial"/>
          <w:sz w:val="17"/>
          <w:szCs w:val="17"/>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13"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39" w:name="page140"/>
    <w:bookmarkEnd w:id="139"/>
    <w:p>
      <w:pPr>
        <w:ind w:left="-980" w:right="40" w:firstLine="987"/>
        <w:spacing w:after="0" w:line="233" w:lineRule="auto"/>
        <w:tabs>
          <w:tab w:leader="none" w:pos="266"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to be Delivered under Sections 5.01 and 5.12(a)</w:t>
      </w:r>
      <w:r>
        <w:rPr>
          <w:rFonts w:ascii="Arial" w:cs="Arial" w:eastAsia="Arial" w:hAnsi="Arial"/>
          <w:sz w:val="17"/>
          <w:szCs w:val="17"/>
          <w:color w:val="auto"/>
        </w:rPr>
        <w:t>. For so long as an Intralinks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equivalent website is available to each of the Lenders hereunder, the Borrower may satisfy its obligation to deliver documents to the Administrative Agent or the Lenders under </w:t>
      </w:r>
      <w:r>
        <w:rPr>
          <w:rFonts w:ascii="Arial" w:cs="Arial" w:eastAsia="Arial" w:hAnsi="Arial"/>
          <w:sz w:val="17"/>
          <w:szCs w:val="17"/>
          <w:u w:val="single" w:color="auto"/>
          <w:color w:val="auto"/>
        </w:rPr>
        <w:t>Sections 5.01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5.12(a)</w:t>
      </w:r>
      <w:r>
        <w:rPr>
          <w:rFonts w:ascii="Arial" w:cs="Arial" w:eastAsia="Arial" w:hAnsi="Arial"/>
          <w:sz w:val="17"/>
          <w:szCs w:val="17"/>
          <w:color w:val="auto"/>
        </w:rPr>
        <w:t xml:space="preserve"> by delivering one hard copy thereof to the Administrative Agent and either an electronic copy or a notice identifying the website where such information is located for posting by the Administrative Agent on Intralinks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such equivalent website;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have no responsibility to maintain access to Intralinks</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or an equivalent website.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225" w:lineRule="exact"/>
        <w:rPr>
          <w:sz w:val="20"/>
          <w:szCs w:val="20"/>
          <w:color w:val="auto"/>
        </w:rPr>
      </w:pPr>
    </w:p>
    <w:p>
      <w:pPr>
        <w:ind w:left="-980" w:right="80" w:firstLine="987"/>
        <w:spacing w:after="0" w:line="269" w:lineRule="auto"/>
        <w:tabs>
          <w:tab w:leader="none" w:pos="256"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No Deemed Waivers Remedies Cumulative</w:t>
      </w:r>
      <w:r>
        <w:rPr>
          <w:rFonts w:ascii="Arial" w:cs="Arial" w:eastAsia="Arial" w:hAnsi="Arial"/>
          <w:sz w:val="17"/>
          <w:szCs w:val="17"/>
          <w:color w:val="auto"/>
        </w:rPr>
        <w:t xml:space="preser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85" w:lineRule="exact"/>
        <w:rPr>
          <w:rFonts w:ascii="Arial" w:cs="Arial" w:eastAsia="Arial" w:hAnsi="Arial"/>
          <w:sz w:val="17"/>
          <w:szCs w:val="17"/>
          <w:color w:val="auto"/>
        </w:rPr>
      </w:pPr>
    </w:p>
    <w:p>
      <w:pPr>
        <w:ind w:left="-980" w:right="140" w:firstLine="987"/>
        <w:spacing w:after="0" w:line="286" w:lineRule="auto"/>
        <w:tabs>
          <w:tab w:leader="none" w:pos="266"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Amendments to this Agreement</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agreement shall:</w:t>
      </w:r>
    </w:p>
    <w:p>
      <w:pPr>
        <w:spacing w:after="0" w:line="57" w:lineRule="exact"/>
        <w:rPr>
          <w:rFonts w:ascii="Arial" w:cs="Arial" w:eastAsia="Arial" w:hAnsi="Arial"/>
          <w:sz w:val="17"/>
          <w:szCs w:val="17"/>
          <w:color w:val="auto"/>
        </w:rPr>
      </w:pPr>
    </w:p>
    <w:p>
      <w:pPr>
        <w:ind w:left="620" w:hanging="212"/>
        <w:spacing w:after="0"/>
        <w:tabs>
          <w:tab w:leader="none" w:pos="6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w:t>
      </w:r>
    </w:p>
    <w:p>
      <w:pPr>
        <w:spacing w:after="0" w:line="117" w:lineRule="exact"/>
        <w:rPr>
          <w:rFonts w:ascii="Arial" w:cs="Arial" w:eastAsia="Arial" w:hAnsi="Arial"/>
          <w:sz w:val="18"/>
          <w:szCs w:val="18"/>
          <w:color w:val="auto"/>
        </w:rPr>
      </w:pPr>
    </w:p>
    <w:p>
      <w:pPr>
        <w:ind w:left="-540" w:right="260" w:firstLine="948"/>
        <w:spacing w:after="0" w:line="277" w:lineRule="auto"/>
        <w:tabs>
          <w:tab w:leader="none" w:pos="67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reduce the principal amount of any Loan or LC Disbursement or reduce the rate of interest thereon, or reduce any fees payable hereunder, without the written consent of each Lender affected thereby,</w:t>
      </w:r>
    </w:p>
    <w:p>
      <w:pPr>
        <w:spacing w:after="0" w:line="62" w:lineRule="exact"/>
        <w:rPr>
          <w:rFonts w:ascii="Arial" w:cs="Arial" w:eastAsia="Arial" w:hAnsi="Arial"/>
          <w:sz w:val="18"/>
          <w:szCs w:val="18"/>
          <w:color w:val="auto"/>
        </w:rPr>
      </w:pPr>
    </w:p>
    <w:p>
      <w:pPr>
        <w:ind w:left="-540" w:right="20" w:firstLine="948"/>
        <w:spacing w:after="0" w:line="263" w:lineRule="auto"/>
        <w:tabs>
          <w:tab w:leader="none" w:pos="727" w:val="left"/>
        </w:tabs>
        <w:numPr>
          <w:ilvl w:val="1"/>
          <w:numId w:val="189"/>
        </w:numPr>
        <w:rPr>
          <w:rFonts w:ascii="Arial" w:cs="Arial" w:eastAsia="Arial" w:hAnsi="Arial"/>
          <w:sz w:val="18"/>
          <w:szCs w:val="18"/>
          <w:color w:val="auto"/>
        </w:rPr>
      </w:pPr>
      <w:r>
        <w:rPr>
          <w:rFonts w:ascii="Arial" w:cs="Arial" w:eastAsia="Arial" w:hAnsi="Arial"/>
          <w:sz w:val="18"/>
          <w:szCs w:val="18"/>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16" w:lineRule="exact"/>
        <w:rPr>
          <w:sz w:val="20"/>
          <w:szCs w:val="20"/>
          <w:color w:val="auto"/>
        </w:rPr>
      </w:pPr>
    </w:p>
    <w:p>
      <w:pPr>
        <w:jc w:val="both"/>
        <w:ind w:left="4620"/>
        <w:spacing w:after="0"/>
        <w:tabs>
          <w:tab w:leader="none" w:pos="79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140" w:name="page141"/>
    <w:bookmarkEnd w:id="140"/>
    <w:p>
      <w:pPr>
        <w:ind w:left="444" w:right="400" w:firstLine="948"/>
        <w:spacing w:after="0" w:line="277" w:lineRule="auto"/>
        <w:tabs>
          <w:tab w:leader="none" w:pos="1701"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change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a manner that would alter the pro rata sharing of payments required thereby without the written consent of each Lender affected thereby, or</w:t>
      </w:r>
    </w:p>
    <w:p>
      <w:pPr>
        <w:spacing w:after="0" w:line="62" w:lineRule="exact"/>
        <w:rPr>
          <w:rFonts w:ascii="Arial" w:cs="Arial" w:eastAsia="Arial" w:hAnsi="Arial"/>
          <w:sz w:val="18"/>
          <w:szCs w:val="18"/>
          <w:color w:val="auto"/>
        </w:rPr>
      </w:pPr>
    </w:p>
    <w:p>
      <w:pPr>
        <w:ind w:left="444" w:right="80" w:firstLine="948"/>
        <w:spacing w:after="0" w:line="263" w:lineRule="auto"/>
        <w:tabs>
          <w:tab w:leader="none" w:pos="165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(x) no such agreement shall amend, modify or otherwise affect the rights or duties of the Administrative Agent, the Issuing Banks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or the Swingline Lenders hereunder without the prior written consent of the Administrative Agent, the Issuing Banks or the Swingline Lenders, as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case may be and (y) the consent of Lenders holding not less than two-thirds of the Revolving Credit Exposure and unused Commitments will be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required (A) for any adverse change affecting the provisions of this Agreement relating to the determination of the Borrowing Base (excluding changes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to the provisions of </w:t>
      </w:r>
      <w:r>
        <w:rPr>
          <w:rFonts w:ascii="Arial" w:cs="Arial" w:eastAsia="Arial" w:hAnsi="Arial"/>
          <w:sz w:val="17"/>
          <w:szCs w:val="17"/>
          <w:u w:val="single" w:color="auto"/>
          <w:color w:val="auto"/>
        </w:rPr>
        <w:t>Section 5.12(b)(ii)(E)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but including changes to the provisions of </w:t>
      </w:r>
      <w:r>
        <w:rPr>
          <w:rFonts w:ascii="Arial" w:cs="Arial" w:eastAsia="Arial" w:hAnsi="Arial"/>
          <w:sz w:val="17"/>
          <w:szCs w:val="17"/>
          <w:u w:val="single" w:color="auto"/>
          <w:color w:val="auto"/>
        </w:rPr>
        <w:t>Section 5.12(c)(ii)</w:t>
      </w:r>
      <w:r>
        <w:rPr>
          <w:rFonts w:ascii="Arial" w:cs="Arial" w:eastAsia="Arial" w:hAnsi="Arial"/>
          <w:sz w:val="17"/>
          <w:szCs w:val="17"/>
          <w:color w:val="auto"/>
        </w:rPr>
        <w:t xml:space="preserve"> and the definitions set forth in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any release of any material portion of the Collateral other than for fair value or as otherwise permitted hereunder or under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Loan Documents.</w:t>
      </w:r>
    </w:p>
    <w:p>
      <w:pPr>
        <w:spacing w:after="0" w:line="211" w:lineRule="exact"/>
        <w:rPr>
          <w:sz w:val="20"/>
          <w:szCs w:val="20"/>
          <w:color w:val="auto"/>
        </w:rPr>
      </w:pPr>
    </w:p>
    <w:p>
      <w:pPr>
        <w:ind w:left="4" w:right="100" w:firstLine="991"/>
        <w:spacing w:after="0" w:line="311" w:lineRule="auto"/>
        <w:rPr>
          <w:sz w:val="20"/>
          <w:szCs w:val="20"/>
          <w:color w:val="auto"/>
        </w:rPr>
      </w:pPr>
      <w:r>
        <w:rPr>
          <w:rFonts w:ascii="Arial" w:cs="Arial" w:eastAsia="Arial" w:hAnsi="Arial"/>
          <w:sz w:val="16"/>
          <w:szCs w:val="16"/>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149" w:lineRule="exact"/>
        <w:rPr>
          <w:sz w:val="20"/>
          <w:szCs w:val="20"/>
          <w:color w:val="auto"/>
        </w:rPr>
      </w:pPr>
    </w:p>
    <w:p>
      <w:pPr>
        <w:ind w:left="4" w:right="60" w:firstLine="987"/>
        <w:spacing w:after="0" w:line="285" w:lineRule="auto"/>
        <w:tabs>
          <w:tab w:leader="none" w:pos="1240"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Amendments to Security Documents</w:t>
      </w:r>
      <w:r>
        <w:rPr>
          <w:rFonts w:ascii="Arial" w:cs="Arial" w:eastAsia="Arial" w:hAnsi="Arial"/>
          <w:sz w:val="16"/>
          <w:szCs w:val="16"/>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6"/>
          <w:szCs w:val="16"/>
          <w:u w:val="single" w:color="auto"/>
          <w:color w:val="auto"/>
        </w:rPr>
        <w:t>Section 2.08(e)</w:t>
      </w:r>
      <w:r>
        <w:rPr>
          <w:rFonts w:ascii="Arial" w:cs="Arial" w:eastAsia="Arial" w:hAnsi="Arial"/>
          <w:sz w:val="16"/>
          <w:szCs w:val="16"/>
          <w:color w:val="auto"/>
        </w:rPr>
        <w:t xml:space="preserve"> to an amount not greater than $1,000,000,000) except pursuant to an agreement or agreements in writing entered into by the Borrower, and by the Collateral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without the written consent of each Lender, no such agreement shall release all or substantially all of the Obligors from their respective obligations under the Security Documents and</w:t>
      </w:r>
    </w:p>
    <w:p>
      <w:pPr>
        <w:spacing w:after="0" w:line="1" w:lineRule="exact"/>
        <w:rPr>
          <w:rFonts w:ascii="Arial" w:cs="Arial" w:eastAsia="Arial" w:hAnsi="Arial"/>
          <w:sz w:val="16"/>
          <w:szCs w:val="16"/>
          <w:color w:val="auto"/>
        </w:rPr>
      </w:pPr>
    </w:p>
    <w:p>
      <w:pPr>
        <w:ind w:left="4" w:right="40" w:hanging="4"/>
        <w:spacing w:after="0" w:line="281" w:lineRule="auto"/>
        <w:tabs>
          <w:tab w:leader="none" w:pos="26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w:t>
      </w:r>
    </w:p>
    <w:p>
      <w:pPr>
        <w:spacing w:after="0" w:line="4" w:lineRule="exact"/>
        <w:rPr>
          <w:rFonts w:ascii="Arial" w:cs="Arial" w:eastAsia="Arial" w:hAnsi="Arial"/>
          <w:sz w:val="16"/>
          <w:szCs w:val="16"/>
          <w:color w:val="auto"/>
        </w:rPr>
      </w:pPr>
    </w:p>
    <w:p>
      <w:pPr>
        <w:ind w:left="4" w:right="140" w:hanging="4"/>
        <w:spacing w:after="0" w:line="260" w:lineRule="auto"/>
        <w:tabs>
          <w:tab w:leader="none" w:pos="24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release (and to acknowledge the release of) all Liens and guarantees of Obligors upon the termination of this Agreement (including in connection with a complete refinancing).</w:t>
      </w:r>
    </w:p>
    <w:p>
      <w:pPr>
        <w:spacing w:after="0" w:line="118"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41" w:name="page142"/>
    <w:bookmarkEnd w:id="141"/>
    <w:p>
      <w:pPr>
        <w:ind w:left="-980" w:right="100" w:firstLine="987"/>
        <w:spacing w:after="0" w:line="273" w:lineRule="auto"/>
        <w:tabs>
          <w:tab w:leader="none" w:pos="266"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Replacement of Non-Consenting Lender</w:t>
      </w:r>
      <w:r>
        <w:rPr>
          <w:rFonts w:ascii="Arial" w:cs="Arial" w:eastAsia="Arial" w:hAnsi="Arial"/>
          <w:sz w:val="17"/>
          <w:szCs w:val="17"/>
          <w:color w:val="auto"/>
        </w:rPr>
        <w:t xml:space="preserve">. If, in connection with any proposed change, waiver, discharge or termination to any of the provisions of this Agreement as contemplated by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so long as at the time of such replacement, each such replacement Lender consents to the proposed change, waiver, discharge or termination.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225" w:lineRule="exact"/>
        <w:rPr>
          <w:sz w:val="20"/>
          <w:szCs w:val="20"/>
          <w:color w:val="auto"/>
        </w:rPr>
      </w:pPr>
    </w:p>
    <w:p>
      <w:pPr>
        <w:ind w:left="-980" w:right="40" w:firstLine="987"/>
        <w:spacing w:after="0" w:line="268" w:lineRule="auto"/>
        <w:tabs>
          <w:tab w:leader="none" w:pos="256"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84" w:lineRule="exact"/>
        <w:rPr>
          <w:rFonts w:ascii="Arial" w:cs="Arial" w:eastAsia="Arial" w:hAnsi="Arial"/>
          <w:sz w:val="17"/>
          <w:szCs w:val="17"/>
          <w:color w:val="auto"/>
        </w:rPr>
      </w:pPr>
    </w:p>
    <w:p>
      <w:pPr>
        <w:ind w:left="-980" w:right="60" w:firstLine="987"/>
        <w:spacing w:after="0" w:line="273" w:lineRule="auto"/>
        <w:tabs>
          <w:tab w:leader="none" w:pos="266"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each Joint Lead Arranger, each Issuing Bank, each Swingline Lender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w:t>
      </w:r>
    </w:p>
    <w:p>
      <w:pPr>
        <w:spacing w:after="0" w:line="110" w:lineRule="exact"/>
        <w:rPr>
          <w:sz w:val="20"/>
          <w:szCs w:val="20"/>
          <w:color w:val="auto"/>
        </w:rPr>
      </w:pPr>
    </w:p>
    <w:p>
      <w:pPr>
        <w:jc w:val="both"/>
        <w:ind w:left="4620"/>
        <w:spacing w:after="0"/>
        <w:tabs>
          <w:tab w:leader="none" w:pos="79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142" w:name="page143"/>
    <w:bookmarkEnd w:id="142"/>
    <w:p>
      <w:pPr>
        <w:ind w:left="4"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including the fees, charges and disbursements of any counsel for any Indemnitee, incurred by or asserted against any Indemnitee arising out of; in connection with, or as a result of</w:t>
      </w:r>
    </w:p>
    <w:p>
      <w:pPr>
        <w:spacing w:after="0" w:line="2" w:lineRule="exact"/>
        <w:rPr>
          <w:sz w:val="20"/>
          <w:szCs w:val="20"/>
          <w:color w:val="auto"/>
        </w:rPr>
      </w:pPr>
    </w:p>
    <w:p>
      <w:pPr>
        <w:ind w:left="4" w:right="40" w:hanging="4"/>
        <w:spacing w:after="0" w:line="267" w:lineRule="auto"/>
        <w:tabs>
          <w:tab w:leader="none" w:pos="219"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fraud, willful misconduct or gross negligence of such Indemnitee or its Related Parties, (B) result from the settlement of any such claim, investigation, litigation or other proceedings described in clause (iii) above unless the Borrower has consented to such settlement (which consent shall not be unreasonably withheld, delayed or conditioned (provided that nothing in this clause (B) shall restrict the right of any person to settle any claim for which it has waived its right of indemnity by the Borrower)) or (C) result from disputes solely among Indemnitees and not involving any act or omission of an Obligor or any of its Affiliates (other than any dispute against the Administrative Agent in its capacity as such). Notwithstanding the foregoing, it is understood and agreed that indemnification for Taxes is subject to the provisions of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181" w:lineRule="exact"/>
        <w:rPr>
          <w:sz w:val="20"/>
          <w:szCs w:val="20"/>
          <w:color w:val="auto"/>
        </w:rPr>
      </w:pPr>
    </w:p>
    <w:p>
      <w:pPr>
        <w:ind w:left="4" w:right="400" w:firstLine="991"/>
        <w:spacing w:after="0" w:line="286" w:lineRule="auto"/>
        <w:rPr>
          <w:sz w:val="20"/>
          <w:szCs w:val="20"/>
          <w:color w:val="auto"/>
        </w:rPr>
      </w:pPr>
      <w:r>
        <w:rPr>
          <w:rFonts w:ascii="Arial" w:cs="Arial" w:eastAsia="Arial" w:hAnsi="Arial"/>
          <w:sz w:val="17"/>
          <w:szCs w:val="17"/>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limitation shall not be deemed to impair or affect the Obligations of the Borrower under the preceding provisions of this subsection.</w:t>
      </w:r>
    </w:p>
    <w:p>
      <w:pPr>
        <w:spacing w:after="0" w:line="165" w:lineRule="exact"/>
        <w:rPr>
          <w:sz w:val="20"/>
          <w:szCs w:val="20"/>
          <w:color w:val="auto"/>
        </w:rPr>
      </w:pPr>
    </w:p>
    <w:p>
      <w:pPr>
        <w:ind w:left="4" w:right="160" w:firstLine="987"/>
        <w:spacing w:after="0" w:line="273" w:lineRule="auto"/>
        <w:tabs>
          <w:tab w:leader="none" w:pos="1240"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fails to pay any amount required to be paid by it to the Administrative Agent, any Issuing Bank or any Swingline Lender under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10"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43" w:name="page144"/>
    <w:bookmarkEnd w:id="143"/>
    <w:p>
      <w:pPr>
        <w:ind w:left="-980" w:right="40" w:firstLine="987"/>
        <w:spacing w:after="0" w:line="291" w:lineRule="auto"/>
        <w:tabs>
          <w:tab w:leader="none" w:pos="266"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Consequential Damages, Etc</w:t>
      </w:r>
      <w:r>
        <w:rPr>
          <w:rFonts w:ascii="Arial" w:cs="Arial" w:eastAsia="Arial" w:hAnsi="Arial"/>
          <w:sz w:val="16"/>
          <w:szCs w:val="16"/>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66" w:lineRule="exact"/>
        <w:rPr>
          <w:rFonts w:ascii="Arial" w:cs="Arial" w:eastAsia="Arial" w:hAnsi="Arial"/>
          <w:sz w:val="16"/>
          <w:szCs w:val="16"/>
          <w:color w:val="auto"/>
        </w:rPr>
      </w:pPr>
    </w:p>
    <w:p>
      <w:pPr>
        <w:ind w:left="260" w:hanging="253"/>
        <w:spacing w:after="0"/>
        <w:tabs>
          <w:tab w:leader="none" w:pos="26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written demand therefor.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left="-980" w:right="80" w:firstLine="987"/>
        <w:spacing w:after="0" w:line="271" w:lineRule="auto"/>
        <w:tabs>
          <w:tab w:leader="none" w:pos="256"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Assignments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78" w:lineRule="exact"/>
        <w:rPr>
          <w:rFonts w:ascii="Arial" w:cs="Arial" w:eastAsia="Arial" w:hAnsi="Arial"/>
          <w:sz w:val="17"/>
          <w:szCs w:val="17"/>
          <w:color w:val="auto"/>
        </w:rPr>
      </w:pPr>
    </w:p>
    <w:p>
      <w:pPr>
        <w:ind w:left="260" w:hanging="253"/>
        <w:spacing w:after="0"/>
        <w:tabs>
          <w:tab w:leader="none" w:pos="26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20" w:firstLine="948"/>
        <w:spacing w:after="0" w:line="257" w:lineRule="auto"/>
        <w:tabs>
          <w:tab w:leader="none" w:pos="627"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Assignments Generally</w:t>
      </w:r>
      <w:r>
        <w:rPr>
          <w:rFonts w:ascii="Arial" w:cs="Arial" w:eastAsia="Arial" w:hAnsi="Arial"/>
          <w:sz w:val="18"/>
          <w:szCs w:val="18"/>
          <w:color w:val="auto"/>
        </w:rPr>
        <w:t xml:space="preserve">. Subject to the conditions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any Lender may assign to one or more assignees (other than natural persons (or a holding company, investments vehicle, investment vehicle or trust for, or owned and operated by or for the primary benefit of a natural Person)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79" w:lineRule="exact"/>
        <w:rPr>
          <w:rFonts w:ascii="Arial" w:cs="Arial" w:eastAsia="Arial" w:hAnsi="Arial"/>
          <w:sz w:val="18"/>
          <w:szCs w:val="18"/>
          <w:color w:val="auto"/>
        </w:rPr>
      </w:pPr>
    </w:p>
    <w:p>
      <w:pPr>
        <w:ind w:firstLine="910"/>
        <w:spacing w:after="0" w:line="259" w:lineRule="auto"/>
        <w:tabs>
          <w:tab w:leader="none" w:pos="1197" w:val="left"/>
        </w:tabs>
        <w:numPr>
          <w:ilvl w:val="2"/>
          <w:numId w:val="199"/>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or, if any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119" w:lineRule="exact"/>
        <w:rPr>
          <w:sz w:val="20"/>
          <w:szCs w:val="20"/>
          <w:color w:val="auto"/>
        </w:rPr>
      </w:pPr>
    </w:p>
    <w:p>
      <w:pPr>
        <w:jc w:val="both"/>
        <w:ind w:left="4620"/>
        <w:spacing w:after="0"/>
        <w:tabs>
          <w:tab w:leader="none" w:pos="79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40"/>
          </w:cols>
          <w:pgMar w:left="1420" w:top="274" w:right="439" w:bottom="1440" w:gutter="0" w:footer="0" w:header="0"/>
        </w:sectPr>
      </w:pPr>
    </w:p>
    <w:bookmarkStart w:id="144" w:name="page145"/>
    <w:bookmarkEnd w:id="144"/>
    <w:p>
      <w:pPr>
        <w:ind w:left="-20" w:right="380" w:firstLine="910"/>
        <w:spacing w:after="0" w:line="277" w:lineRule="auto"/>
        <w:tabs>
          <w:tab w:leader="none" w:pos="1167" w:val="left"/>
        </w:tabs>
        <w:numPr>
          <w:ilvl w:val="1"/>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and each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or the Issuing Banks shall be required for an assignment by a Lender to an Affiliate of such Lender.</w:t>
      </w:r>
    </w:p>
    <w:p>
      <w:pPr>
        <w:spacing w:after="0" w:line="62" w:lineRule="exact"/>
        <w:rPr>
          <w:rFonts w:ascii="Arial" w:cs="Arial" w:eastAsia="Arial" w:hAnsi="Arial"/>
          <w:sz w:val="18"/>
          <w:szCs w:val="18"/>
          <w:color w:val="auto"/>
        </w:rPr>
      </w:pPr>
    </w:p>
    <w:p>
      <w:pPr>
        <w:ind w:left="660" w:hanging="272"/>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Certain Conditions to Assignments</w:t>
      </w:r>
      <w:r>
        <w:rPr>
          <w:rFonts w:ascii="Arial" w:cs="Arial" w:eastAsia="Arial" w:hAnsi="Arial"/>
          <w:sz w:val="18"/>
          <w:szCs w:val="18"/>
          <w:color w:val="auto"/>
        </w:rPr>
        <w:t>. Assignments shall be subject to the following additional conditions:</w:t>
      </w:r>
    </w:p>
    <w:p>
      <w:pPr>
        <w:spacing w:after="0" w:line="117" w:lineRule="exact"/>
        <w:rPr>
          <w:rFonts w:ascii="Arial" w:cs="Arial" w:eastAsia="Arial" w:hAnsi="Arial"/>
          <w:sz w:val="18"/>
          <w:szCs w:val="18"/>
          <w:color w:val="auto"/>
        </w:rPr>
      </w:pPr>
    </w:p>
    <w:p>
      <w:pPr>
        <w:ind w:left="-20" w:right="140" w:firstLine="910"/>
        <w:spacing w:after="0" w:line="273" w:lineRule="auto"/>
        <w:tabs>
          <w:tab w:leader="none" w:pos="1177"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has occurred and is continuing;</w:t>
      </w:r>
    </w:p>
    <w:p>
      <w:pPr>
        <w:spacing w:after="0" w:line="69" w:lineRule="exact"/>
        <w:rPr>
          <w:rFonts w:ascii="Arial" w:cs="Arial" w:eastAsia="Arial" w:hAnsi="Arial"/>
          <w:sz w:val="17"/>
          <w:szCs w:val="17"/>
          <w:color w:val="auto"/>
        </w:rPr>
      </w:pPr>
    </w:p>
    <w:p>
      <w:pPr>
        <w:jc w:val="both"/>
        <w:ind w:left="-20" w:right="360" w:firstLine="910"/>
        <w:spacing w:after="0" w:line="263" w:lineRule="auto"/>
        <w:tabs>
          <w:tab w:leader="none" w:pos="116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75" w:lineRule="exact"/>
        <w:rPr>
          <w:rFonts w:ascii="Arial" w:cs="Arial" w:eastAsia="Arial" w:hAnsi="Arial"/>
          <w:sz w:val="18"/>
          <w:szCs w:val="18"/>
          <w:color w:val="auto"/>
        </w:rPr>
      </w:pPr>
    </w:p>
    <w:p>
      <w:pPr>
        <w:ind w:left="-20" w:right="40" w:firstLine="910"/>
        <w:spacing w:after="0" w:line="259" w:lineRule="auto"/>
        <w:tabs>
          <w:tab w:leader="none" w:pos="116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Assumption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78" w:lineRule="exact"/>
        <w:rPr>
          <w:rFonts w:ascii="Arial" w:cs="Arial" w:eastAsia="Arial" w:hAnsi="Arial"/>
          <w:sz w:val="18"/>
          <w:szCs w:val="18"/>
          <w:color w:val="auto"/>
        </w:rPr>
      </w:pPr>
    </w:p>
    <w:p>
      <w:pPr>
        <w:ind w:left="-20" w:right="560" w:firstLine="910"/>
        <w:spacing w:after="0" w:line="277" w:lineRule="auto"/>
        <w:tabs>
          <w:tab w:leader="none" w:pos="117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assignee, if it shall not already be a Lender of the applicable Class, shall deliver to the Administrative Agent an Administrative Questionnaire; and</w:t>
      </w:r>
    </w:p>
    <w:p>
      <w:pPr>
        <w:spacing w:after="0" w:line="62" w:lineRule="exact"/>
        <w:rPr>
          <w:rFonts w:ascii="Arial" w:cs="Arial" w:eastAsia="Arial" w:hAnsi="Arial"/>
          <w:sz w:val="18"/>
          <w:szCs w:val="18"/>
          <w:color w:val="auto"/>
        </w:rPr>
      </w:pPr>
    </w:p>
    <w:p>
      <w:pPr>
        <w:ind w:left="1160" w:hanging="270"/>
        <w:spacing w:after="0"/>
        <w:tabs>
          <w:tab w:leader="none" w:pos="116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the assignee shall deliver to the Borrower and the Administrative Agent those documents specified in Section 2.16(f).</w:t>
      </w:r>
    </w:p>
    <w:p>
      <w:pPr>
        <w:spacing w:after="0" w:line="128" w:lineRule="exact"/>
        <w:rPr>
          <w:rFonts w:ascii="Arial" w:cs="Arial" w:eastAsia="Arial" w:hAnsi="Arial"/>
          <w:sz w:val="17"/>
          <w:szCs w:val="17"/>
          <w:color w:val="auto"/>
        </w:rPr>
      </w:pPr>
    </w:p>
    <w:p>
      <w:pPr>
        <w:ind w:left="-560" w:right="260" w:firstLine="948"/>
        <w:spacing w:after="0" w:line="275" w:lineRule="auto"/>
        <w:tabs>
          <w:tab w:leader="none" w:pos="707"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Effectiveness of Assignments</w:t>
      </w:r>
      <w:r>
        <w:rPr>
          <w:rFonts w:ascii="Arial" w:cs="Arial" w:eastAsia="Arial" w:hAnsi="Arial"/>
          <w:sz w:val="17"/>
          <w:szCs w:val="17"/>
          <w:color w:val="auto"/>
        </w:rPr>
        <w:t xml:space="preserve">. Subject to acceptance and recording thereof pursuant to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w:t>
      </w:r>
    </w:p>
    <w:p>
      <w:pPr>
        <w:spacing w:after="0" w:line="109" w:lineRule="exact"/>
        <w:rPr>
          <w:sz w:val="20"/>
          <w:szCs w:val="20"/>
          <w:color w:val="auto"/>
        </w:rPr>
      </w:pPr>
    </w:p>
    <w:p>
      <w:pPr>
        <w:jc w:val="both"/>
        <w:ind w:left="4600"/>
        <w:spacing w:after="0"/>
        <w:tabs>
          <w:tab w:leader="none" w:pos="79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020"/>
          </w:cols>
          <w:pgMar w:left="1440" w:top="274" w:right="439" w:bottom="1440" w:gutter="0" w:footer="0" w:header="0"/>
        </w:sectPr>
      </w:pPr>
    </w:p>
    <w:bookmarkStart w:id="145" w:name="page146"/>
    <w:bookmarkEnd w:id="145"/>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7"/>
          <w:szCs w:val="17"/>
          <w:u w:val="single" w:color="auto"/>
          <w:color w:val="auto"/>
        </w:rPr>
        <w:t>Section 9.04(b)(ii)</w:t>
      </w:r>
      <w:r>
        <w:rPr>
          <w:rFonts w:ascii="Arial" w:cs="Arial" w:eastAsia="Arial" w:hAnsi="Arial"/>
          <w:sz w:val="17"/>
          <w:szCs w:val="17"/>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0" w:lineRule="exact"/>
        <w:rPr>
          <w:sz w:val="20"/>
          <w:szCs w:val="20"/>
          <w:color w:val="auto"/>
        </w:rPr>
      </w:pPr>
    </w:p>
    <w:p>
      <w:pPr>
        <w:ind w:left="-440" w:right="120" w:firstLine="987"/>
        <w:spacing w:after="0" w:line="271" w:lineRule="auto"/>
        <w:tabs>
          <w:tab w:leader="none" w:pos="79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Maintenance of Registers by Administrative Agent</w:t>
      </w:r>
      <w:r>
        <w:rPr>
          <w:rFonts w:ascii="Arial" w:cs="Arial" w:eastAsia="Arial" w:hAnsi="Arial"/>
          <w:sz w:val="17"/>
          <w:szCs w:val="17"/>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7"/>
          <w:szCs w:val="17"/>
          <w:u w:val="single" w:color="auto"/>
          <w:color w:val="auto"/>
        </w:rPr>
        <w:t>Registers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78" w:lineRule="exact"/>
        <w:rPr>
          <w:rFonts w:ascii="Arial" w:cs="Arial" w:eastAsia="Arial" w:hAnsi="Arial"/>
          <w:sz w:val="17"/>
          <w:szCs w:val="17"/>
          <w:color w:val="auto"/>
        </w:rPr>
      </w:pPr>
    </w:p>
    <w:p>
      <w:pPr>
        <w:jc w:val="both"/>
        <w:ind w:left="-440" w:right="140" w:firstLine="987"/>
        <w:spacing w:after="0" w:line="296" w:lineRule="auto"/>
        <w:tabs>
          <w:tab w:leader="none" w:pos="806"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Acceptance of Assignments by Administrative Agent</w:t>
      </w:r>
      <w:r>
        <w:rPr>
          <w:rFonts w:ascii="Arial" w:cs="Arial" w:eastAsia="Arial" w:hAnsi="Arial"/>
          <w:sz w:val="16"/>
          <w:szCs w:val="16"/>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any written consent to such assignment required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94" w:lineRule="exact"/>
        <w:rPr>
          <w:sz w:val="20"/>
          <w:szCs w:val="20"/>
          <w:color w:val="auto"/>
        </w:rPr>
      </w:pPr>
    </w:p>
    <w:p>
      <w:pPr>
        <w:jc w:val="both"/>
        <w:ind w:left="5160"/>
        <w:spacing w:after="0"/>
        <w:tabs>
          <w:tab w:leader="none" w:pos="85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80"/>
          </w:cols>
          <w:pgMar w:left="880" w:top="274" w:right="439" w:bottom="1440" w:gutter="0" w:footer="0" w:header="0"/>
        </w:sectPr>
      </w:pPr>
    </w:p>
    <w:bookmarkStart w:id="146" w:name="page147"/>
    <w:bookmarkEnd w:id="146"/>
    <w:p>
      <w:pPr>
        <w:ind w:right="20" w:firstLine="987"/>
        <w:spacing w:after="0" w:line="269" w:lineRule="auto"/>
        <w:tabs>
          <w:tab w:leader="none" w:pos="1236"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Purposes Vehicles</w:t>
      </w:r>
      <w:r>
        <w:rPr>
          <w:rFonts w:ascii="Arial" w:cs="Arial" w:eastAsia="Arial" w:hAnsi="Arial"/>
          <w:sz w:val="17"/>
          <w:szCs w:val="17"/>
          <w:color w:val="auto"/>
        </w:rPr>
        <w:t>. 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(an “</w:t>
      </w:r>
      <w:r>
        <w:rPr>
          <w:rFonts w:ascii="Arial" w:cs="Arial" w:eastAsia="Arial" w:hAnsi="Arial"/>
          <w:sz w:val="17"/>
          <w:szCs w:val="17"/>
          <w:u w:val="single" w:color="auto"/>
          <w:color w:val="auto"/>
        </w:rPr>
        <w:t>SPC</w:t>
      </w:r>
      <w:r>
        <w:rPr>
          <w:rFonts w:ascii="Arial" w:cs="Arial" w:eastAsia="Arial" w:hAnsi="Arial"/>
          <w:sz w:val="17"/>
          <w:szCs w:val="17"/>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79"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below, and (ii) disclose on a confidential basis (in the same manner described in </w:t>
      </w:r>
      <w:r>
        <w:rPr>
          <w:rFonts w:ascii="Arial" w:cs="Arial" w:eastAsia="Arial" w:hAnsi="Arial"/>
          <w:sz w:val="16"/>
          <w:szCs w:val="16"/>
          <w:u w:val="single" w:color="auto"/>
          <w:color w:val="auto"/>
        </w:rPr>
        <w:t>Section 9.13(b)</w:t>
      </w:r>
      <w:r>
        <w:rPr>
          <w:rFonts w:ascii="Arial" w:cs="Arial" w:eastAsia="Arial" w:hAnsi="Arial"/>
          <w:sz w:val="16"/>
          <w:szCs w:val="16"/>
          <w:color w:val="auto"/>
        </w:rPr>
        <w:t>) any non-public information relating to its Loans to any rating agency, commercial paper dealer or provider of a surety, guarantee or credit or liquidity enhancement to such SPC.</w:t>
      </w:r>
    </w:p>
    <w:p>
      <w:pPr>
        <w:spacing w:after="0" w:line="174" w:lineRule="exact"/>
        <w:rPr>
          <w:sz w:val="20"/>
          <w:szCs w:val="20"/>
          <w:color w:val="auto"/>
        </w:rPr>
      </w:pPr>
    </w:p>
    <w:p>
      <w:pPr>
        <w:ind w:right="100" w:firstLine="987"/>
        <w:spacing w:after="0" w:line="279" w:lineRule="auto"/>
        <w:tabs>
          <w:tab w:leader="none" w:pos="1216"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with the consent of the Borrower (such consent not to be unreasonably withheld or delayed), sell participations to one or more banks or other entities (other than natural persons (or a holding company, investments vehicle, investment vehicle or trust for, or owned and operated by or for the primary benefit of a natural Person)) (a “</w:t>
      </w:r>
      <w:r>
        <w:rPr>
          <w:rFonts w:ascii="Arial" w:cs="Arial" w:eastAsia="Arial" w:hAnsi="Arial"/>
          <w:sz w:val="17"/>
          <w:szCs w:val="17"/>
          <w:u w:val="single" w:color="auto"/>
          <w:color w:val="auto"/>
        </w:rPr>
        <w:t>Participant</w:t>
      </w:r>
      <w:r>
        <w:rPr>
          <w:rFonts w:ascii="Arial" w:cs="Arial" w:eastAsia="Arial" w:hAnsi="Arial"/>
          <w:sz w:val="17"/>
          <w:szCs w:val="17"/>
          <w:color w:val="auto"/>
        </w:rPr>
        <w:t>”) in all or a portion of such Lender’s rights and obligations under this Agreement and the other Loan Documents (including all or a portion of its Commitments and the Loans and LC</w:t>
      </w:r>
    </w:p>
    <w:p>
      <w:pPr>
        <w:spacing w:after="0" w:line="104"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47" w:name="page148"/>
    <w:bookmarkEnd w:id="147"/>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Disbursements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not be entitled to receive any greater payment under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Participant shall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granted to such Participant and such Participant shall have complied with the requirements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if such Participant is a Lender.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provided such Participant agrees to be subject to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87" w:lineRule="exact"/>
        <w:rPr>
          <w:sz w:val="20"/>
          <w:szCs w:val="20"/>
          <w:color w:val="auto"/>
        </w:rPr>
      </w:pPr>
    </w:p>
    <w:p>
      <w:pPr>
        <w:ind w:right="360" w:firstLine="987"/>
        <w:spacing w:after="0" w:line="263" w:lineRule="auto"/>
        <w:tabs>
          <w:tab w:leader="none" w:pos="124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Limitations on Rights of Participants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w:t>
      </w:r>
    </w:p>
    <w:p>
      <w:pPr>
        <w:spacing w:after="0" w:line="116"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48" w:name="page149"/>
    <w:bookmarkEnd w:id="148"/>
    <w:p>
      <w:pPr>
        <w:ind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Participant that would be a Foreign Lender if it were a Lender shall not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sold to such Participant and such Participant agrees, for the benefit of the Borrower, to comply with </w:t>
      </w:r>
      <w:r>
        <w:rPr>
          <w:rFonts w:ascii="Arial" w:cs="Arial" w:eastAsia="Arial" w:hAnsi="Arial"/>
          <w:sz w:val="16"/>
          <w:szCs w:val="16"/>
          <w:u w:val="single" w:color="auto"/>
          <w:color w:val="auto"/>
        </w:rPr>
        <w:t>paragraphs (e)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61" w:lineRule="exact"/>
        <w:rPr>
          <w:sz w:val="20"/>
          <w:szCs w:val="20"/>
          <w:color w:val="auto"/>
        </w:rPr>
      </w:pPr>
    </w:p>
    <w:p>
      <w:pPr>
        <w:ind w:right="20" w:firstLine="987"/>
        <w:spacing w:after="0" w:line="301" w:lineRule="auto"/>
        <w:tabs>
          <w:tab w:leader="none" w:pos="1246"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assignee for such Lender as a party hereto.</w:t>
      </w:r>
    </w:p>
    <w:p>
      <w:pPr>
        <w:spacing w:after="0" w:line="157" w:lineRule="exact"/>
        <w:rPr>
          <w:rFonts w:ascii="Arial" w:cs="Arial" w:eastAsia="Arial" w:hAnsi="Arial"/>
          <w:sz w:val="16"/>
          <w:szCs w:val="16"/>
          <w:color w:val="auto"/>
        </w:rPr>
      </w:pPr>
    </w:p>
    <w:p>
      <w:pPr>
        <w:ind w:right="20" w:firstLine="987"/>
        <w:spacing w:after="0" w:line="263" w:lineRule="auto"/>
        <w:tabs>
          <w:tab w:leader="none" w:pos="120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No Assignments to the Borrower or Affiliates</w:t>
      </w:r>
      <w:r>
        <w:rPr>
          <w:rFonts w:ascii="Arial" w:cs="Arial" w:eastAsia="Arial" w:hAnsi="Arial"/>
          <w:sz w:val="18"/>
          <w:szCs w:val="18"/>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84" w:lineRule="exact"/>
        <w:rPr>
          <w:sz w:val="20"/>
          <w:szCs w:val="20"/>
          <w:color w:val="auto"/>
        </w:rPr>
      </w:pPr>
    </w:p>
    <w:p>
      <w:pPr>
        <w:ind w:right="120" w:firstLine="991"/>
        <w:spacing w:after="0" w:line="26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225" w:lineRule="exact"/>
        <w:rPr>
          <w:sz w:val="20"/>
          <w:szCs w:val="20"/>
          <w:color w:val="auto"/>
        </w:rPr>
      </w:pPr>
    </w:p>
    <w:p>
      <w:pPr>
        <w:jc w:val="both"/>
        <w:ind w:right="80" w:firstLine="987"/>
        <w:spacing w:after="0" w:line="286" w:lineRule="auto"/>
        <w:tabs>
          <w:tab w:leader="none" w:pos="1236"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w:t>
      </w:r>
    </w:p>
    <w:p>
      <w:pPr>
        <w:spacing w:after="0" w:line="143"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49" w:name="page150"/>
    <w:bookmarkEnd w:id="149"/>
    <w:p>
      <w:pPr>
        <w:ind w:left="4"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71" w:lineRule="exact"/>
        <w:rPr>
          <w:sz w:val="20"/>
          <w:szCs w:val="20"/>
          <w:color w:val="auto"/>
        </w:rPr>
      </w:pPr>
    </w:p>
    <w:p>
      <w:pPr>
        <w:ind w:left="4" w:right="60" w:firstLine="987"/>
        <w:spacing w:after="0" w:line="275" w:lineRule="auto"/>
        <w:tabs>
          <w:tab w:leader="none" w:pos="125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6"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left="4" w:right="140" w:firstLine="991"/>
        <w:spacing w:after="0" w:line="284"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6"/>
          <w:szCs w:val="16"/>
          <w:u w:val="single" w:color="auto"/>
          <w:color w:val="auto"/>
        </w:rPr>
        <w:t>Sections 2.17(d)</w:t>
      </w:r>
      <w:r>
        <w:rPr>
          <w:rFonts w:ascii="Arial" w:cs="Arial" w:eastAsia="Arial" w:hAnsi="Arial"/>
          <w:sz w:val="16"/>
          <w:szCs w:val="16"/>
          <w:color w:val="auto"/>
        </w:rPr>
        <w:t xml:space="preserve"> and, pending such payment, shall be segregated by such Defaulting Lender from its other funds and deemed held in trust for the benefit of Administrative Agent, the Issuing Banks, and the Lenders, and</w:t>
      </w:r>
    </w:p>
    <w:p>
      <w:pPr>
        <w:spacing w:after="0" w:line="1" w:lineRule="exact"/>
        <w:rPr>
          <w:sz w:val="20"/>
          <w:szCs w:val="20"/>
          <w:color w:val="auto"/>
        </w:rPr>
      </w:pPr>
    </w:p>
    <w:p>
      <w:pPr>
        <w:ind w:left="4" w:right="60" w:hanging="4"/>
        <w:spacing w:after="0" w:line="295" w:lineRule="auto"/>
        <w:tabs>
          <w:tab w:leader="none" w:pos="25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94"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50" w:name="page151"/>
    <w:bookmarkEnd w:id="15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9.09.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 York.</w:t>
      </w:r>
    </w:p>
    <w:p>
      <w:pPr>
        <w:spacing w:after="0" w:line="225" w:lineRule="exact"/>
        <w:rPr>
          <w:rFonts w:ascii="Arial" w:cs="Arial" w:eastAsia="Arial" w:hAnsi="Arial"/>
          <w:sz w:val="18"/>
          <w:szCs w:val="18"/>
          <w:color w:val="auto"/>
        </w:rPr>
      </w:pPr>
    </w:p>
    <w:p>
      <w:pPr>
        <w:ind w:left="4" w:right="80" w:firstLine="987"/>
        <w:spacing w:after="0" w:line="270" w:lineRule="auto"/>
        <w:tabs>
          <w:tab w:leader="none" w:pos="1250"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80" w:lineRule="exact"/>
        <w:rPr>
          <w:rFonts w:ascii="Arial" w:cs="Arial" w:eastAsia="Arial" w:hAnsi="Arial"/>
          <w:sz w:val="17"/>
          <w:szCs w:val="17"/>
          <w:color w:val="auto"/>
        </w:rPr>
      </w:pPr>
    </w:p>
    <w:p>
      <w:pPr>
        <w:ind w:left="4" w:right="80" w:firstLine="987"/>
        <w:spacing w:after="0" w:line="279" w:lineRule="auto"/>
        <w:tabs>
          <w:tab w:leader="none" w:pos="1240"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Waiver of Venue</w:t>
      </w:r>
      <w:r>
        <w:rPr>
          <w:rFonts w:ascii="Arial" w:cs="Arial" w:eastAsia="Arial" w:hAnsi="Arial"/>
          <w:sz w:val="17"/>
          <w:szCs w:val="17"/>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71" w:lineRule="exact"/>
        <w:rPr>
          <w:rFonts w:ascii="Arial" w:cs="Arial" w:eastAsia="Arial" w:hAnsi="Arial"/>
          <w:sz w:val="17"/>
          <w:szCs w:val="17"/>
          <w:color w:val="auto"/>
        </w:rPr>
      </w:pPr>
    </w:p>
    <w:p>
      <w:pPr>
        <w:ind w:left="4" w:right="80" w:firstLine="987"/>
        <w:spacing w:after="0" w:line="279" w:lineRule="auto"/>
        <w:tabs>
          <w:tab w:leader="none" w:pos="1250"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xml:space="preserve">. Each party to this Agreement (i) irrevocably consents to service of process in the manner provided for notices in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and (ii) agrees that service as provided in the manner provided for notices in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71" w:lineRule="exact"/>
        <w:rPr>
          <w:sz w:val="20"/>
          <w:szCs w:val="20"/>
          <w:color w:val="auto"/>
        </w:rPr>
      </w:pPr>
    </w:p>
    <w:p>
      <w:pPr>
        <w:ind w:left="4" w:right="20" w:firstLine="991"/>
        <w:spacing w:after="0" w:line="268"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ind w:left="4" w:right="380" w:hanging="4"/>
        <w:spacing w:after="0" w:line="260" w:lineRule="auto"/>
        <w:tabs>
          <w:tab w:leader="none" w:pos="27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w:t>
      </w:r>
    </w:p>
    <w:p>
      <w:pPr>
        <w:spacing w:after="0" w:line="185"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Judgment Currency</w:t>
      </w:r>
      <w:r>
        <w:rPr>
          <w:rFonts w:ascii="Arial" w:cs="Arial" w:eastAsia="Arial" w:hAnsi="Arial"/>
          <w:sz w:val="18"/>
          <w:szCs w:val="18"/>
          <w:color w:val="auto"/>
        </w:rPr>
        <w:t>. This is an international loan transaction in which the specification of Dollars or any Foreign Currency, as the case may be (the “</w:t>
      </w:r>
      <w:r>
        <w:rPr>
          <w:rFonts w:ascii="Arial" w:cs="Arial" w:eastAsia="Arial" w:hAnsi="Arial"/>
          <w:sz w:val="18"/>
          <w:szCs w:val="18"/>
          <w:u w:val="single" w:color="auto"/>
          <w:color w:val="auto"/>
        </w:rPr>
        <w:t>Specified Currency</w:t>
      </w:r>
      <w:r>
        <w:rPr>
          <w:rFonts w:ascii="Arial" w:cs="Arial" w:eastAsia="Arial" w:hAnsi="Arial"/>
          <w:sz w:val="18"/>
          <w:szCs w:val="18"/>
          <w:color w:val="auto"/>
        </w:rPr>
        <w:t>”), and payment in New York City or the country of the Specified Currency, as the case may be (the “</w:t>
      </w:r>
      <w:r>
        <w:rPr>
          <w:rFonts w:ascii="Arial" w:cs="Arial" w:eastAsia="Arial" w:hAnsi="Arial"/>
          <w:sz w:val="18"/>
          <w:szCs w:val="18"/>
          <w:u w:val="single" w:color="auto"/>
          <w:color w:val="auto"/>
        </w:rPr>
        <w:t>Specified Place</w:t>
      </w:r>
      <w:r>
        <w:rPr>
          <w:rFonts w:ascii="Arial" w:cs="Arial" w:eastAsia="Arial" w:hAnsi="Arial"/>
          <w:sz w:val="18"/>
          <w:szCs w:val="18"/>
          <w:color w:val="auto"/>
        </w:rPr>
        <w:t>”), is of the essence, and the Specified Currency shall be the currency of account in all events relating to Loans denominated in the Specified Currency. The payment</w:t>
      </w:r>
    </w:p>
    <w:p>
      <w:pPr>
        <w:spacing w:after="0" w:line="119"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of the Borrower under this Agreement shall not be discharged or satisfied by an amount paid in another currency or in another place, whether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pursuant to a judgment or otherwise, to the extent that the amount so paid on conversion to the Specified Currency and transfer to the Specified Place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normal banking procedures does not yield the amount of the Specified Currency at the Specified Place due hereunder. If for the purpose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obtaining judgment in any court it is necessary to convert a sum due hereunder in the Specified Currency into another currency (the “</w:t>
      </w:r>
      <w:r>
        <w:rPr>
          <w:rFonts w:ascii="Arial" w:cs="Arial" w:eastAsia="Arial" w:hAnsi="Arial"/>
          <w:sz w:val="17"/>
          <w:szCs w:val="17"/>
          <w:u w:val="single" w:color="auto"/>
          <w:color w:val="auto"/>
        </w:rPr>
        <w:t>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Currency</w:t>
      </w:r>
      <w:r>
        <w:rPr>
          <w:rFonts w:ascii="Arial" w:cs="Arial" w:eastAsia="Arial" w:hAnsi="Arial"/>
          <w:sz w:val="16"/>
          <w:szCs w:val="16"/>
          <w:color w:val="auto"/>
        </w:rPr>
        <w:t>”), the rate of exchange that shall be applied shall be the rate at which in accordance with normal banking procedures the Administrative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purchase the Specified Currency with the Second Currency on the Business Day next preceding the day on which such judgment is rendered.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obligation of the Borrower in respect of any such sum due from it to the Administrative Agent or any Lender hereunder or under any other Loan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Document (in this Section called an “</w:t>
      </w:r>
      <w:r>
        <w:rPr>
          <w:rFonts w:ascii="Arial" w:cs="Arial" w:eastAsia="Arial" w:hAnsi="Arial"/>
          <w:sz w:val="17"/>
          <w:szCs w:val="17"/>
          <w:u w:val="single" w:color="auto"/>
          <w:color w:val="auto"/>
        </w:rPr>
        <w:t>Entitled Person</w:t>
      </w:r>
      <w:r>
        <w:rPr>
          <w:rFonts w:ascii="Arial" w:cs="Arial" w:eastAsia="Arial" w:hAnsi="Arial"/>
          <w:sz w:val="17"/>
          <w:szCs w:val="17"/>
          <w:color w:val="auto"/>
        </w:rPr>
        <w:t>”) shall, notwithstanding the rate of exchange actually applied in rendering such judgment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discharged only to the extent that on the Business Day following receipt by such Entitled Person of any sum adjudged to be due hereunder in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Currency such Entitled Person may in accordance with normal banking procedures purchase and transfer to the Specified Place the Specified Currency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amount of the Second Currency so adjudged to be due; and the Borrower hereby, as a separate obligation and notwithstanding any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judgment, agrees to indemnify such Entitled Person against, and to pay such Entitled Person on demand, in the Specified Currency. the amount (if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any) by which the sum originally due to such Entitled Person in the Specified Currency hereunder exceeds the amount of the Specified Currency 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purchased and transferred.</w:t>
      </w:r>
    </w:p>
    <w:p>
      <w:pPr>
        <w:spacing w:after="0" w:line="211" w:lineRule="exact"/>
        <w:rPr>
          <w:sz w:val="20"/>
          <w:szCs w:val="20"/>
          <w:color w:val="auto"/>
        </w:rPr>
      </w:pPr>
    </w:p>
    <w:p>
      <w:pPr>
        <w:ind w:right="180" w:firstLine="991"/>
        <w:spacing w:after="0" w:line="308"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Treatment of Certain Information; No Fiduciary Duty; Confidentiality</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87" w:lineRule="auto"/>
        <w:tabs>
          <w:tab w:leader="none" w:pos="1236"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Treatment of Certain Information; No Fiduciary Duty; No Conflicts</w:t>
      </w:r>
      <w:r>
        <w:rPr>
          <w:rFonts w:ascii="Arial" w:cs="Arial" w:eastAsia="Arial" w:hAnsi="Arial"/>
          <w:sz w:val="16"/>
          <w:szCs w:val="16"/>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w:t>
      </w:r>
    </w:p>
    <w:p>
      <w:pPr>
        <w:spacing w:after="0" w:line="100"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52" w:name="page153"/>
    <w:bookmarkEnd w:id="152"/>
    <w:p>
      <w:pPr>
        <w:ind w:left="4"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84" w:lineRule="exact"/>
        <w:rPr>
          <w:sz w:val="20"/>
          <w:szCs w:val="20"/>
          <w:color w:val="auto"/>
        </w:rPr>
      </w:pPr>
    </w:p>
    <w:p>
      <w:pPr>
        <w:ind w:left="4" w:right="40" w:firstLine="987"/>
        <w:spacing w:after="0" w:line="283" w:lineRule="auto"/>
        <w:tabs>
          <w:tab w:leader="none" w:pos="1250"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w:t>
      </w:r>
    </w:p>
    <w:p>
      <w:pPr>
        <w:spacing w:after="0" w:line="4" w:lineRule="exact"/>
        <w:rPr>
          <w:rFonts w:ascii="Arial" w:cs="Arial" w:eastAsia="Arial" w:hAnsi="Arial"/>
          <w:sz w:val="16"/>
          <w:szCs w:val="16"/>
          <w:color w:val="auto"/>
        </w:rPr>
      </w:pPr>
    </w:p>
    <w:p>
      <w:pPr>
        <w:ind w:left="4" w:right="180" w:hanging="4"/>
        <w:spacing w:after="0" w:line="268" w:lineRule="auto"/>
        <w:tabs>
          <w:tab w:leader="none" w:pos="40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 In addition, subject to an agreement containing provisions substantially the same as those of this </w:t>
      </w:r>
      <w:r>
        <w:rPr>
          <w:rFonts w:ascii="Arial" w:cs="Arial" w:eastAsia="Arial" w:hAnsi="Arial"/>
          <w:sz w:val="17"/>
          <w:szCs w:val="17"/>
          <w:u w:val="single" w:color="auto"/>
          <w:color w:val="auto"/>
        </w:rPr>
        <w:t>Section 9.13(b)</w:t>
      </w:r>
      <w:r>
        <w:rPr>
          <w:rFonts w:ascii="Arial" w:cs="Arial" w:eastAsia="Arial" w:hAnsi="Arial"/>
          <w:sz w:val="17"/>
          <w:szCs w:val="17"/>
          <w:color w:val="auto"/>
        </w:rPr>
        <w:t>, the Administrative Agent and each Lender may disclose the existence of this Agreement and information about this Agreement to market data collectors, similar service providers to the lending industry and service providers to the Administrative Agent or any Lender in connection with the administration or servicing of this Agreement, the other Loan Documents and the Commitments</w:t>
      </w:r>
    </w:p>
    <w:p>
      <w:pPr>
        <w:spacing w:after="0" w:line="116"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53" w:name="page154"/>
    <w:bookmarkEnd w:id="153"/>
    <w:p>
      <w:pPr>
        <w:ind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5" w:lineRule="exact"/>
        <w:rPr>
          <w:sz w:val="20"/>
          <w:szCs w:val="20"/>
          <w:color w:val="auto"/>
        </w:rPr>
      </w:pPr>
    </w:p>
    <w:p>
      <w:pPr>
        <w:jc w:val="both"/>
        <w:ind w:right="180" w:firstLine="991"/>
        <w:spacing w:after="0" w:line="257"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the Borrower that pursuant to the requirements of the USA PATRIOT Act (Title III of Pub. L. 107-56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88"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6" w:lineRule="exact"/>
        <w:rPr>
          <w:sz w:val="20"/>
          <w:szCs w:val="20"/>
          <w:color w:val="auto"/>
        </w:rPr>
      </w:pPr>
    </w:p>
    <w:p>
      <w:pPr>
        <w:ind w:right="560" w:firstLine="987"/>
        <w:spacing w:after="0" w:line="277" w:lineRule="auto"/>
        <w:tabs>
          <w:tab w:leader="none" w:pos="123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440" w:right="400" w:firstLine="948"/>
        <w:spacing w:after="0" w:line="259" w:lineRule="auto"/>
        <w:tabs>
          <w:tab w:leader="none" w:pos="165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19"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54" w:name="page155"/>
    <w:bookmarkEnd w:id="154"/>
    <w:p>
      <w:pPr>
        <w:ind w:left="444" w:right="420" w:firstLine="948"/>
        <w:spacing w:after="0" w:line="277" w:lineRule="auto"/>
        <w:tabs>
          <w:tab w:leader="none" w:pos="1711"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987"/>
        <w:spacing w:after="0" w:line="259" w:lineRule="auto"/>
        <w:tabs>
          <w:tab w:leader="none" w:pos="12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pacing w:after="0" w:line="78" w:lineRule="exact"/>
        <w:rPr>
          <w:rFonts w:ascii="Arial" w:cs="Arial" w:eastAsia="Arial" w:hAnsi="Arial"/>
          <w:sz w:val="18"/>
          <w:szCs w:val="18"/>
          <w:color w:val="auto"/>
        </w:rPr>
      </w:pPr>
    </w:p>
    <w:p>
      <w:pPr>
        <w:ind w:left="444" w:right="100" w:firstLine="948"/>
        <w:spacing w:after="0" w:line="263" w:lineRule="auto"/>
        <w:tabs>
          <w:tab w:leader="none" w:pos="1611" w:val="left"/>
        </w:tabs>
        <w:numPr>
          <w:ilvl w:val="2"/>
          <w:numId w:val="217"/>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44" w:right="140" w:firstLine="948"/>
        <w:spacing w:after="0" w:line="273" w:lineRule="auto"/>
        <w:tabs>
          <w:tab w:leader="none" w:pos="1661" w:val="left"/>
        </w:tabs>
        <w:numPr>
          <w:ilvl w:val="2"/>
          <w:numId w:val="217"/>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44" w:right="100" w:firstLine="948"/>
        <w:spacing w:after="0" w:line="254" w:lineRule="auto"/>
        <w:tabs>
          <w:tab w:leader="none" w:pos="1711"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444" w:right="460" w:firstLine="948"/>
        <w:spacing w:after="0" w:line="277" w:lineRule="auto"/>
        <w:tabs>
          <w:tab w:leader="none" w:pos="1701" w:val="left"/>
        </w:tabs>
        <w:numPr>
          <w:ilvl w:val="2"/>
          <w:numId w:val="21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left="4" w:right="140" w:firstLine="987"/>
        <w:spacing w:after="0" w:line="291" w:lineRule="auto"/>
        <w:tabs>
          <w:tab w:leader="none" w:pos="125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 xml:space="preserve">In addition, unless either (1)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is true with respect to a Lender or (2) a Lender has provided another representation, warranty and covenant in accordance with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in the immediately preceding </w:t>
      </w:r>
      <w:r>
        <w:rPr>
          <w:rFonts w:ascii="Arial" w:cs="Arial" w:eastAsia="Arial" w:hAnsi="Arial"/>
          <w:sz w:val="16"/>
          <w:szCs w:val="16"/>
          <w:u w:val="single" w:color="auto"/>
          <w:color w:val="auto"/>
        </w:rPr>
        <w:t>paragraph (a)</w:t>
      </w:r>
      <w:r>
        <w:rPr>
          <w:rFonts w:ascii="Arial" w:cs="Arial" w:eastAsia="Arial" w:hAnsi="Arial"/>
          <w:sz w:val="16"/>
          <w:szCs w:val="16"/>
          <w:color w:val="auto"/>
        </w:rPr>
        <w:t>, such Lender further</w:t>
      </w:r>
    </w:p>
    <w:p>
      <w:pPr>
        <w:ind w:left="264" w:hanging="264"/>
        <w:spacing w:after="0"/>
        <w:tabs>
          <w:tab w:leader="none" w:pos="26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w:t>
      </w:r>
    </w:p>
    <w:p>
      <w:pPr>
        <w:spacing w:after="0" w:line="143"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55" w:name="page156"/>
    <w:bookmarkEnd w:id="155"/>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none of the Administrative Agent, the Joint Lead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78"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SECTION 9.17.</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Hedging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right="20" w:firstLine="987"/>
        <w:spacing w:after="0" w:line="287" w:lineRule="auto"/>
        <w:tabs>
          <w:tab w:leader="none" w:pos="123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rFonts w:ascii="Arial" w:cs="Arial" w:eastAsia="Arial" w:hAnsi="Arial"/>
          <w:sz w:val="16"/>
          <w:szCs w:val="16"/>
          <w:color w:val="auto"/>
        </w:rPr>
      </w:pPr>
    </w:p>
    <w:p>
      <w:pPr>
        <w:ind w:left="1240" w:hanging="253"/>
        <w:spacing w:after="0"/>
        <w:tabs>
          <w:tab w:leader="none" w:pos="12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9.17</w:t>
      </w:r>
      <w:r>
        <w:rPr>
          <w:rFonts w:ascii="Arial" w:cs="Arial" w:eastAsia="Arial" w:hAnsi="Arial"/>
          <w:sz w:val="18"/>
          <w:szCs w:val="18"/>
          <w:color w:val="auto"/>
        </w:rPr>
        <w:t>, the following terms have the following meanings:</w:t>
      </w:r>
    </w:p>
    <w:p>
      <w:pPr>
        <w:spacing w:after="0" w:line="117" w:lineRule="exact"/>
        <w:rPr>
          <w:rFonts w:ascii="Arial" w:cs="Arial" w:eastAsia="Arial" w:hAnsi="Arial"/>
          <w:sz w:val="18"/>
          <w:szCs w:val="18"/>
          <w:color w:val="auto"/>
        </w:rPr>
      </w:pPr>
    </w:p>
    <w:p>
      <w:pPr>
        <w:ind w:left="440" w:right="140" w:firstLine="948"/>
        <w:spacing w:after="0" w:line="277" w:lineRule="auto"/>
        <w:tabs>
          <w:tab w:leader="none" w:pos="160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rFonts w:ascii="Arial" w:cs="Arial" w:eastAsia="Arial" w:hAnsi="Arial"/>
          <w:sz w:val="18"/>
          <w:szCs w:val="18"/>
          <w:color w:val="auto"/>
        </w:rPr>
      </w:pPr>
    </w:p>
    <w:p>
      <w:pPr>
        <w:ind w:left="2180" w:hanging="290"/>
        <w:spacing w:after="0"/>
        <w:tabs>
          <w:tab w:leader="none" w:pos="21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58"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56" w:name="page157"/>
    <w:bookmarkEnd w:id="156"/>
    <w:p>
      <w:pPr>
        <w:ind w:left="2184" w:hanging="290"/>
        <w:spacing w:after="0"/>
        <w:tabs>
          <w:tab w:leader="none" w:pos="2184" w:val="left"/>
        </w:tabs>
        <w:numPr>
          <w:ilvl w:val="1"/>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2184" w:hanging="290"/>
        <w:spacing w:after="0"/>
        <w:tabs>
          <w:tab w:leader="none" w:pos="218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rFonts w:ascii="Arial" w:cs="Arial" w:eastAsia="Arial" w:hAnsi="Arial"/>
          <w:sz w:val="18"/>
          <w:szCs w:val="18"/>
          <w:color w:val="auto"/>
        </w:rPr>
      </w:pPr>
    </w:p>
    <w:p>
      <w:pPr>
        <w:ind w:left="444" w:right="120" w:firstLine="948"/>
        <w:spacing w:after="0" w:line="277" w:lineRule="auto"/>
        <w:tabs>
          <w:tab w:leader="none" w:pos="171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62" w:lineRule="exact"/>
        <w:rPr>
          <w:rFonts w:ascii="Arial" w:cs="Arial" w:eastAsia="Arial" w:hAnsi="Arial"/>
          <w:sz w:val="18"/>
          <w:szCs w:val="18"/>
          <w:color w:val="auto"/>
        </w:rPr>
      </w:pPr>
    </w:p>
    <w:p>
      <w:pPr>
        <w:ind w:left="444" w:right="340" w:firstLine="948"/>
        <w:spacing w:after="0" w:line="277" w:lineRule="auto"/>
        <w:tabs>
          <w:tab w:leader="none" w:pos="170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70" w:lineRule="exact"/>
        <w:rPr>
          <w:sz w:val="20"/>
          <w:szCs w:val="20"/>
          <w:color w:val="auto"/>
        </w:rPr>
      </w:pPr>
    </w:p>
    <w:p>
      <w:pPr>
        <w:ind w:left="4" w:right="60" w:firstLine="991"/>
        <w:spacing w:after="0" w:line="285" w:lineRule="auto"/>
        <w:rPr>
          <w:sz w:val="20"/>
          <w:szCs w:val="20"/>
          <w:color w:val="auto"/>
        </w:rPr>
      </w:pPr>
      <w:r>
        <w:rPr>
          <w:rFonts w:ascii="Arial" w:cs="Arial" w:eastAsia="Arial" w:hAnsi="Arial"/>
          <w:sz w:val="16"/>
          <w:szCs w:val="16"/>
          <w:color w:val="auto"/>
        </w:rPr>
        <w:t>SECTION 9.18.</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w:t>
      </w:r>
    </w:p>
    <w:p>
      <w:pPr>
        <w:spacing w:after="0" w:line="2" w:lineRule="exact"/>
        <w:rPr>
          <w:sz w:val="20"/>
          <w:szCs w:val="20"/>
          <w:color w:val="auto"/>
        </w:rPr>
      </w:pPr>
    </w:p>
    <w:p>
      <w:pPr>
        <w:ind w:left="4" w:right="140" w:hanging="4"/>
        <w:spacing w:after="0" w:line="255" w:lineRule="auto"/>
        <w:tabs>
          <w:tab w:leader="none" w:pos="24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22" w:lineRule="exact"/>
        <w:rPr>
          <w:sz w:val="20"/>
          <w:szCs w:val="20"/>
          <w:color w:val="auto"/>
        </w:rPr>
      </w:pPr>
    </w:p>
    <w:p>
      <w:pPr>
        <w:jc w:val="both"/>
        <w:ind w:left="5604"/>
        <w:spacing w:after="0"/>
        <w:tabs>
          <w:tab w:leader="none" w:pos="8964"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4"/>
          </w:cols>
          <w:pgMar w:left="436" w:top="274" w:right="439" w:bottom="1440" w:gutter="0" w:footer="0" w:header="0"/>
        </w:sectPr>
      </w:pPr>
    </w:p>
    <w:bookmarkStart w:id="157" w:name="page158"/>
    <w:bookmarkEnd w:id="157"/>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SIXTH STREET LENDING PARTNERS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Ian Simmonds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jc w:val="both"/>
        <w:ind w:left="5600"/>
        <w:spacing w:after="0"/>
        <w:tabs>
          <w:tab w:leader="none" w:pos="89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020"/>
          </w:cols>
          <w:pgMar w:left="440" w:top="274" w:right="439" w:bottom="1440" w:gutter="0" w:footer="0" w:header="0"/>
        </w:sectPr>
      </w:pPr>
    </w:p>
    <w:bookmarkStart w:id="158" w:name="page159"/>
    <w:bookmarkEnd w:id="15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TRUIST BANK, as Administrative Agent, Issuing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Swingline Lender and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Silsbee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Andrew Silsbee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600"/>
        <w:spacing w:after="0"/>
        <w:tabs>
          <w:tab w:leader="none" w:pos="7960" w:val="left"/>
        </w:tabs>
        <w:rPr>
          <w:sz w:val="20"/>
          <w:szCs w:val="20"/>
          <w:color w:val="auto"/>
        </w:rPr>
      </w:pPr>
      <w:r>
        <w:rPr>
          <w:rFonts w:ascii="Arial" w:cs="Arial" w:eastAsia="Arial" w:hAnsi="Arial"/>
          <w:sz w:val="16"/>
          <w:szCs w:val="16"/>
          <w:color w:val="auto"/>
        </w:rPr>
        <w:t>150</w:t>
      </w:r>
      <w:r>
        <w:rPr>
          <w:sz w:val="20"/>
          <w:szCs w:val="20"/>
          <w:color w:val="auto"/>
        </w:rPr>
        <w:tab/>
      </w:r>
      <w:r>
        <w:rPr>
          <w:rFonts w:ascii="Arial" w:cs="Arial" w:eastAsia="Arial" w:hAnsi="Arial"/>
          <w:sz w:val="16"/>
          <w:szCs w:val="16"/>
          <w:i w:val="1"/>
          <w:iCs w:val="1"/>
          <w:color w:val="auto"/>
        </w:rPr>
        <w:t>Revolving Credit Agreement</w:t>
      </w:r>
    </w:p>
    <w:p>
      <w:pPr>
        <w:sectPr>
          <w:pgSz w:w="11900" w:h="16838" w:orient="portrait"/>
          <w:cols w:equalWidth="0" w:num="1">
            <w:col w:w="10020"/>
          </w:cols>
          <w:pgMar w:left="1440" w:top="274" w:right="439" w:bottom="1440" w:gutter="0" w:footer="0" w:header="0"/>
        </w:sectPr>
      </w:pPr>
    </w:p>
    <w:bookmarkStart w:id="159" w:name="page160"/>
    <w:bookmarkEnd w:id="15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Issuing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Swingline Lender and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Alevtina Dudyreva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Alevtina Dudyreva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600"/>
        <w:spacing w:after="0"/>
        <w:tabs>
          <w:tab w:leader="none" w:pos="7960"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6"/>
          <w:szCs w:val="16"/>
          <w:i w:val="1"/>
          <w:iCs w:val="1"/>
          <w:color w:val="auto"/>
        </w:rPr>
        <w:t>Revolving Credit Agreement</w:t>
      </w:r>
    </w:p>
    <w:p>
      <w:pPr>
        <w:sectPr>
          <w:pgSz w:w="11900" w:h="16838" w:orient="portrait"/>
          <w:cols w:equalWidth="0" w:num="1">
            <w:col w:w="10020"/>
          </w:cols>
          <w:pgMar w:left="1440" w:top="274" w:right="439" w:bottom="1440" w:gutter="0" w:footer="0" w:header="0"/>
        </w:sectPr>
      </w:pPr>
    </w:p>
    <w:bookmarkStart w:id="160" w:name="page161"/>
    <w:bookmarkEnd w:id="16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 BANK OF CANADA, as Issuing Bank, Swingline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 and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Alex Figueroa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Alex Figueroa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4600"/>
        <w:spacing w:after="0"/>
        <w:tabs>
          <w:tab w:leader="none" w:pos="7960"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6"/>
          <w:szCs w:val="16"/>
          <w:i w:val="1"/>
          <w:iCs w:val="1"/>
          <w:color w:val="auto"/>
        </w:rPr>
        <w:t>Revolving Credit Agreement</w:t>
      </w:r>
    </w:p>
    <w:p>
      <w:pPr>
        <w:sectPr>
          <w:pgSz w:w="11900" w:h="16838" w:orient="portrait"/>
          <w:cols w:equalWidth="0" w:num="1">
            <w:col w:w="10020"/>
          </w:cols>
          <w:pgMar w:left="1440" w:top="274" w:right="439" w:bottom="1440" w:gutter="0" w:footer="0" w:header="0"/>
        </w:sectPr>
      </w:pPr>
    </w:p>
    <w:bookmarkStart w:id="161" w:name="page162"/>
    <w:bookmarkEnd w:id="16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 STREET BANK AND TRUST COMPANY,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Swingline Lender and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Doherty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4600"/>
        <w:spacing w:after="0"/>
        <w:tabs>
          <w:tab w:leader="none" w:pos="7960" w:val="left"/>
        </w:tabs>
        <w:rPr>
          <w:sz w:val="20"/>
          <w:szCs w:val="20"/>
          <w:color w:val="auto"/>
        </w:rPr>
      </w:pPr>
      <w:r>
        <w:rPr>
          <w:rFonts w:ascii="Arial" w:cs="Arial" w:eastAsia="Arial" w:hAnsi="Arial"/>
          <w:sz w:val="16"/>
          <w:szCs w:val="16"/>
          <w:color w:val="auto"/>
        </w:rPr>
        <w:t>153</w:t>
      </w:r>
      <w:r>
        <w:rPr>
          <w:sz w:val="20"/>
          <w:szCs w:val="20"/>
          <w:color w:val="auto"/>
        </w:rPr>
        <w:tab/>
      </w:r>
      <w:r>
        <w:rPr>
          <w:rFonts w:ascii="Arial" w:cs="Arial" w:eastAsia="Arial" w:hAnsi="Arial"/>
          <w:sz w:val="16"/>
          <w:szCs w:val="16"/>
          <w:i w:val="1"/>
          <w:iCs w:val="1"/>
          <w:color w:val="auto"/>
        </w:rPr>
        <w:t>Revolving Credit Agreement</w:t>
      </w:r>
    </w:p>
    <w:p>
      <w:pPr>
        <w:sectPr>
          <w:pgSz w:w="11900" w:h="16838" w:orient="portrait"/>
          <w:cols w:equalWidth="0" w:num="1">
            <w:col w:w="10020"/>
          </w:cols>
          <w:pgMar w:left="1440" w:top="274" w:right="439" w:bottom="1440" w:gutter="0" w:footer="0" w:header="0"/>
        </w:sectPr>
      </w:pPr>
    </w:p>
    <w:bookmarkStart w:id="162" w:name="page163"/>
    <w:bookmarkEnd w:id="16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 as Issuing Bank, Swingline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 and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Kusner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Kusner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321" w:lineRule="exact"/>
        <w:rPr>
          <w:sz w:val="20"/>
          <w:szCs w:val="20"/>
          <w:color w:val="auto"/>
        </w:rPr>
      </w:pPr>
    </w:p>
    <w:p>
      <w:pPr>
        <w:ind w:left="4600"/>
        <w:spacing w:after="0"/>
        <w:tabs>
          <w:tab w:leader="none" w:pos="7960" w:val="left"/>
        </w:tabs>
        <w:rPr>
          <w:sz w:val="20"/>
          <w:szCs w:val="20"/>
          <w:color w:val="auto"/>
        </w:rPr>
      </w:pPr>
      <w:r>
        <w:rPr>
          <w:rFonts w:ascii="Arial" w:cs="Arial" w:eastAsia="Arial" w:hAnsi="Arial"/>
          <w:sz w:val="16"/>
          <w:szCs w:val="16"/>
          <w:color w:val="auto"/>
        </w:rPr>
        <w:t>154</w:t>
      </w:r>
      <w:r>
        <w:rPr>
          <w:sz w:val="20"/>
          <w:szCs w:val="20"/>
          <w:color w:val="auto"/>
        </w:rPr>
        <w:tab/>
      </w:r>
      <w:r>
        <w:rPr>
          <w:rFonts w:ascii="Arial" w:cs="Arial" w:eastAsia="Arial" w:hAnsi="Arial"/>
          <w:sz w:val="16"/>
          <w:szCs w:val="16"/>
          <w:i w:val="1"/>
          <w:iCs w:val="1"/>
          <w:color w:val="auto"/>
        </w:rPr>
        <w:t>Revolving Credit Agreement</w:t>
      </w:r>
    </w:p>
    <w:p>
      <w:pPr>
        <w:sectPr>
          <w:pgSz w:w="11900" w:h="16838" w:orient="portrait"/>
          <w:cols w:equalWidth="0" w:num="1">
            <w:col w:w="10020"/>
          </w:cols>
          <w:pgMar w:left="1440" w:top="274" w:right="439" w:bottom="1440" w:gutter="0" w:footer="0" w:header="0"/>
        </w:sectPr>
      </w:pPr>
    </w:p>
    <w:bookmarkStart w:id="163" w:name="page164"/>
    <w:bookmarkEnd w:id="16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Amanda DeRoche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Amanda DeRoche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4600"/>
        <w:spacing w:after="0"/>
        <w:tabs>
          <w:tab w:leader="none" w:pos="7960" w:val="left"/>
        </w:tabs>
        <w:rPr>
          <w:sz w:val="20"/>
          <w:szCs w:val="20"/>
          <w:color w:val="auto"/>
        </w:rPr>
      </w:pPr>
      <w:r>
        <w:rPr>
          <w:rFonts w:ascii="Arial" w:cs="Arial" w:eastAsia="Arial" w:hAnsi="Arial"/>
          <w:sz w:val="16"/>
          <w:szCs w:val="16"/>
          <w:color w:val="auto"/>
        </w:rPr>
        <w:t>155</w:t>
      </w:r>
      <w:r>
        <w:rPr>
          <w:sz w:val="20"/>
          <w:szCs w:val="20"/>
          <w:color w:val="auto"/>
        </w:rPr>
        <w:tab/>
      </w:r>
      <w:r>
        <w:rPr>
          <w:rFonts w:ascii="Arial" w:cs="Arial" w:eastAsia="Arial" w:hAnsi="Arial"/>
          <w:sz w:val="16"/>
          <w:szCs w:val="16"/>
          <w:i w:val="1"/>
          <w:iCs w:val="1"/>
          <w:color w:val="auto"/>
        </w:rPr>
        <w:t>Revolving Credit Agreement</w:t>
      </w:r>
    </w:p>
    <w:sectPr>
      <w:pgSz w:w="11900" w:h="16838" w:orient="portrait"/>
      <w:cols w:equalWidth="0" w:num="1">
        <w:col w:w="10020"/>
      </w:cols>
      <w:pgMar w:left="1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5E286C"/>
    <w:multiLevelType w:val="hybridMultilevel"/>
    <w:lvl w:ilvl="0">
      <w:lvlJc w:val="left"/>
      <w:lvlText w:val="☐"/>
      <w:numFmt w:val="bullet"/>
      <w:start w:val="1"/>
    </w:lvl>
  </w:abstractNum>
  <w:abstractNum w:abstractNumId="1">
    <w:nsid w:val="7C58FD05"/>
    <w:multiLevelType w:val="hybridMultilevel"/>
    <w:lvl w:ilvl="0">
      <w:lvlJc w:val="left"/>
      <w:lvlText w:val="(%1)"/>
      <w:numFmt w:val="lowerRoman"/>
      <w:start w:val="10"/>
    </w:lvl>
  </w:abstractNum>
  <w:abstractNum w:abstractNumId="2">
    <w:nsid w:val="23D86AAC"/>
    <w:multiLevelType w:val="hybridMultilevel"/>
    <w:lvl w:ilvl="0">
      <w:lvlJc w:val="left"/>
      <w:lvlText w:val="(%1)"/>
      <w:numFmt w:val="decimal"/>
      <w:start w:val="1"/>
    </w:lvl>
  </w:abstractNum>
  <w:abstractNum w:abstractNumId="3">
    <w:nsid w:val="45E6D486"/>
    <w:multiLevelType w:val="hybridMultilevel"/>
    <w:lvl w:ilvl="0">
      <w:lvlJc w:val="left"/>
      <w:lvlText w:val="(%1)"/>
      <w:numFmt w:val="decimal"/>
      <w:start w:val="1"/>
    </w:lvl>
  </w:abstractNum>
  <w:abstractNum w:abstractNumId="4">
    <w:nsid w:val="5C10FE21"/>
    <w:multiLevelType w:val="hybridMultilevel"/>
    <w:lvl w:ilvl="0">
      <w:lvlJc w:val="left"/>
      <w:lvlText w:val="(%1)"/>
      <w:numFmt w:val="lowerLetter"/>
      <w:start w:val="2"/>
    </w:lvl>
  </w:abstractNum>
  <w:abstractNum w:abstractNumId="5">
    <w:nsid w:val="E7FFA2B"/>
    <w:multiLevelType w:val="hybridMultilevel"/>
    <w:lvl w:ilvl="0">
      <w:lvlJc w:val="left"/>
      <w:lvlText w:val="(%1)"/>
      <w:numFmt w:val="decimal"/>
      <w:start w:val="2"/>
    </w:lvl>
  </w:abstractNum>
  <w:abstractNum w:abstractNumId="6">
    <w:nsid w:val="3C5991AA"/>
    <w:multiLevelType w:val="hybridMultilevel"/>
    <w:lvl w:ilvl="0">
      <w:lvlJc w:val="left"/>
      <w:lvlText w:val="(%1)"/>
      <w:numFmt w:val="decimal"/>
      <w:start w:val="1"/>
    </w:lvl>
  </w:abstractNum>
  <w:abstractNum w:abstractNumId="7">
    <w:nsid w:val="4BD8591A"/>
    <w:multiLevelType w:val="hybridMultilevel"/>
    <w:lvl w:ilvl="0">
      <w:lvlJc w:val="left"/>
      <w:lvlText w:val="(%1)"/>
      <w:numFmt w:val="decimal"/>
      <w:start w:val="2"/>
    </w:lvl>
  </w:abstractNum>
  <w:abstractNum w:abstractNumId="8">
    <w:nsid w:val="78DF6A55"/>
    <w:multiLevelType w:val="hybridMultilevel"/>
    <w:lvl w:ilvl="0">
      <w:lvlJc w:val="left"/>
      <w:lvlText w:val="(%1)"/>
      <w:numFmt w:val="lowerLetter"/>
      <w:start w:val="1"/>
    </w:lvl>
  </w:abstractNum>
  <w:abstractNum w:abstractNumId="9">
    <w:nsid w:val="39B7AAA2"/>
    <w:multiLevelType w:val="hybridMultilevel"/>
    <w:lvl w:ilvl="0">
      <w:lvlJc w:val="left"/>
      <w:lvlText w:val="(%1)"/>
      <w:numFmt w:val="lowerLetter"/>
      <w:start w:val="7"/>
    </w:lvl>
  </w:abstractNum>
  <w:abstractNum w:abstractNumId="10">
    <w:nsid w:val="2B0D8DBE"/>
    <w:multiLevelType w:val="hybridMultilevel"/>
    <w:lvl w:ilvl="0">
      <w:lvlJc w:val="left"/>
      <w:lvlText w:val="(%1)"/>
      <w:numFmt w:val="lowerLetter"/>
      <w:start w:val="2"/>
    </w:lvl>
  </w:abstractNum>
  <w:abstractNum w:abstractNumId="11">
    <w:nsid w:val="6C80EC70"/>
    <w:multiLevelType w:val="hybridMultilevel"/>
    <w:lvl w:ilvl="0">
      <w:lvlJc w:val="left"/>
      <w:lvlText w:val="(%1)"/>
      <w:numFmt w:val="lowerLetter"/>
      <w:start w:val="2"/>
    </w:lvl>
  </w:abstractNum>
  <w:abstractNum w:abstractNumId="12">
    <w:nsid w:val="379E21B5"/>
    <w:multiLevelType w:val="hybridMultilevel"/>
    <w:lvl w:ilvl="0">
      <w:lvlJc w:val="left"/>
      <w:lvlText w:val="(%1)"/>
      <w:numFmt w:val="lowerLetter"/>
      <w:start w:val="26"/>
    </w:lvl>
  </w:abstractNum>
  <w:abstractNum w:abstractNumId="13">
    <w:nsid w:val="69E373"/>
    <w:multiLevelType w:val="hybridMultilevel"/>
    <w:lvl w:ilvl="0">
      <w:lvlJc w:val="left"/>
      <w:lvlText w:val="(%1)"/>
      <w:numFmt w:val="lowerLetter"/>
      <w:start w:val="25"/>
    </w:lvl>
  </w:abstractNum>
  <w:abstractNum w:abstractNumId="14">
    <w:nsid w:val="2C27173B"/>
    <w:multiLevelType w:val="hybridMultilevel"/>
    <w:lvl w:ilvl="0">
      <w:lvlJc w:val="left"/>
      <w:lvlText w:val="(%1)"/>
      <w:numFmt w:val="lowerLetter"/>
      <w:start w:val="1"/>
    </w:lvl>
  </w:abstractNum>
  <w:abstractNum w:abstractNumId="15">
    <w:nsid w:val="4C9B0904"/>
    <w:multiLevelType w:val="hybridMultilevel"/>
    <w:lvl w:ilvl="0">
      <w:lvlJc w:val="left"/>
      <w:lvlText w:val="(%1)"/>
      <w:numFmt w:val="lowerLetter"/>
      <w:start w:val="2"/>
    </w:lvl>
  </w:abstractNum>
  <w:abstractNum w:abstractNumId="16">
    <w:nsid w:val="6AA7B75C"/>
    <w:multiLevelType w:val="hybridMultilevel"/>
    <w:lvl w:ilvl="0">
      <w:lvlJc w:val="left"/>
      <w:lvlText w:val="(%1)"/>
      <w:numFmt w:val="lowerLetter"/>
      <w:start w:val="1"/>
    </w:lvl>
  </w:abstractNum>
  <w:abstractNum w:abstractNumId="17">
    <w:nsid w:val="1DF029D3"/>
    <w:multiLevelType w:val="hybridMultilevel"/>
    <w:lvl w:ilvl="0">
      <w:lvlJc w:val="left"/>
      <w:lvlText w:val="(%1)"/>
      <w:numFmt w:val="lowerLetter"/>
      <w:start w:val="2"/>
    </w:lvl>
  </w:abstractNum>
  <w:abstractNum w:abstractNumId="18">
    <w:nsid w:val="5675FF36"/>
    <w:multiLevelType w:val="hybridMultilevel"/>
    <w:lvl w:ilvl="0">
      <w:lvlJc w:val="left"/>
      <w:lvlText w:val="(%1)"/>
      <w:numFmt w:val="lowerLetter"/>
      <w:start w:val="1"/>
    </w:lvl>
  </w:abstractNum>
  <w:abstractNum w:abstractNumId="19">
    <w:nsid w:val="3DD15094"/>
    <w:multiLevelType w:val="hybridMultilevel"/>
    <w:lvl w:ilvl="0">
      <w:lvlJc w:val="left"/>
      <w:lvlText w:val="(%1)"/>
      <w:numFmt w:val="lowerLetter"/>
      <w:start w:val="2"/>
    </w:lvl>
  </w:abstractNum>
  <w:abstractNum w:abstractNumId="20">
    <w:nsid w:val="3DB012B3"/>
    <w:multiLevelType w:val="hybridMultilevel"/>
    <w:lvl w:ilvl="0">
      <w:lvlJc w:val="left"/>
      <w:lvlText w:val="(%1)"/>
      <w:numFmt w:val="lowerLetter"/>
      <w:start w:val="2"/>
    </w:lvl>
  </w:abstractNum>
  <w:abstractNum w:abstractNumId="21">
    <w:nsid w:val="2708C9AF"/>
    <w:multiLevelType w:val="hybridMultilevel"/>
    <w:lvl w:ilvl="0">
      <w:lvlJc w:val="left"/>
      <w:lvlText w:val="(%1)"/>
      <w:numFmt w:val="lowerLetter"/>
      <w:start w:val="8"/>
    </w:lvl>
  </w:abstractNum>
  <w:abstractNum w:abstractNumId="22">
    <w:nsid w:val="5B25ACE2"/>
    <w:multiLevelType w:val="hybridMultilevel"/>
    <w:lvl w:ilvl="0">
      <w:lvlJc w:val="left"/>
      <w:lvlText w:val="(%1)"/>
      <w:numFmt w:val="lowerLetter"/>
      <w:start w:val="25"/>
    </w:lvl>
  </w:abstractNum>
  <w:abstractNum w:abstractNumId="23">
    <w:nsid w:val="175DFCF0"/>
    <w:multiLevelType w:val="hybridMultilevel"/>
    <w:lvl w:ilvl="0">
      <w:lvlJc w:val="left"/>
      <w:lvlText w:val="(%1)"/>
      <w:numFmt w:val="lowerLetter"/>
      <w:start w:val="2"/>
    </w:lvl>
  </w:abstractNum>
  <w:abstractNum w:abstractNumId="24">
    <w:nsid w:val="4F97E3E4"/>
    <w:multiLevelType w:val="hybridMultilevel"/>
    <w:lvl w:ilvl="0">
      <w:lvlJc w:val="left"/>
      <w:lvlText w:val="(%1)"/>
      <w:numFmt w:val="lowerLetter"/>
      <w:start w:val="2"/>
    </w:lvl>
  </w:abstractNum>
  <w:abstractNum w:abstractNumId="25">
    <w:nsid w:val="53B0A9E"/>
    <w:multiLevelType w:val="hybridMultilevel"/>
    <w:lvl w:ilvl="0">
      <w:lvlJc w:val="left"/>
      <w:lvlText w:val="(%1)"/>
      <w:numFmt w:val="lowerLetter"/>
      <w:start w:val="9"/>
    </w:lvl>
  </w:abstractNum>
  <w:abstractNum w:abstractNumId="26">
    <w:nsid w:val="34FD6B4F"/>
    <w:multiLevelType w:val="hybridMultilevel"/>
    <w:lvl w:ilvl="0">
      <w:lvlJc w:val="left"/>
      <w:lvlText w:val="(%1)"/>
      <w:numFmt w:val="lowerLetter"/>
      <w:start w:val="1"/>
    </w:lvl>
  </w:abstractNum>
  <w:abstractNum w:abstractNumId="27">
    <w:nsid w:val="5915FF32"/>
    <w:multiLevelType w:val="hybridMultilevel"/>
    <w:lvl w:ilvl="0">
      <w:lvlJc w:val="left"/>
      <w:lvlText w:val="(%1)"/>
      <w:numFmt w:val="lowerRoman"/>
      <w:start w:val="3"/>
    </w:lvl>
  </w:abstractNum>
  <w:abstractNum w:abstractNumId="28">
    <w:nsid w:val="56438D15"/>
    <w:multiLevelType w:val="hybridMultilevel"/>
    <w:lvl w:ilvl="0">
      <w:lvlJc w:val="left"/>
      <w:lvlText w:val="(%1)"/>
      <w:numFmt w:val="lowerRoman"/>
      <w:start w:val="10"/>
    </w:lvl>
  </w:abstractNum>
  <w:abstractNum w:abstractNumId="29">
    <w:nsid w:val="519E3149"/>
    <w:multiLevelType w:val="hybridMultilevel"/>
    <w:lvl w:ilvl="0">
      <w:lvlJc w:val="left"/>
      <w:lvlText w:val="(%1)"/>
      <w:numFmt w:val="lowerLetter"/>
      <w:start w:val="1"/>
    </w:lvl>
  </w:abstractNum>
  <w:abstractNum w:abstractNumId="30">
    <w:nsid w:val="2C6E4AFD"/>
    <w:multiLevelType w:val="hybridMultilevel"/>
    <w:lvl w:ilvl="0">
      <w:lvlJc w:val="left"/>
      <w:lvlText w:val="(%1)"/>
      <w:numFmt w:val="lowerLetter"/>
      <w:start w:val="4"/>
    </w:lvl>
  </w:abstractNum>
  <w:abstractNum w:abstractNumId="31">
    <w:nsid w:val="17A1B582"/>
    <w:multiLevelType w:val="hybridMultilevel"/>
    <w:lvl w:ilvl="0">
      <w:lvlJc w:val="left"/>
      <w:lvlText w:val="(%1)"/>
      <w:numFmt w:val="lowerLetter"/>
      <w:start w:val="1"/>
    </w:lvl>
    <w:lvl w:ilvl="1">
      <w:lvlJc w:val="left"/>
      <w:lvlText w:val="(%2)"/>
      <w:numFmt w:val="lowerLetter"/>
      <w:start w:val="1"/>
    </w:lvl>
  </w:abstractNum>
  <w:abstractNum w:abstractNumId="32">
    <w:nsid w:val="4DF72E4E"/>
    <w:multiLevelType w:val="hybridMultilevel"/>
    <w:lvl w:ilvl="0">
      <w:lvlJc w:val="left"/>
      <w:lvlText w:val="(%1)"/>
      <w:numFmt w:val="lowerLetter"/>
      <w:start w:val="4"/>
    </w:lvl>
  </w:abstractNum>
  <w:abstractNum w:abstractNumId="33">
    <w:nsid w:val="5046B5A9"/>
    <w:multiLevelType w:val="hybridMultilevel"/>
    <w:lvl w:ilvl="0">
      <w:lvlJc w:val="left"/>
      <w:lvlText w:val="(%1)"/>
      <w:numFmt w:val="lowerLetter"/>
      <w:start w:val="1"/>
    </w:lvl>
  </w:abstractNum>
  <w:abstractNum w:abstractNumId="34">
    <w:nsid w:val="5D888A08"/>
    <w:multiLevelType w:val="hybridMultilevel"/>
    <w:lvl w:ilvl="0">
      <w:lvlJc w:val="left"/>
      <w:lvlText w:val="(%1)"/>
      <w:numFmt w:val="lowerLetter"/>
      <w:start w:val="2"/>
    </w:lvl>
  </w:abstractNum>
  <w:abstractNum w:abstractNumId="35">
    <w:nsid w:val="2A082C70"/>
    <w:multiLevelType w:val="hybridMultilevel"/>
    <w:lvl w:ilvl="0">
      <w:lvlJc w:val="left"/>
      <w:lvlText w:val="(%1)"/>
      <w:numFmt w:val="lowerRoman"/>
      <w:start w:val="2"/>
    </w:lvl>
  </w:abstractNum>
  <w:abstractNum w:abstractNumId="36">
    <w:nsid w:val="5EC6AFD4"/>
    <w:multiLevelType w:val="hybridMultilevel"/>
    <w:lvl w:ilvl="0">
      <w:lvlJc w:val="left"/>
      <w:lvlText w:val="(%1)"/>
      <w:numFmt w:val="lowerLetter"/>
      <w:start w:val="1"/>
    </w:lvl>
  </w:abstractNum>
  <w:abstractNum w:abstractNumId="37">
    <w:nsid w:val="19E21BB2"/>
    <w:multiLevelType w:val="hybridMultilevel"/>
    <w:lvl w:ilvl="0">
      <w:lvlJc w:val="left"/>
      <w:lvlText w:val="(%1)"/>
      <w:numFmt w:val="lowerLetter"/>
      <w:start w:val="25"/>
    </w:lvl>
  </w:abstractNum>
  <w:abstractNum w:abstractNumId="38">
    <w:nsid w:val="75E0858A"/>
    <w:multiLevelType w:val="hybridMultilevel"/>
    <w:lvl w:ilvl="0">
      <w:lvlJc w:val="left"/>
      <w:lvlText w:val="%1"/>
      <w:numFmt w:val="lowerLetter"/>
      <w:start w:val="1"/>
    </w:lvl>
    <w:lvl w:ilvl="1">
      <w:lvlJc w:val="left"/>
      <w:lvlText w:val="(%2)"/>
      <w:numFmt w:val="lowerLetter"/>
      <w:start w:val="1"/>
    </w:lvl>
  </w:abstractNum>
  <w:abstractNum w:abstractNumId="39">
    <w:nsid w:val="57A61A29"/>
    <w:multiLevelType w:val="hybridMultilevel"/>
    <w:lvl w:ilvl="0">
      <w:lvlJc w:val="left"/>
      <w:lvlText w:val="(%1)"/>
      <w:numFmt w:val="lowerLetter"/>
      <w:start w:val="9"/>
    </w:lvl>
    <w:lvl w:ilvl="1">
      <w:lvlJc w:val="left"/>
      <w:lvlText w:val="(%2)"/>
      <w:numFmt w:val="lowerLetter"/>
      <w:start w:val="2"/>
    </w:lvl>
  </w:abstractNum>
  <w:abstractNum w:abstractNumId="40">
    <w:nsid w:val="5399C654"/>
    <w:multiLevelType w:val="hybridMultilevel"/>
    <w:lvl w:ilvl="0">
      <w:lvlJc w:val="left"/>
      <w:lvlText w:val="(%1)"/>
      <w:numFmt w:val="lowerLetter"/>
      <w:start w:val="1"/>
    </w:lvl>
  </w:abstractNum>
  <w:abstractNum w:abstractNumId="41">
    <w:nsid w:val="20EE1348"/>
    <w:multiLevelType w:val="hybridMultilevel"/>
    <w:lvl w:ilvl="0">
      <w:lvlJc w:val="left"/>
      <w:lvlText w:val="(%1)"/>
      <w:numFmt w:val="lowerLetter"/>
      <w:start w:val="1"/>
    </w:lvl>
  </w:abstractNum>
  <w:abstractNum w:abstractNumId="42">
    <w:nsid w:val="4427069A"/>
    <w:multiLevelType w:val="hybridMultilevel"/>
    <w:lvl w:ilvl="0">
      <w:lvlJc w:val="left"/>
      <w:lvlText w:val="(%1)"/>
      <w:numFmt w:val="lowerLetter"/>
      <w:start w:val="3"/>
    </w:lvl>
  </w:abstractNum>
  <w:abstractNum w:abstractNumId="43">
    <w:nsid w:val="B37E80A"/>
    <w:multiLevelType w:val="hybridMultilevel"/>
    <w:lvl w:ilvl="0">
      <w:lvlJc w:val="left"/>
      <w:lvlText w:val="(%1)"/>
      <w:numFmt w:val="lowerLetter"/>
      <w:start w:val="1"/>
    </w:lvl>
    <w:lvl w:ilvl="1">
      <w:lvlJc w:val="left"/>
      <w:lvlText w:val="(%2)"/>
      <w:numFmt w:val="lowerRoman"/>
      <w:start w:val="1"/>
    </w:lvl>
  </w:abstractNum>
  <w:abstractNum w:abstractNumId="44">
    <w:nsid w:val="2157F6BC"/>
    <w:multiLevelType w:val="hybridMultilevel"/>
    <w:lvl w:ilvl="0">
      <w:lvlJc w:val="left"/>
      <w:lvlText w:val="%1"/>
      <w:numFmt w:val="lowerLetter"/>
      <w:start w:val="1"/>
    </w:lvl>
    <w:lvl w:ilvl="1">
      <w:lvlJc w:val="left"/>
      <w:lvlText w:val="(%2)"/>
      <w:numFmt w:val="lowerRoman"/>
      <w:start w:val="4"/>
    </w:lvl>
  </w:abstractNum>
  <w:abstractNum w:abstractNumId="45">
    <w:nsid w:val="704E1DD5"/>
    <w:multiLevelType w:val="hybridMultilevel"/>
    <w:lvl w:ilvl="0">
      <w:lvlJc w:val="left"/>
      <w:lvlText w:val="(%1)"/>
      <w:numFmt w:val="lowerLetter"/>
      <w:start w:val="3"/>
    </w:lvl>
    <w:lvl w:ilvl="1">
      <w:lvlJc w:val="left"/>
      <w:lvlText w:val="%2"/>
      <w:numFmt w:val="lowerRoman"/>
      <w:start w:val="1"/>
    </w:lvl>
  </w:abstractNum>
  <w:abstractNum w:abstractNumId="46">
    <w:nsid w:val="57D2F10E"/>
    <w:multiLevelType w:val="hybridMultilevel"/>
    <w:lvl w:ilvl="0">
      <w:lvlJc w:val="left"/>
      <w:lvlText w:val="(%1)"/>
      <w:numFmt w:val="lowerLetter"/>
      <w:start w:val="1"/>
    </w:lvl>
  </w:abstractNum>
  <w:abstractNum w:abstractNumId="47">
    <w:nsid w:val="BFFAE18"/>
    <w:multiLevelType w:val="hybridMultilevel"/>
    <w:lvl w:ilvl="0">
      <w:lvlJc w:val="left"/>
      <w:lvlText w:val="(%1)"/>
      <w:numFmt w:val="lowerLetter"/>
      <w:start w:val="2"/>
    </w:lvl>
  </w:abstractNum>
  <w:abstractNum w:abstractNumId="48">
    <w:nsid w:val="E3E47A8"/>
    <w:multiLevelType w:val="hybridMultilevel"/>
    <w:lvl w:ilvl="0">
      <w:lvlJc w:val="left"/>
      <w:lvlText w:val="%1"/>
      <w:numFmt w:val="lowerLetter"/>
      <w:start w:val="1"/>
    </w:lvl>
    <w:lvl w:ilvl="1">
      <w:lvlJc w:val="left"/>
      <w:lvlText w:val="(%2)"/>
      <w:numFmt w:val="lowerLetter"/>
      <w:start w:val="4"/>
    </w:lvl>
  </w:abstractNum>
  <w:abstractNum w:abstractNumId="49">
    <w:nsid w:val="2E48F044"/>
    <w:multiLevelType w:val="hybridMultilevel"/>
    <w:lvl w:ilvl="0">
      <w:lvlJc w:val="left"/>
      <w:lvlText w:val="(%1)"/>
      <w:numFmt w:val="lowerLetter"/>
      <w:start w:val="5"/>
    </w:lvl>
    <w:lvl w:ilvl="1">
      <w:lvlJc w:val="left"/>
      <w:lvlText w:val="%2"/>
      <w:numFmt w:val="lowerLetter"/>
      <w:start w:val="1"/>
    </w:lvl>
  </w:abstractNum>
  <w:abstractNum w:abstractNumId="50">
    <w:nsid w:val="49D0FEAC"/>
    <w:multiLevelType w:val="hybridMultilevel"/>
    <w:lvl w:ilvl="0">
      <w:lvlJc w:val="left"/>
      <w:lvlText w:val="(%1)"/>
      <w:numFmt w:val="lowerLetter"/>
      <w:start w:val="1"/>
    </w:lvl>
  </w:abstractNum>
  <w:abstractNum w:abstractNumId="51">
    <w:nsid w:val="4BEE5A5B"/>
    <w:multiLevelType w:val="hybridMultilevel"/>
    <w:lvl w:ilvl="0">
      <w:lvlJc w:val="left"/>
      <w:lvlText w:val="(%1)"/>
      <w:numFmt w:val="lowerLetter"/>
      <w:start w:val="61"/>
    </w:lvl>
    <w:lvl w:ilvl="1">
      <w:lvlJc w:val="left"/>
      <w:lvlText w:val="%2"/>
      <w:numFmt w:val="lowerLetter"/>
      <w:start w:val="1"/>
    </w:lvl>
  </w:abstractNum>
  <w:abstractNum w:abstractNumId="52">
    <w:nsid w:val="5551B9F3"/>
    <w:multiLevelType w:val="hybridMultilevel"/>
    <w:lvl w:ilvl="0">
      <w:lvlJc w:val="left"/>
      <w:lvlText w:val="(%1)"/>
      <w:numFmt w:val="lowerLetter"/>
      <w:start w:val="22"/>
    </w:lvl>
    <w:lvl w:ilvl="1">
      <w:lvlJc w:val="left"/>
      <w:lvlText w:val="(%2)"/>
      <w:numFmt w:val="lowerLetter"/>
      <w:start w:val="4"/>
    </w:lvl>
  </w:abstractNum>
  <w:abstractNum w:abstractNumId="53">
    <w:nsid w:val="24F6AB8E"/>
    <w:multiLevelType w:val="hybridMultilevel"/>
    <w:lvl w:ilvl="0">
      <w:lvlJc w:val="left"/>
      <w:lvlText w:val="(%1)"/>
      <w:numFmt w:val="lowerLetter"/>
      <w:start w:val="6"/>
    </w:lvl>
  </w:abstractNum>
  <w:abstractNum w:abstractNumId="54">
    <w:nsid w:val="634C574C"/>
    <w:multiLevelType w:val="hybridMultilevel"/>
    <w:lvl w:ilvl="0">
      <w:lvlJc w:val="left"/>
      <w:lvlText w:val="(%1)"/>
      <w:numFmt w:val="lowerLetter"/>
      <w:start w:val="7"/>
    </w:lvl>
  </w:abstractNum>
  <w:abstractNum w:abstractNumId="55">
    <w:nsid w:val="24E99DD7"/>
    <w:multiLevelType w:val="hybridMultilevel"/>
    <w:lvl w:ilvl="0">
      <w:lvlJc w:val="left"/>
      <w:lvlText w:val="%1"/>
      <w:numFmt w:val="lowerLetter"/>
      <w:start w:val="1"/>
    </w:lvl>
    <w:lvl w:ilvl="1">
      <w:lvlJc w:val="left"/>
      <w:lvlText w:val="(%2)"/>
      <w:numFmt w:val="lowerRoman"/>
      <w:start w:val="1"/>
    </w:lvl>
  </w:abstractNum>
  <w:abstractNum w:abstractNumId="56">
    <w:nsid w:val="2A31B62D"/>
    <w:multiLevelType w:val="hybridMultilevel"/>
    <w:lvl w:ilvl="0">
      <w:lvlJc w:val="left"/>
      <w:lvlText w:val="(%1)"/>
      <w:numFmt w:val="lowerLetter"/>
      <w:start w:val="8"/>
    </w:lvl>
    <w:lvl w:ilvl="1">
      <w:lvlJc w:val="left"/>
      <w:lvlText w:val="%2"/>
      <w:numFmt w:val="lowerRoman"/>
      <w:start w:val="1"/>
    </w:lvl>
  </w:abstractNum>
  <w:abstractNum w:abstractNumId="57">
    <w:nsid w:val="1849C29B"/>
    <w:multiLevelType w:val="hybridMultilevel"/>
    <w:lvl w:ilvl="0">
      <w:lvlJc w:val="left"/>
      <w:lvlText w:val="(%1)"/>
      <w:numFmt w:val="lowerLetter"/>
      <w:start w:val="9"/>
    </w:lvl>
  </w:abstractNum>
  <w:abstractNum w:abstractNumId="58">
    <w:nsid w:val="7DFF9D09"/>
    <w:multiLevelType w:val="hybridMultilevel"/>
    <w:lvl w:ilvl="0">
      <w:lvlJc w:val="left"/>
      <w:lvlText w:val="(%1)"/>
      <w:numFmt w:val="lowerLetter"/>
      <w:start w:val="12"/>
    </w:lvl>
  </w:abstractNum>
  <w:abstractNum w:abstractNumId="59">
    <w:nsid w:val="754342"/>
    <w:multiLevelType w:val="hybridMultilevel"/>
    <w:lvl w:ilvl="0">
      <w:lvlJc w:val="left"/>
      <w:lvlText w:val="(%1)"/>
      <w:numFmt w:val="lowerLetter"/>
      <w:start w:val="1"/>
    </w:lvl>
  </w:abstractNum>
  <w:abstractNum w:abstractNumId="60">
    <w:nsid w:val="69E7F3E5"/>
    <w:multiLevelType w:val="hybridMultilevel"/>
    <w:lvl w:ilvl="0">
      <w:lvlJc w:val="left"/>
      <w:lvlText w:val="(%1)"/>
      <w:numFmt w:val="lowerLetter"/>
      <w:start w:val="1"/>
    </w:lvl>
    <w:lvl w:ilvl="1">
      <w:lvlJc w:val="left"/>
      <w:lvlText w:val="(%2)"/>
      <w:numFmt w:val="lowerRoman"/>
      <w:start w:val="1"/>
    </w:lvl>
  </w:abstractNum>
  <w:abstractNum w:abstractNumId="61">
    <w:nsid w:val="2A6DE80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62">
    <w:nsid w:val="1816F8C4"/>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63">
    <w:nsid w:val="37DF223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4">
    <w:nsid w:val="7AB49DAF"/>
    <w:multiLevelType w:val="hybridMultilevel"/>
    <w:lvl w:ilvl="0">
      <w:lvlJc w:val="left"/>
      <w:lvlText w:val="(%1)"/>
      <w:numFmt w:val="lowerLetter"/>
      <w:start w:val="1"/>
    </w:lvl>
  </w:abstractNum>
  <w:abstractNum w:abstractNumId="65">
    <w:nsid w:val="759F82CD"/>
    <w:multiLevelType w:val="hybridMultilevel"/>
    <w:lvl w:ilvl="0">
      <w:lvlJc w:val="left"/>
      <w:lvlText w:val="(%1)"/>
      <w:numFmt w:val="lowerLetter"/>
      <w:start w:val="3"/>
    </w:lvl>
  </w:abstractNum>
  <w:abstractNum w:abstractNumId="66">
    <w:nsid w:val="61E74EA3"/>
    <w:multiLevelType w:val="hybridMultilevel"/>
    <w:lvl w:ilvl="0">
      <w:lvlJc w:val="left"/>
      <w:lvlText w:val="(%1)"/>
      <w:numFmt w:val="upperLetter"/>
      <w:start w:val="2"/>
    </w:lvl>
  </w:abstractNum>
  <w:abstractNum w:abstractNumId="67">
    <w:nsid w:val="597B4D84"/>
    <w:multiLevelType w:val="hybridMultilevel"/>
    <w:lvl w:ilvl="0">
      <w:lvlJc w:val="left"/>
      <w:lvlText w:val="(%1)"/>
      <w:numFmt w:val="lowerLetter"/>
      <w:start w:val="35"/>
    </w:lvl>
    <w:lvl w:ilvl="1">
      <w:lvlJc w:val="left"/>
      <w:lvlText w:val="(%2)"/>
      <w:numFmt w:val="lowerLetter"/>
      <w:start w:val="24"/>
    </w:lvl>
  </w:abstractNum>
  <w:abstractNum w:abstractNumId="68">
    <w:nsid w:val="F819E7F"/>
    <w:multiLevelType w:val="hybridMultilevel"/>
    <w:lvl w:ilvl="0">
      <w:lvlJc w:val="left"/>
      <w:lvlText w:val="%1"/>
      <w:numFmt w:val="lowerLetter"/>
      <w:start w:val="1"/>
    </w:lvl>
    <w:lvl w:ilvl="1">
      <w:lvlJc w:val="left"/>
      <w:lvlText w:val="(%2)"/>
      <w:numFmt w:val="lowerRoman"/>
      <w:start w:val="3"/>
    </w:lvl>
  </w:abstractNum>
  <w:abstractNum w:abstractNumId="69">
    <w:nsid w:val="57C7D42D"/>
    <w:multiLevelType w:val="hybridMultilevel"/>
    <w:lvl w:ilvl="0">
      <w:lvlJc w:val="left"/>
      <w:lvlText w:val="(%1)"/>
      <w:numFmt w:val="lowerLetter"/>
      <w:start w:val="25"/>
    </w:lvl>
    <w:lvl w:ilvl="1">
      <w:lvlJc w:val="left"/>
      <w:lvlText w:val="%2"/>
      <w:numFmt w:val="lowerRoman"/>
      <w:start w:val="1"/>
    </w:lvl>
  </w:abstractNum>
  <w:abstractNum w:abstractNumId="70">
    <w:nsid w:val="312167AD"/>
    <w:multiLevelType w:val="hybridMultilevel"/>
    <w:lvl w:ilvl="0">
      <w:lvlJc w:val="left"/>
      <w:lvlText w:val="(%1)"/>
      <w:numFmt w:val="lowerLetter"/>
      <w:start w:val="1"/>
    </w:lvl>
    <w:lvl w:ilvl="1">
      <w:lvlJc w:val="left"/>
      <w:lvlText w:val="(%2)"/>
      <w:numFmt w:val="lowerRoman"/>
      <w:start w:val="1"/>
    </w:lvl>
  </w:abstractNum>
  <w:abstractNum w:abstractNumId="71">
    <w:nsid w:val="631B64D4"/>
    <w:multiLevelType w:val="hybridMultilevel"/>
    <w:lvl w:ilvl="0">
      <w:lvlJc w:val="left"/>
      <w:lvlText w:val="(%1)"/>
      <w:numFmt w:val="lowerLetter"/>
      <w:start w:val="2"/>
    </w:lvl>
  </w:abstractNum>
  <w:abstractNum w:abstractNumId="72">
    <w:nsid w:val="78B5E776"/>
    <w:multiLevelType w:val="hybridMultilevel"/>
    <w:lvl w:ilvl="0">
      <w:lvlJc w:val="left"/>
      <w:lvlText w:val="(%1)"/>
      <w:numFmt w:val="lowerLetter"/>
      <w:start w:val="3"/>
    </w:lvl>
  </w:abstractNum>
  <w:abstractNum w:abstractNumId="73">
    <w:nsid w:val="75486E47"/>
    <w:multiLevelType w:val="hybridMultilevel"/>
    <w:lvl w:ilvl="0">
      <w:lvlJc w:val="left"/>
      <w:lvlText w:val="(%1)"/>
      <w:numFmt w:val="lowerLetter"/>
      <w:start w:val="1"/>
    </w:lvl>
    <w:lvl w:ilvl="1">
      <w:lvlJc w:val="left"/>
      <w:lvlText w:val="(%2)"/>
      <w:numFmt w:val="lowerLetter"/>
      <w:start w:val="9"/>
    </w:lvl>
  </w:abstractNum>
  <w:abstractNum w:abstractNumId="74">
    <w:nsid w:val="6E534CDE"/>
    <w:multiLevelType w:val="hybridMultilevel"/>
    <w:lvl w:ilvl="0">
      <w:lvlJc w:val="left"/>
      <w:lvlText w:val="(%1)"/>
      <w:numFmt w:val="lowerRoman"/>
      <w:start w:val="2"/>
    </w:lvl>
  </w:abstractNum>
  <w:abstractNum w:abstractNumId="75">
    <w:nsid w:val="1A0DDE32"/>
    <w:multiLevelType w:val="hybridMultilevel"/>
    <w:lvl w:ilvl="0">
      <w:lvlJc w:val="left"/>
      <w:lvlText w:val="(%1)"/>
      <w:numFmt w:val="lowerLetter"/>
      <w:start w:val="3"/>
    </w:lvl>
  </w:abstractNum>
  <w:abstractNum w:abstractNumId="76">
    <w:nsid w:val="65968C1C"/>
    <w:multiLevelType w:val="hybridMultilevel"/>
    <w:lvl w:ilvl="0">
      <w:lvlJc w:val="left"/>
      <w:lvlText w:val="(%1)"/>
      <w:numFmt w:val="lowerLetter"/>
      <w:start w:val="4"/>
    </w:lvl>
    <w:lvl w:ilvl="1">
      <w:lvlJc w:val="left"/>
      <w:lvlText w:val="(%2)"/>
      <w:numFmt w:val="lowerRoman"/>
      <w:start w:val="1"/>
    </w:lvl>
  </w:abstractNum>
  <w:abstractNum w:abstractNumId="77">
    <w:nsid w:val="46263DEC"/>
    <w:multiLevelType w:val="hybridMultilevel"/>
    <w:lvl w:ilvl="0">
      <w:lvlJc w:val="left"/>
      <w:lvlText w:val="%1"/>
      <w:numFmt w:val="decimal"/>
      <w:start w:val="1"/>
    </w:lvl>
    <w:lvl w:ilvl="1">
      <w:lvlJc w:val="left"/>
      <w:lvlText w:val="(%2)"/>
      <w:numFmt w:val="lowerLetter"/>
      <w:start w:val="5"/>
    </w:lvl>
  </w:abstractNum>
  <w:abstractNum w:abstractNumId="78">
    <w:nsid w:val="260D8C4A"/>
    <w:multiLevelType w:val="hybridMultilevel"/>
    <w:lvl w:ilvl="0">
      <w:lvlJc w:val="left"/>
      <w:lvlText w:val="(%1)"/>
      <w:numFmt w:val="decimal"/>
      <w:start w:val="4"/>
    </w:lvl>
    <w:lvl w:ilvl="1">
      <w:lvlJc w:val="left"/>
      <w:lvlText w:val="%2"/>
      <w:numFmt w:val="lowerLetter"/>
      <w:start w:val="1"/>
    </w:lvl>
  </w:abstractNum>
  <w:abstractNum w:abstractNumId="79">
    <w:nsid w:val="73D4D3C4"/>
    <w:multiLevelType w:val="hybridMultilevel"/>
    <w:lvl w:ilvl="0">
      <w:lvlJc w:val="left"/>
      <w:lvlText w:val="(%1)"/>
      <w:numFmt w:val="lowerLetter"/>
      <w:start w:val="1"/>
    </w:lvl>
  </w:abstractNum>
  <w:abstractNum w:abstractNumId="80">
    <w:nsid w:val="746F2E30"/>
    <w:multiLevelType w:val="hybridMultilevel"/>
    <w:lvl w:ilvl="0">
      <w:lvlJc w:val="left"/>
      <w:lvlText w:val="(%1)"/>
      <w:numFmt w:val="lowerLetter"/>
      <w:start w:val="3"/>
    </w:lvl>
  </w:abstractNum>
  <w:abstractNum w:abstractNumId="81">
    <w:nsid w:val="6FDE8AF6"/>
    <w:multiLevelType w:val="hybridMultilevel"/>
    <w:lvl w:ilvl="0">
      <w:lvlJc w:val="left"/>
      <w:lvlText w:val="%1"/>
      <w:numFmt w:val="lowerLetter"/>
      <w:start w:val="1"/>
    </w:lvl>
    <w:lvl w:ilvl="1">
      <w:lvlJc w:val="left"/>
      <w:lvlText w:val="(%2)"/>
      <w:numFmt w:val="lowerLetter"/>
      <w:start w:val="1"/>
    </w:lvl>
  </w:abstractNum>
  <w:abstractNum w:abstractNumId="82">
    <w:nsid w:val="3FC32E20"/>
    <w:multiLevelType w:val="hybridMultilevel"/>
    <w:lvl w:ilvl="0">
      <w:lvlJc w:val="left"/>
      <w:lvlText w:val="(%1)"/>
      <w:numFmt w:val="lowerLetter"/>
      <w:start w:val="61"/>
    </w:lvl>
    <w:lvl w:ilvl="1">
      <w:lvlJc w:val="left"/>
      <w:lvlText w:val="(%2)"/>
      <w:numFmt w:val="lowerLetter"/>
      <w:start w:val="5"/>
    </w:lvl>
  </w:abstractNum>
  <w:abstractNum w:abstractNumId="83">
    <w:nsid w:val="49C0E823"/>
    <w:multiLevelType w:val="hybridMultilevel"/>
    <w:lvl w:ilvl="0">
      <w:lvlJc w:val="left"/>
      <w:lvlText w:val="(%1)"/>
      <w:numFmt w:val="lowerLetter"/>
      <w:start w:val="6"/>
    </w:lvl>
  </w:abstractNum>
  <w:abstractNum w:abstractNumId="84">
    <w:nsid w:val="14D53685"/>
    <w:multiLevelType w:val="hybridMultilevel"/>
    <w:lvl w:ilvl="0">
      <w:lvlJc w:val="left"/>
      <w:lvlText w:val="(%1)"/>
      <w:numFmt w:val="lowerLetter"/>
      <w:start w:val="1"/>
    </w:lvl>
  </w:abstractNum>
  <w:abstractNum w:abstractNumId="85">
    <w:nsid w:val="230F856C"/>
    <w:multiLevelType w:val="hybridMultilevel"/>
    <w:lvl w:ilvl="0">
      <w:lvlJc w:val="left"/>
      <w:lvlText w:val="(%1)"/>
      <w:numFmt w:val="upperLetter"/>
      <w:start w:val="2"/>
    </w:lvl>
  </w:abstractNum>
  <w:abstractNum w:abstractNumId="86">
    <w:nsid w:val="6EAA85FB"/>
    <w:multiLevelType w:val="hybridMultilevel"/>
    <w:lvl w:ilvl="0">
      <w:lvlJc w:val="left"/>
      <w:lvlText w:val="(%1)"/>
      <w:numFmt w:val="lowerLetter"/>
      <w:start w:val="1"/>
    </w:lvl>
    <w:lvl w:ilvl="1">
      <w:lvlJc w:val="left"/>
      <w:lvlText w:val="(%2)"/>
      <w:numFmt w:val="lowerRoman"/>
      <w:start w:val="1"/>
    </w:lvl>
  </w:abstractNum>
  <w:abstractNum w:abstractNumId="87">
    <w:nsid w:val="3F06ECB2"/>
    <w:multiLevelType w:val="hybridMultilevel"/>
    <w:lvl w:ilvl="0">
      <w:lvlJc w:val="left"/>
      <w:lvlText w:val="(%1)"/>
      <w:numFmt w:val="lowerLetter"/>
      <w:start w:val="2"/>
    </w:lvl>
  </w:abstractNum>
  <w:abstractNum w:abstractNumId="88">
    <w:nsid w:val="3B594807"/>
    <w:multiLevelType w:val="hybridMultilevel"/>
    <w:lvl w:ilvl="0">
      <w:lvlJc w:val="left"/>
      <w:lvlText w:val="%1"/>
      <w:numFmt w:val="lowerLetter"/>
      <w:start w:val="1"/>
    </w:lvl>
    <w:lvl w:ilvl="1">
      <w:lvlJc w:val="left"/>
      <w:lvlText w:val="(%2)"/>
      <w:numFmt w:val="lowerLetter"/>
      <w:start w:val="3"/>
    </w:lvl>
  </w:abstractNum>
  <w:abstractNum w:abstractNumId="89">
    <w:nsid w:val="6CAA2304"/>
    <w:multiLevelType w:val="hybridMultilevel"/>
    <w:lvl w:ilvl="0">
      <w:lvlJc w:val="left"/>
      <w:lvlText w:val="(%1)"/>
      <w:numFmt w:val="lowerLetter"/>
      <w:start w:val="26"/>
    </w:lvl>
    <w:lvl w:ilvl="1">
      <w:lvlJc w:val="left"/>
      <w:lvlText w:val="(%2)"/>
      <w:numFmt w:val="lowerLetter"/>
      <w:start w:val="4"/>
    </w:lvl>
  </w:abstractNum>
  <w:abstractNum w:abstractNumId="90">
    <w:nsid w:val="3F7C2FF4"/>
    <w:multiLevelType w:val="hybridMultilevel"/>
    <w:lvl w:ilvl="0">
      <w:lvlJc w:val="left"/>
      <w:lvlText w:val="(%1)"/>
      <w:numFmt w:val="lowerLetter"/>
      <w:start w:val="1"/>
    </w:lvl>
  </w:abstractNum>
  <w:abstractNum w:abstractNumId="91">
    <w:nsid w:val="25413BEC"/>
    <w:multiLevelType w:val="hybridMultilevel"/>
    <w:lvl w:ilvl="0">
      <w:lvlJc w:val="left"/>
      <w:lvlText w:val="(%1)"/>
      <w:numFmt w:val="lowerLetter"/>
      <w:start w:val="2"/>
    </w:lvl>
  </w:abstractNum>
  <w:abstractNum w:abstractNumId="92">
    <w:nsid w:val="17180B0B"/>
    <w:multiLevelType w:val="hybridMultilevel"/>
    <w:lvl w:ilvl="0">
      <w:lvlJc w:val="left"/>
      <w:lvlText w:val="(%1)"/>
      <w:numFmt w:val="lowerLetter"/>
      <w:start w:val="1"/>
    </w:lvl>
  </w:abstractNum>
  <w:abstractNum w:abstractNumId="93">
    <w:nsid w:val="579328B9"/>
    <w:multiLevelType w:val="hybridMultilevel"/>
    <w:lvl w:ilvl="0">
      <w:lvlJc w:val="left"/>
      <w:lvlText w:val="(%1)"/>
      <w:numFmt w:val="lowerLetter"/>
      <w:start w:val="4"/>
    </w:lvl>
    <w:lvl w:ilvl="1">
      <w:lvlJc w:val="left"/>
      <w:lvlText w:val="(%2)"/>
      <w:numFmt w:val="lowerRoman"/>
      <w:start w:val="2"/>
    </w:lvl>
    <w:lvl w:ilvl="2">
      <w:lvlJc w:val="left"/>
      <w:lvlText w:val="(%3)"/>
      <w:numFmt w:val="upperLetter"/>
      <w:start w:val="1"/>
    </w:lvl>
  </w:abstractNum>
  <w:abstractNum w:abstractNumId="94">
    <w:nsid w:val="5D205E2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95">
    <w:nsid w:val="11CCA8B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3"/>
    </w:lvl>
    <w:lvl w:ilvl="3">
      <w:lvlJc w:val="left"/>
      <w:lvlText w:val="%4"/>
      <w:numFmt w:val="upperLetter"/>
      <w:start w:val="1"/>
    </w:lvl>
  </w:abstractNum>
  <w:abstractNum w:abstractNumId="96">
    <w:nsid w:val="4D32AB86"/>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lvl w:ilvl="3">
      <w:lvlJc w:val="left"/>
      <w:lvlText w:val="%4"/>
      <w:numFmt w:val="upperLetter"/>
      <w:start w:val="1"/>
    </w:lvl>
  </w:abstractNum>
  <w:abstractNum w:abstractNumId="97">
    <w:nsid w:val="3F07ACC3"/>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98">
    <w:nsid w:val="6B47F63E"/>
    <w:multiLevelType w:val="hybridMultilevel"/>
    <w:lvl w:ilvl="0">
      <w:lvlJc w:val="left"/>
      <w:lvlText w:val="(%1)"/>
      <w:numFmt w:val="lowerLetter"/>
      <w:start w:val="8"/>
    </w:lvl>
  </w:abstractNum>
  <w:abstractNum w:abstractNumId="99">
    <w:nsid w:val="5CB44A05"/>
    <w:multiLevelType w:val="hybridMultilevel"/>
    <w:lvl w:ilvl="0">
      <w:lvlJc w:val="left"/>
      <w:lvlText w:val="(%1)"/>
      <w:numFmt w:val="lowerLetter"/>
      <w:start w:val="1"/>
    </w:lvl>
  </w:abstractNum>
  <w:abstractNum w:abstractNumId="100">
    <w:nsid w:val="16CF80F1"/>
    <w:multiLevelType w:val="hybridMultilevel"/>
    <w:lvl w:ilvl="0">
      <w:lvlJc w:val="left"/>
      <w:lvlText w:val="(%1)"/>
      <w:numFmt w:val="lowerLetter"/>
      <w:start w:val="2"/>
    </w:lvl>
  </w:abstractNum>
  <w:abstractNum w:abstractNumId="101">
    <w:nsid w:val="1C695DEC"/>
    <w:multiLevelType w:val="hybridMultilevel"/>
    <w:lvl w:ilvl="0">
      <w:lvlJc w:val="left"/>
      <w:lvlText w:val="(%1)"/>
      <w:numFmt w:val="lowerLetter"/>
      <w:start w:val="4"/>
    </w:lvl>
  </w:abstractNum>
  <w:abstractNum w:abstractNumId="102">
    <w:nsid w:val="3FCFAED9"/>
    <w:multiLevelType w:val="hybridMultilevel"/>
    <w:lvl w:ilvl="0">
      <w:lvlJc w:val="left"/>
      <w:lvlText w:val="(%1)"/>
      <w:numFmt w:val="lowerLetter"/>
      <w:start w:val="6"/>
    </w:lvl>
  </w:abstractNum>
  <w:abstractNum w:abstractNumId="103">
    <w:nsid w:val="F856867"/>
    <w:multiLevelType w:val="hybridMultilevel"/>
    <w:lvl w:ilvl="0">
      <w:lvlJc w:val="left"/>
      <w:lvlText w:val="(%1)"/>
      <w:numFmt w:val="lowerLetter"/>
      <w:start w:val="1"/>
    </w:lvl>
  </w:abstractNum>
  <w:abstractNum w:abstractNumId="104">
    <w:nsid w:val="11B1CC33"/>
    <w:multiLevelType w:val="hybridMultilevel"/>
    <w:lvl w:ilvl="0">
      <w:lvlJc w:val="left"/>
      <w:lvlText w:val="(%1)"/>
      <w:numFmt w:val="lowerLetter"/>
      <w:start w:val="1"/>
    </w:lvl>
    <w:lvl w:ilvl="1">
      <w:lvlJc w:val="left"/>
      <w:lvlText w:val="(%2)"/>
      <w:numFmt w:val="lowerLetter"/>
      <w:start w:val="9"/>
    </w:lvl>
  </w:abstractNum>
  <w:abstractNum w:abstractNumId="105">
    <w:nsid w:val="2E22FBB7"/>
    <w:multiLevelType w:val="hybridMultilevel"/>
    <w:lvl w:ilvl="0">
      <w:lvlJc w:val="left"/>
      <w:lvlText w:val="(%1)"/>
      <w:numFmt w:val="lowerLetter"/>
      <w:start w:val="25"/>
    </w:lvl>
    <w:lvl w:ilvl="1">
      <w:lvlJc w:val="left"/>
      <w:lvlText w:val="%2"/>
      <w:numFmt w:val="lowerLetter"/>
      <w:start w:val="1"/>
    </w:lvl>
  </w:abstractNum>
  <w:abstractNum w:abstractNumId="106">
    <w:nsid w:val="29934699"/>
    <w:multiLevelType w:val="hybridMultilevel"/>
    <w:lvl w:ilvl="0">
      <w:lvlJc w:val="left"/>
      <w:lvlText w:val="(%1)"/>
      <w:numFmt w:val="lowerLetter"/>
      <w:start w:val="24"/>
    </w:lvl>
    <w:lvl w:ilvl="1">
      <w:lvlJc w:val="left"/>
      <w:lvlText w:val="%2"/>
      <w:numFmt w:val="lowerLetter"/>
      <w:start w:val="1"/>
    </w:lvl>
  </w:abstractNum>
  <w:abstractNum w:abstractNumId="107">
    <w:nsid w:val="77485850"/>
    <w:multiLevelType w:val="hybridMultilevel"/>
    <w:lvl w:ilvl="0">
      <w:lvlJc w:val="left"/>
      <w:lvlText w:val="%1"/>
      <w:numFmt w:val="upperLetter"/>
      <w:start w:val="1"/>
    </w:lvl>
    <w:lvl w:ilvl="1">
      <w:lvlJc w:val="left"/>
      <w:lvlText w:val="(%2)"/>
      <w:numFmt w:val="lowerLetter"/>
      <w:start w:val="35"/>
    </w:lvl>
    <w:lvl w:ilvl="2">
      <w:lvlJc w:val="left"/>
      <w:lvlText w:val="(%3)"/>
      <w:numFmt w:val="upperLetter"/>
      <w:start w:val="1"/>
    </w:lvl>
  </w:abstractNum>
  <w:abstractNum w:abstractNumId="108">
    <w:nsid w:val="744939A3"/>
    <w:multiLevelType w:val="hybridMultilevel"/>
    <w:lvl w:ilvl="0">
      <w:lvlJc w:val="left"/>
      <w:lvlText w:val="(%1)"/>
      <w:numFmt w:val="upperLetter"/>
      <w:start w:val="1"/>
    </w:lvl>
    <w:lvl w:ilvl="1">
      <w:lvlJc w:val="left"/>
      <w:lvlText w:val="(%2)"/>
      <w:numFmt w:val="lowerLetter"/>
      <w:start w:val="61"/>
    </w:lvl>
    <w:lvl w:ilvl="2">
      <w:lvlJc w:val="left"/>
      <w:lvlText w:val="%3"/>
      <w:numFmt w:val="upperLetter"/>
      <w:start w:val="1"/>
    </w:lvl>
  </w:abstractNum>
  <w:abstractNum w:abstractNumId="109">
    <w:nsid w:val="4FA0D2E3"/>
    <w:multiLevelType w:val="hybridMultilevel"/>
    <w:lvl w:ilvl="0">
      <w:lvlJc w:val="left"/>
      <w:lvlText w:val="(%1)"/>
      <w:numFmt w:val="lowerRoman"/>
      <w:start w:val="4"/>
    </w:lvl>
  </w:abstractNum>
  <w:abstractNum w:abstractNumId="110">
    <w:nsid w:val="6B1D2C14"/>
    <w:multiLevelType w:val="hybridMultilevel"/>
    <w:lvl w:ilvl="0">
      <w:lvlJc w:val="left"/>
      <w:lvlText w:val="(%1)"/>
      <w:numFmt w:val="lowerLetter"/>
      <w:start w:val="2"/>
    </w:lvl>
    <w:lvl w:ilvl="1">
      <w:lvlJc w:val="left"/>
      <w:lvlText w:val="(%2)"/>
      <w:numFmt w:val="lowerLetter"/>
      <w:start w:val="9"/>
    </w:lvl>
  </w:abstractNum>
  <w:abstractNum w:abstractNumId="111">
    <w:nsid w:val="68B867D3"/>
    <w:multiLevelType w:val="hybridMultilevel"/>
    <w:lvl w:ilvl="0">
      <w:lvlJc w:val="left"/>
      <w:lvlText w:val="(%1)"/>
      <w:numFmt w:val="lowerRoman"/>
      <w:start w:val="2"/>
    </w:lvl>
  </w:abstractNum>
  <w:abstractNum w:abstractNumId="112">
    <w:nsid w:val="3F7F5DD9"/>
    <w:multiLevelType w:val="hybridMultilevel"/>
    <w:lvl w:ilvl="0">
      <w:lvlJc w:val="left"/>
      <w:lvlText w:val="(%1)"/>
      <w:numFmt w:val="lowerLetter"/>
      <w:start w:val="1"/>
    </w:lvl>
  </w:abstractNum>
  <w:abstractNum w:abstractNumId="113">
    <w:nsid w:val="2AE05A34"/>
    <w:multiLevelType w:val="hybridMultilevel"/>
    <w:lvl w:ilvl="0">
      <w:lvlJc w:val="left"/>
      <w:lvlText w:val="%1"/>
      <w:numFmt w:val="lowerLetter"/>
      <w:start w:val="1"/>
    </w:lvl>
    <w:lvl w:ilvl="1">
      <w:lvlJc w:val="left"/>
      <w:lvlText w:val="(%2)"/>
      <w:numFmt w:val="lowerLetter"/>
      <w:start w:val="2"/>
    </w:lvl>
  </w:abstractNum>
  <w:abstractNum w:abstractNumId="114">
    <w:nsid w:val="32794FF7"/>
    <w:multiLevelType w:val="hybridMultilevel"/>
    <w:lvl w:ilvl="0">
      <w:lvlJc w:val="left"/>
      <w:lvlText w:val="(%1)"/>
      <w:numFmt w:val="lowerLetter"/>
      <w:start w:val="9"/>
    </w:lvl>
    <w:lvl w:ilvl="1">
      <w:lvlJc w:val="left"/>
      <w:lvlText w:val="(%2)"/>
      <w:numFmt w:val="lowerLetter"/>
      <w:start w:val="4"/>
    </w:lvl>
  </w:abstractNum>
  <w:abstractNum w:abstractNumId="115">
    <w:nsid w:val="5454945E"/>
    <w:multiLevelType w:val="hybridMultilevel"/>
    <w:lvl w:ilvl="0">
      <w:lvlJc w:val="left"/>
      <w:lvlText w:val="%1"/>
      <w:numFmt w:val="decimal"/>
      <w:start w:val="1"/>
    </w:lvl>
    <w:lvl w:ilvl="1">
      <w:lvlJc w:val="left"/>
      <w:lvlText w:val="(%2)"/>
      <w:numFmt w:val="lowerLetter"/>
      <w:start w:val="5"/>
    </w:lvl>
  </w:abstractNum>
  <w:abstractNum w:abstractNumId="116">
    <w:nsid w:val="4DEFDFA0"/>
    <w:multiLevelType w:val="hybridMultilevel"/>
    <w:lvl w:ilvl="0">
      <w:lvlJc w:val="left"/>
      <w:lvlText w:val="(%1)"/>
      <w:numFmt w:val="decimal"/>
      <w:start w:val="1"/>
    </w:lvl>
    <w:lvl w:ilvl="1">
      <w:lvlJc w:val="left"/>
      <w:lvlText w:val="%2"/>
      <w:numFmt w:val="lowerLetter"/>
      <w:start w:val="1"/>
    </w:lvl>
  </w:abstractNum>
  <w:abstractNum w:abstractNumId="117">
    <w:nsid w:val="2123D5F2"/>
    <w:multiLevelType w:val="hybridMultilevel"/>
    <w:lvl w:ilvl="0">
      <w:lvlJc w:val="left"/>
      <w:lvlText w:val="(%1)"/>
      <w:numFmt w:val="lowerLetter"/>
      <w:start w:val="3"/>
    </w:lvl>
  </w:abstractNum>
  <w:abstractNum w:abstractNumId="118">
    <w:nsid w:val="135B8110"/>
    <w:multiLevelType w:val="hybridMultilevel"/>
    <w:lvl w:ilvl="0">
      <w:lvlJc w:val="left"/>
      <w:lvlText w:val="%1"/>
      <w:numFmt w:val="lowerLetter"/>
      <w:start w:val="1"/>
    </w:lvl>
    <w:lvl w:ilvl="1">
      <w:lvlJc w:val="left"/>
      <w:lvlText w:val="(%2)"/>
      <w:numFmt w:val="lowerLetter"/>
      <w:start w:val="1"/>
    </w:lvl>
  </w:abstractNum>
  <w:abstractNum w:abstractNumId="119">
    <w:nsid w:val="94927A8"/>
    <w:multiLevelType w:val="hybridMultilevel"/>
    <w:lvl w:ilvl="0">
      <w:lvlJc w:val="left"/>
      <w:lvlText w:val="(%1)"/>
      <w:numFmt w:val="lowerLetter"/>
      <w:start w:val="9"/>
    </w:lvl>
    <w:lvl w:ilvl="1">
      <w:lvlJc w:val="left"/>
      <w:lvlText w:val="%2"/>
      <w:numFmt w:val="lowerLetter"/>
      <w:start w:val="1"/>
    </w:lvl>
  </w:abstractNum>
  <w:abstractNum w:abstractNumId="120">
    <w:nsid w:val="DCDF8F6"/>
    <w:multiLevelType w:val="hybridMultilevel"/>
    <w:lvl w:ilvl="0">
      <w:lvlJc w:val="left"/>
      <w:lvlText w:val="(%1)"/>
      <w:numFmt w:val="lowerRoman"/>
      <w:start w:val="1"/>
    </w:lvl>
  </w:abstractNum>
  <w:abstractNum w:abstractNumId="121">
    <w:nsid w:val="52D7B105"/>
    <w:multiLevelType w:val="hybridMultilevel"/>
    <w:lvl w:ilvl="0">
      <w:lvlJc w:val="left"/>
      <w:lvlText w:val="(%1)"/>
      <w:numFmt w:val="lowerLetter"/>
      <w:start w:val="1"/>
    </w:lvl>
  </w:abstractNum>
  <w:abstractNum w:abstractNumId="122">
    <w:nsid w:val="2E8A6394"/>
    <w:multiLevelType w:val="hybridMultilevel"/>
    <w:lvl w:ilvl="0">
      <w:lvlJc w:val="left"/>
      <w:lvlText w:val="(%1)"/>
      <w:numFmt w:val="lowerLetter"/>
      <w:start w:val="4"/>
    </w:lvl>
  </w:abstractNum>
  <w:abstractNum w:abstractNumId="123">
    <w:nsid w:val="24E60401"/>
    <w:multiLevelType w:val="hybridMultilevel"/>
    <w:lvl w:ilvl="0">
      <w:lvlJc w:val="left"/>
      <w:lvlText w:val="(%1)"/>
      <w:numFmt w:val="lowerLetter"/>
      <w:start w:val="1"/>
    </w:lvl>
  </w:abstractNum>
  <w:abstractNum w:abstractNumId="124">
    <w:nsid w:val="2A6AD9BE"/>
    <w:multiLevelType w:val="hybridMultilevel"/>
    <w:lvl w:ilvl="0">
      <w:lvlJc w:val="left"/>
      <w:lvlText w:val="(%1)"/>
      <w:numFmt w:val="lowerLetter"/>
      <w:start w:val="1"/>
    </w:lvl>
  </w:abstractNum>
  <w:abstractNum w:abstractNumId="125">
    <w:nsid w:val="BAAC1B4"/>
    <w:multiLevelType w:val="hybridMultilevel"/>
    <w:lvl w:ilvl="0">
      <w:lvlJc w:val="left"/>
      <w:lvlText w:val="(%1)"/>
      <w:numFmt w:val="lowerLetter"/>
      <w:start w:val="1"/>
    </w:lvl>
  </w:abstractNum>
  <w:abstractNum w:abstractNumId="126">
    <w:nsid w:val="36B2ACBC"/>
    <w:multiLevelType w:val="hybridMultilevel"/>
    <w:lvl w:ilvl="0">
      <w:lvlJc w:val="left"/>
      <w:lvlText w:val="(%1)"/>
      <w:numFmt w:val="lowerLetter"/>
      <w:start w:val="1"/>
    </w:lvl>
  </w:abstractNum>
  <w:abstractNum w:abstractNumId="127">
    <w:nsid w:val="779D854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8">
    <w:nsid w:val="4AB26E7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2"/>
    </w:lvl>
  </w:abstractNum>
  <w:abstractNum w:abstractNumId="129">
    <w:nsid w:val="21FAA2FA"/>
    <w:multiLevelType w:val="hybridMultilevel"/>
    <w:lvl w:ilvl="0">
      <w:lvlJc w:val="left"/>
      <w:lvlText w:val="%1"/>
      <w:numFmt w:val="lowerLetter"/>
      <w:start w:val="1"/>
    </w:lvl>
    <w:lvl w:ilvl="1">
      <w:lvlJc w:val="left"/>
      <w:lvlText w:val="(%2)"/>
      <w:numFmt w:val="lowerRoman"/>
      <w:start w:val="3"/>
    </w:lvl>
  </w:abstractNum>
  <w:abstractNum w:abstractNumId="130">
    <w:nsid w:val="5451CF49"/>
    <w:multiLevelType w:val="hybridMultilevel"/>
    <w:lvl w:ilvl="0">
      <w:lvlJc w:val="left"/>
      <w:lvlText w:val="(%1)"/>
      <w:numFmt w:val="lowerLetter"/>
      <w:start w:val="2"/>
    </w:lvl>
    <w:lvl w:ilvl="1">
      <w:lvlJc w:val="left"/>
      <w:lvlText w:val="%2"/>
      <w:numFmt w:val="lowerRoman"/>
      <w:start w:val="1"/>
    </w:lvl>
  </w:abstractNum>
  <w:abstractNum w:abstractNumId="131">
    <w:nsid w:val="6181EF69"/>
    <w:multiLevelType w:val="hybridMultilevel"/>
    <w:lvl w:ilvl="0">
      <w:lvlJc w:val="left"/>
      <w:lvlText w:val="%1"/>
      <w:numFmt w:val="upperLetter"/>
      <w:start w:val="1"/>
    </w:lvl>
    <w:lvl w:ilvl="1">
      <w:lvlJc w:val="left"/>
      <w:lvlText w:val="(%2)"/>
      <w:numFmt w:val="lowerLetter"/>
      <w:start w:val="4"/>
    </w:lvl>
  </w:abstractNum>
  <w:abstractNum w:abstractNumId="132">
    <w:nsid w:val="3E6400E6"/>
    <w:multiLevelType w:val="hybridMultilevel"/>
    <w:lvl w:ilvl="0">
      <w:lvlJc w:val="left"/>
      <w:lvlText w:val="(%1)"/>
      <w:numFmt w:val="lowerLetter"/>
      <w:start w:val="1"/>
    </w:lvl>
  </w:abstractNum>
  <w:abstractNum w:abstractNumId="133">
    <w:nsid w:val="14217E23"/>
    <w:multiLevelType w:val="hybridMultilevel"/>
    <w:lvl w:ilvl="0">
      <w:lvlJc w:val="left"/>
      <w:lvlText w:val="(%1)"/>
      <w:numFmt w:val="lowerLetter"/>
      <w:start w:val="1"/>
    </w:lvl>
  </w:abstractNum>
  <w:abstractNum w:abstractNumId="134">
    <w:nsid w:val="710757D0"/>
    <w:multiLevelType w:val="hybridMultilevel"/>
    <w:lvl w:ilvl="0">
      <w:lvlJc w:val="left"/>
      <w:lvlText w:val="(%1)"/>
      <w:numFmt w:val="lowerLetter"/>
      <w:start w:val="4"/>
    </w:lvl>
  </w:abstractNum>
  <w:abstractNum w:abstractNumId="135">
    <w:nsid w:val="5015CD1A"/>
    <w:multiLevelType w:val="hybridMultilevel"/>
    <w:lvl w:ilvl="0">
      <w:lvlJc w:val="left"/>
      <w:lvlText w:val="(%1)"/>
      <w:numFmt w:val="lowerLetter"/>
      <w:start w:val="9"/>
    </w:lvl>
  </w:abstractNum>
  <w:abstractNum w:abstractNumId="136">
    <w:nsid w:val="424479DA"/>
    <w:multiLevelType w:val="hybridMultilevel"/>
    <w:lvl w:ilvl="0">
      <w:lvlJc w:val="left"/>
      <w:lvlText w:val="(%1)"/>
      <w:numFmt w:val="lowerLetter"/>
      <w:start w:val="1"/>
    </w:lvl>
  </w:abstractNum>
  <w:abstractNum w:abstractNumId="137">
    <w:nsid w:val="1A9A9E69"/>
    <w:multiLevelType w:val="hybridMultilevel"/>
    <w:lvl w:ilvl="0">
      <w:lvlJc w:val="left"/>
      <w:lvlText w:val="(%1)"/>
      <w:numFmt w:val="lowerLetter"/>
      <w:start w:val="1"/>
    </w:lvl>
  </w:abstractNum>
  <w:abstractNum w:abstractNumId="138">
    <w:nsid w:val="475E256A"/>
    <w:multiLevelType w:val="hybridMultilevel"/>
    <w:lvl w:ilvl="0">
      <w:lvlJc w:val="left"/>
      <w:lvlText w:val="(%1)"/>
      <w:numFmt w:val="lowerLetter"/>
      <w:start w:val="1"/>
    </w:lvl>
  </w:abstractNum>
  <w:abstractNum w:abstractNumId="139">
    <w:nsid w:val="368DB37E"/>
    <w:multiLevelType w:val="hybridMultilevel"/>
    <w:lvl w:ilvl="0">
      <w:lvlJc w:val="left"/>
      <w:lvlText w:val="(%1)"/>
      <w:numFmt w:val="lowerLetter"/>
      <w:start w:val="1"/>
    </w:lvl>
    <w:lvl w:ilvl="1">
      <w:lvlJc w:val="left"/>
      <w:lvlText w:val="(%2)"/>
      <w:numFmt w:val="lowerLetter"/>
      <w:start w:val="9"/>
    </w:lvl>
  </w:abstractNum>
  <w:abstractNum w:abstractNumId="140">
    <w:nsid w:val="6A3B714C"/>
    <w:multiLevelType w:val="hybridMultilevel"/>
    <w:lvl w:ilvl="0">
      <w:lvlJc w:val="left"/>
      <w:lvlText w:val="%1"/>
      <w:numFmt w:val="lowerLetter"/>
      <w:start w:val="1"/>
    </w:lvl>
    <w:lvl w:ilvl="1">
      <w:lvlJc w:val="left"/>
      <w:lvlText w:val="(%2)"/>
      <w:numFmt w:val="upperLetter"/>
      <w:start w:val="1"/>
    </w:lvl>
  </w:abstractNum>
  <w:abstractNum w:abstractNumId="141">
    <w:nsid w:val="327B517E"/>
    <w:multiLevelType w:val="hybridMultilevel"/>
    <w:lvl w:ilvl="0">
      <w:lvlJc w:val="left"/>
      <w:lvlText w:val="(%1)"/>
      <w:numFmt w:val="lowerLetter"/>
      <w:start w:val="23"/>
    </w:lvl>
    <w:lvl w:ilvl="1">
      <w:lvlJc w:val="left"/>
      <w:lvlText w:val="(%2)"/>
      <w:numFmt w:val="upperLetter"/>
      <w:start w:val="2"/>
    </w:lvl>
  </w:abstractNum>
  <w:abstractNum w:abstractNumId="142">
    <w:nsid w:val="1F461B51"/>
    <w:multiLevelType w:val="hybridMultilevel"/>
    <w:lvl w:ilvl="0">
      <w:lvlJc w:val="left"/>
      <w:lvlText w:val="(%1)"/>
      <w:numFmt w:val="lowerLetter"/>
      <w:start w:val="24"/>
    </w:lvl>
  </w:abstractNum>
  <w:abstractNum w:abstractNumId="143">
    <w:nsid w:val="29BACF25"/>
    <w:multiLevelType w:val="hybridMultilevel"/>
    <w:lvl w:ilvl="0">
      <w:lvlJc w:val="left"/>
      <w:lvlText w:val="%1"/>
      <w:numFmt w:val="upperLetter"/>
      <w:start w:val="1"/>
    </w:lvl>
    <w:lvl w:ilvl="1">
      <w:lvlJc w:val="left"/>
      <w:lvlText w:val="(%2)"/>
      <w:numFmt w:val="lowerLetter"/>
      <w:start w:val="26"/>
    </w:lvl>
    <w:lvl w:ilvl="2">
      <w:lvlJc w:val="left"/>
      <w:lvlText w:val="(%3)"/>
      <w:numFmt w:val="upperLetter"/>
      <w:start w:val="3"/>
    </w:lvl>
  </w:abstractNum>
  <w:abstractNum w:abstractNumId="144">
    <w:nsid w:val="5D5BABB3"/>
    <w:multiLevelType w:val="hybridMultilevel"/>
    <w:lvl w:ilvl="0">
      <w:lvlJc w:val="left"/>
      <w:lvlText w:val="(%1)"/>
      <w:numFmt w:val="upperLetter"/>
      <w:start w:val="1"/>
    </w:lvl>
    <w:lvl w:ilvl="1">
      <w:lvlJc w:val="left"/>
      <w:lvlText w:val="(%2)"/>
      <w:numFmt w:val="lowerLetter"/>
      <w:start w:val="23"/>
    </w:lvl>
    <w:lvl w:ilvl="2">
      <w:lvlJc w:val="left"/>
      <w:lvlText w:val="(%3)"/>
      <w:numFmt w:val="upperLetter"/>
      <w:start w:val="4"/>
    </w:lvl>
  </w:abstractNum>
  <w:abstractNum w:abstractNumId="145">
    <w:nsid w:val="51BF6B48"/>
    <w:multiLevelType w:val="hybridMultilevel"/>
    <w:lvl w:ilvl="0">
      <w:lvlJc w:val="left"/>
      <w:lvlText w:val="(%1)"/>
      <w:numFmt w:val="lowerLetter"/>
      <w:start w:val="25"/>
    </w:lvl>
  </w:abstractNum>
  <w:abstractNum w:abstractNumId="146">
    <w:nsid w:val="7E0F6384"/>
    <w:multiLevelType w:val="hybridMultilevel"/>
    <w:lvl w:ilvl="0">
      <w:lvlJc w:val="left"/>
      <w:lvlText w:val="(%1)"/>
      <w:numFmt w:val="upperLetter"/>
      <w:start w:val="6"/>
    </w:lvl>
  </w:abstractNum>
  <w:abstractNum w:abstractNumId="147">
    <w:nsid w:val="2B4B8B53"/>
    <w:multiLevelType w:val="hybridMultilevel"/>
    <w:lvl w:ilvl="0">
      <w:lvlJc w:val="left"/>
      <w:lvlText w:val="(%1)"/>
      <w:numFmt w:val="lowerLetter"/>
      <w:start w:val="3"/>
    </w:lvl>
  </w:abstractNum>
  <w:abstractNum w:abstractNumId="148">
    <w:nsid w:val="72E3413A"/>
    <w:multiLevelType w:val="hybridMultilevel"/>
    <w:lvl w:ilvl="0">
      <w:lvlJc w:val="left"/>
      <w:lvlText w:val="(%1)"/>
      <w:numFmt w:val="lowerLetter"/>
      <w:start w:val="1"/>
    </w:lvl>
  </w:abstractNum>
  <w:abstractNum w:abstractNumId="149">
    <w:nsid w:val="116AE494"/>
    <w:multiLevelType w:val="hybridMultilevel"/>
    <w:lvl w:ilvl="0">
      <w:lvlJc w:val="left"/>
      <w:lvlText w:val="(%1)"/>
      <w:numFmt w:val="lowerLetter"/>
      <w:start w:val="6"/>
    </w:lvl>
  </w:abstractNum>
  <w:abstractNum w:abstractNumId="150">
    <w:nsid w:val="3494B2FB"/>
    <w:multiLevelType w:val="hybridMultilevel"/>
    <w:lvl w:ilvl="0">
      <w:lvlJc w:val="left"/>
      <w:lvlText w:val="(%1)"/>
      <w:numFmt w:val="lowerLetter"/>
      <w:start w:val="1"/>
    </w:lvl>
  </w:abstractNum>
  <w:abstractNum w:abstractNumId="151">
    <w:nsid w:val="B13A31"/>
    <w:multiLevelType w:val="hybridMultilevel"/>
    <w:lvl w:ilvl="0">
      <w:lvlJc w:val="left"/>
      <w:lvlText w:val="(%1)"/>
      <w:numFmt w:val="lowerLetter"/>
      <w:start w:val="10"/>
    </w:lvl>
  </w:abstractNum>
  <w:abstractNum w:abstractNumId="152">
    <w:nsid w:val="64429599"/>
    <w:multiLevelType w:val="hybridMultilevel"/>
    <w:lvl w:ilvl="0">
      <w:lvlJc w:val="left"/>
      <w:lvlText w:val="%1"/>
      <w:numFmt w:val="lowerLetter"/>
      <w:start w:val="1"/>
    </w:lvl>
    <w:lvl w:ilvl="1">
      <w:lvlJc w:val="left"/>
      <w:lvlText w:val="(%2)"/>
      <w:numFmt w:val="lowerLetter"/>
      <w:start w:val="1"/>
    </w:lvl>
  </w:abstractNum>
  <w:abstractNum w:abstractNumId="153">
    <w:nsid w:val="631F1690"/>
    <w:multiLevelType w:val="hybridMultilevel"/>
    <w:lvl w:ilvl="0">
      <w:lvlJc w:val="left"/>
      <w:lvlText w:val="(%1)"/>
      <w:numFmt w:val="lowerLetter"/>
      <w:start w:val="9"/>
    </w:lvl>
    <w:lvl w:ilvl="1">
      <w:lvlJc w:val="left"/>
      <w:lvlText w:val="%2"/>
      <w:numFmt w:val="lowerLetter"/>
      <w:start w:val="1"/>
    </w:lvl>
  </w:abstractNum>
  <w:abstractNum w:abstractNumId="154">
    <w:nsid w:val="25973E32"/>
    <w:multiLevelType w:val="hybridMultilevel"/>
    <w:lvl w:ilvl="0">
      <w:lvlJc w:val="left"/>
      <w:lvlText w:val="%1"/>
      <w:numFmt w:val="lowerLetter"/>
      <w:start w:val="1"/>
    </w:lvl>
    <w:lvl w:ilvl="1">
      <w:lvlJc w:val="left"/>
      <w:lvlText w:val="(%2)"/>
      <w:numFmt w:val="lowerLetter"/>
      <w:start w:val="2"/>
    </w:lvl>
  </w:abstractNum>
  <w:abstractNum w:abstractNumId="155">
    <w:nsid w:val="EAD6F57"/>
    <w:multiLevelType w:val="hybridMultilevel"/>
    <w:lvl w:ilvl="0">
      <w:lvlJc w:val="left"/>
      <w:lvlText w:val="(%1)"/>
      <w:numFmt w:val="lowerLetter"/>
      <w:start w:val="13"/>
    </w:lvl>
    <w:lvl w:ilvl="1">
      <w:lvlJc w:val="left"/>
      <w:lvlText w:val="(%2)"/>
      <w:numFmt w:val="lowerLetter"/>
      <w:start w:val="6"/>
    </w:lvl>
  </w:abstractNum>
  <w:abstractNum w:abstractNumId="156">
    <w:nsid w:val="6EC9D844"/>
    <w:multiLevelType w:val="hybridMultilevel"/>
    <w:lvl w:ilvl="0">
      <w:lvlJc w:val="left"/>
      <w:lvlText w:val="(%1)"/>
      <w:numFmt w:val="lowerLetter"/>
      <w:start w:val="1"/>
    </w:lvl>
  </w:abstractNum>
  <w:abstractNum w:abstractNumId="157">
    <w:nsid w:val="5C49EAEE"/>
    <w:multiLevelType w:val="hybridMultilevel"/>
    <w:lvl w:ilvl="0">
      <w:lvlJc w:val="left"/>
      <w:lvlText w:val="(%1)"/>
      <w:numFmt w:val="lowerLetter"/>
      <w:start w:val="6"/>
    </w:lvl>
  </w:abstractNum>
  <w:abstractNum w:abstractNumId="158">
    <w:nsid w:val="64AF49B"/>
    <w:multiLevelType w:val="hybridMultilevel"/>
    <w:lvl w:ilvl="0">
      <w:lvlJc w:val="left"/>
      <w:lvlText w:val="(%1)"/>
      <w:numFmt w:val="lowerLetter"/>
      <w:start w:val="1"/>
    </w:lvl>
  </w:abstractNum>
  <w:abstractNum w:abstractNumId="159">
    <w:nsid w:val="397C46BC"/>
    <w:multiLevelType w:val="hybridMultilevel"/>
    <w:lvl w:ilvl="0">
      <w:lvlJc w:val="left"/>
      <w:lvlText w:val="(%1)"/>
      <w:numFmt w:val="lowerLetter"/>
      <w:start w:val="9"/>
    </w:lvl>
  </w:abstractNum>
  <w:abstractNum w:abstractNumId="160">
    <w:nsid w:val="7E448DE9"/>
    <w:multiLevelType w:val="hybridMultilevel"/>
    <w:lvl w:ilvl="0">
      <w:lvlJc w:val="left"/>
      <w:lvlText w:val="(%1)"/>
      <w:numFmt w:val="lowerLetter"/>
      <w:start w:val="1"/>
    </w:lvl>
    <w:lvl w:ilvl="1">
      <w:lvlJc w:val="left"/>
      <w:lvlText w:val="(%2)"/>
      <w:numFmt w:val="lowerRoman"/>
      <w:start w:val="1"/>
    </w:lvl>
  </w:abstractNum>
  <w:abstractNum w:abstractNumId="161">
    <w:nsid w:val="5A9CC3E5"/>
    <w:multiLevelType w:val="hybridMultilevel"/>
    <w:lvl w:ilvl="0">
      <w:lvlJc w:val="left"/>
      <w:lvlText w:val="(%1)"/>
      <w:numFmt w:val="lowerLetter"/>
      <w:start w:val="1"/>
    </w:lvl>
  </w:abstractNum>
  <w:abstractNum w:abstractNumId="162">
    <w:nsid w:val="1AFE3625"/>
    <w:multiLevelType w:val="hybridMultilevel"/>
    <w:lvl w:ilvl="0">
      <w:lvlJc w:val="left"/>
      <w:lvlText w:val="(%1)"/>
      <w:numFmt w:val="lowerLetter"/>
      <w:start w:val="6"/>
    </w:lvl>
  </w:abstractNum>
  <w:abstractNum w:abstractNumId="163">
    <w:nsid w:val="3CA88ECF"/>
    <w:multiLevelType w:val="hybridMultilevel"/>
    <w:lvl w:ilvl="0">
      <w:lvlJc w:val="left"/>
      <w:lvlText w:val="(%1)"/>
      <w:numFmt w:val="lowerLetter"/>
      <w:start w:val="1"/>
    </w:lvl>
  </w:abstractNum>
  <w:abstractNum w:abstractNumId="164">
    <w:nsid w:val="6EBE4208"/>
    <w:multiLevelType w:val="hybridMultilevel"/>
    <w:lvl w:ilvl="0">
      <w:lvlJc w:val="left"/>
      <w:lvlText w:val="(%1)"/>
      <w:numFmt w:val="lowerLetter"/>
      <w:start w:val="2"/>
    </w:lvl>
  </w:abstractNum>
  <w:abstractNum w:abstractNumId="165">
    <w:nsid w:val="C058DF5"/>
    <w:multiLevelType w:val="hybridMultilevel"/>
    <w:lvl w:ilvl="0">
      <w:lvlJc w:val="left"/>
      <w:lvlText w:val="(%1)"/>
      <w:numFmt w:val="lowerLetter"/>
      <w:start w:val="1"/>
    </w:lvl>
  </w:abstractNum>
  <w:abstractNum w:abstractNumId="166">
    <w:nsid w:val="CBE5BE9"/>
    <w:multiLevelType w:val="hybridMultilevel"/>
    <w:lvl w:ilvl="0">
      <w:lvlJc w:val="left"/>
      <w:lvlText w:val="(%1)"/>
      <w:numFmt w:val="lowerLetter"/>
      <w:start w:val="1"/>
    </w:lvl>
  </w:abstractNum>
  <w:abstractNum w:abstractNumId="167">
    <w:nsid w:val="3102BBE2"/>
    <w:multiLevelType w:val="hybridMultilevel"/>
    <w:lvl w:ilvl="0">
      <w:lvlJc w:val="left"/>
      <w:lvlText w:val="(%1)"/>
      <w:numFmt w:val="lowerLetter"/>
      <w:start w:val="5"/>
    </w:lvl>
  </w:abstractNum>
  <w:abstractNum w:abstractNumId="168">
    <w:nsid w:val="26A02C5E"/>
    <w:multiLevelType w:val="hybridMultilevel"/>
    <w:lvl w:ilvl="0">
      <w:lvlJc w:val="left"/>
      <w:lvlText w:val="%1"/>
      <w:numFmt w:val="lowerLetter"/>
      <w:start w:val="1"/>
    </w:lvl>
    <w:lvl w:ilvl="1">
      <w:lvlJc w:val="left"/>
      <w:lvlText w:val="(%2)"/>
      <w:numFmt w:val="lowerLetter"/>
      <w:start w:val="10"/>
    </w:lvl>
  </w:abstractNum>
  <w:abstractNum w:abstractNumId="169">
    <w:nsid w:val="541C8153"/>
    <w:multiLevelType w:val="hybridMultilevel"/>
    <w:lvl w:ilvl="0">
      <w:lvlJc w:val="left"/>
      <w:lvlText w:val="(%1)"/>
      <w:numFmt w:val="lowerLetter"/>
      <w:start w:val="9"/>
    </w:lvl>
    <w:lvl w:ilvl="1">
      <w:lvlJc w:val="left"/>
      <w:lvlText w:val="(%2)"/>
      <w:numFmt w:val="lowerLetter"/>
      <w:start w:val="11"/>
    </w:lvl>
  </w:abstractNum>
  <w:abstractNum w:abstractNumId="170">
    <w:nsid w:val="67906F60"/>
    <w:multiLevelType w:val="hybridMultilevel"/>
    <w:lvl w:ilvl="0">
      <w:lvlJc w:val="left"/>
      <w:lvlText w:val="(%1)"/>
      <w:numFmt w:val="lowerLetter"/>
      <w:start w:val="18"/>
    </w:lvl>
  </w:abstractNum>
  <w:abstractNum w:abstractNumId="171">
    <w:nsid w:val="10DB9DAA"/>
    <w:multiLevelType w:val="hybridMultilevel"/>
    <w:lvl w:ilvl="0">
      <w:lvlJc w:val="left"/>
      <w:lvlText w:val="(%1)"/>
      <w:numFmt w:val="lowerLetter"/>
      <w:start w:val="1"/>
    </w:lvl>
  </w:abstractNum>
  <w:abstractNum w:abstractNumId="172">
    <w:nsid w:val="697D2D2"/>
    <w:multiLevelType w:val="hybridMultilevel"/>
    <w:lvl w:ilvl="0">
      <w:lvlJc w:val="left"/>
      <w:lvlText w:val="(%1)"/>
      <w:numFmt w:val="decimal"/>
      <w:start w:val="30"/>
    </w:lvl>
  </w:abstractNum>
  <w:abstractNum w:abstractNumId="173">
    <w:nsid w:val="6D68AB2"/>
    <w:multiLevelType w:val="hybridMultilevel"/>
    <w:lvl w:ilvl="0">
      <w:lvlJc w:val="left"/>
      <w:lvlText w:val="(%1)"/>
      <w:numFmt w:val="lowerLetter"/>
      <w:start w:val="1"/>
    </w:lvl>
  </w:abstractNum>
  <w:abstractNum w:abstractNumId="174">
    <w:nsid w:val="3A966CD0"/>
    <w:multiLevelType w:val="hybridMultilevel"/>
    <w:lvl w:ilvl="0">
      <w:lvlJc w:val="left"/>
      <w:lvlText w:val="(%1)"/>
      <w:numFmt w:val="lowerLetter"/>
      <w:start w:val="2"/>
    </w:lvl>
    <w:lvl w:ilvl="1">
      <w:lvlJc w:val="left"/>
      <w:lvlText w:val="(%2)"/>
      <w:numFmt w:val="lowerRoman"/>
      <w:start w:val="1"/>
    </w:lvl>
  </w:abstractNum>
  <w:abstractNum w:abstractNumId="175">
    <w:nsid w:val="63F37E85"/>
    <w:multiLevelType w:val="hybridMultilevel"/>
    <w:lvl w:ilvl="0">
      <w:lvlJc w:val="left"/>
      <w:lvlText w:val="(%1)"/>
      <w:numFmt w:val="lowerLetter"/>
      <w:start w:val="4"/>
    </w:lvl>
  </w:abstractNum>
  <w:abstractNum w:abstractNumId="176">
    <w:nsid w:val="5895F5FA"/>
    <w:multiLevelType w:val="hybridMultilevel"/>
    <w:lvl w:ilvl="0">
      <w:lvlJc w:val="left"/>
      <w:lvlText w:val="(%1)"/>
      <w:numFmt w:val="lowerLetter"/>
      <w:start w:val="5"/>
    </w:lvl>
  </w:abstractNum>
  <w:abstractNum w:abstractNumId="177">
    <w:nsid w:val="38A5D054"/>
    <w:multiLevelType w:val="hybridMultilevel"/>
    <w:lvl w:ilvl="0">
      <w:lvlJc w:val="left"/>
      <w:lvlText w:val="(%1)"/>
      <w:numFmt w:val="lowerLetter"/>
      <w:start w:val="1"/>
    </w:lvl>
  </w:abstractNum>
  <w:abstractNum w:abstractNumId="178">
    <w:nsid w:val="F3F09D8"/>
    <w:multiLevelType w:val="hybridMultilevel"/>
    <w:lvl w:ilvl="0">
      <w:lvlJc w:val="left"/>
      <w:lvlText w:val="(%1)"/>
      <w:numFmt w:val="lowerRoman"/>
      <w:start w:val="1"/>
    </w:lvl>
  </w:abstractNum>
  <w:abstractNum w:abstractNumId="179">
    <w:nsid w:val="4B793735"/>
    <w:multiLevelType w:val="hybridMultilevel"/>
    <w:lvl w:ilvl="0">
      <w:lvlJc w:val="left"/>
      <w:lvlText w:val="(%1)"/>
      <w:numFmt w:val="lowerRoman"/>
      <w:start w:val="2"/>
    </w:lvl>
  </w:abstractNum>
  <w:abstractNum w:abstractNumId="180">
    <w:nsid w:val="4A10B4E8"/>
    <w:multiLevelType w:val="hybridMultilevel"/>
    <w:lvl w:ilvl="0">
      <w:lvlJc w:val="left"/>
      <w:lvlText w:val="(%1)"/>
      <w:numFmt w:val="lowerRoman"/>
      <w:start w:val="3"/>
    </w:lvl>
  </w:abstractNum>
  <w:abstractNum w:abstractNumId="181">
    <w:nsid w:val="43D3BCD4"/>
    <w:multiLevelType w:val="hybridMultilevel"/>
    <w:lvl w:ilvl="0">
      <w:lvlJc w:val="left"/>
      <w:lvlText w:val="(%1)"/>
      <w:numFmt w:val="lowerRoman"/>
      <w:start w:val="4"/>
    </w:lvl>
  </w:abstractNum>
  <w:abstractNum w:abstractNumId="182">
    <w:nsid w:val="4C2A7166"/>
    <w:multiLevelType w:val="hybridMultilevel"/>
    <w:lvl w:ilvl="0">
      <w:lvlJc w:val="left"/>
      <w:lvlText w:val="(%1)"/>
      <w:numFmt w:val="lowerRoman"/>
      <w:start w:val="5"/>
    </w:lvl>
  </w:abstractNum>
  <w:abstractNum w:abstractNumId="183">
    <w:nsid w:val="2E534A82"/>
    <w:multiLevelType w:val="hybridMultilevel"/>
    <w:lvl w:ilvl="0">
      <w:lvlJc w:val="left"/>
      <w:lvlText w:val="(%1)"/>
      <w:numFmt w:val="lowerLetter"/>
      <w:start w:val="2"/>
    </w:lvl>
  </w:abstractNum>
  <w:abstractNum w:abstractNumId="184">
    <w:nsid w:val="26F2D364"/>
    <w:multiLevelType w:val="hybridMultilevel"/>
    <w:lvl w:ilvl="0">
      <w:lvlJc w:val="left"/>
      <w:lvlText w:val="%1"/>
      <w:numFmt w:val="lowerRoman"/>
      <w:start w:val="1"/>
    </w:lvl>
    <w:lvl w:ilvl="1">
      <w:lvlJc w:val="left"/>
      <w:lvlText w:val="(%2)"/>
      <w:numFmt w:val="lowerRoman"/>
      <w:start w:val="1"/>
    </w:lvl>
  </w:abstractNum>
  <w:abstractNum w:abstractNumId="185">
    <w:nsid w:val="71C1AF98"/>
    <w:multiLevelType w:val="hybridMultilevel"/>
    <w:lvl w:ilvl="0">
      <w:lvlJc w:val="left"/>
      <w:lvlText w:val="(%1)"/>
      <w:numFmt w:val="lowerRoman"/>
      <w:start w:val="1"/>
    </w:lvl>
    <w:lvl w:ilvl="1">
      <w:lvlJc w:val="left"/>
      <w:lvlText w:val="%2"/>
      <w:numFmt w:val="lowerRoman"/>
      <w:start w:val="1"/>
    </w:lvl>
  </w:abstractNum>
  <w:abstractNum w:abstractNumId="186">
    <w:nsid w:val="3D00B9D9"/>
    <w:multiLevelType w:val="hybridMultilevel"/>
    <w:lvl w:ilvl="0">
      <w:lvlJc w:val="left"/>
      <w:lvlText w:val="(%1)"/>
      <w:numFmt w:val="lowerLetter"/>
      <w:start w:val="3"/>
    </w:lvl>
  </w:abstractNum>
  <w:abstractNum w:abstractNumId="187">
    <w:nsid w:val="15BCABA8"/>
    <w:multiLevelType w:val="hybridMultilevel"/>
    <w:lvl w:ilvl="0">
      <w:lvlJc w:val="left"/>
      <w:lvlText w:val="(%1)"/>
      <w:numFmt w:val="lowerLetter"/>
      <w:start w:val="4"/>
    </w:lvl>
  </w:abstractNum>
  <w:abstractNum w:abstractNumId="188">
    <w:nsid w:val="4E0B9A87"/>
    <w:multiLevelType w:val="hybridMultilevel"/>
    <w:lvl w:ilvl="0">
      <w:lvlJc w:val="left"/>
      <w:lvlText w:val="(%1)"/>
      <w:numFmt w:val="lowerLetter"/>
      <w:start w:val="1"/>
    </w:lvl>
    <w:lvl w:ilvl="1">
      <w:lvlJc w:val="left"/>
      <w:lvlText w:val="(%2)"/>
      <w:numFmt w:val="lowerRoman"/>
      <w:start w:val="1"/>
    </w:lvl>
  </w:abstractNum>
  <w:abstractNum w:abstractNumId="189">
    <w:nsid w:val="434BAE75"/>
    <w:multiLevelType w:val="hybridMultilevel"/>
    <w:lvl w:ilvl="0">
      <w:lvlJc w:val="left"/>
      <w:lvlText w:val="(%1)"/>
      <w:numFmt w:val="lowerRoman"/>
      <w:start w:val="4"/>
    </w:lvl>
  </w:abstractNum>
  <w:abstractNum w:abstractNumId="190">
    <w:nsid w:val="4F38F265"/>
    <w:multiLevelType w:val="hybridMultilevel"/>
    <w:lvl w:ilvl="0">
      <w:lvlJc w:val="left"/>
      <w:lvlText w:val="%1"/>
      <w:numFmt w:val="lowerLetter"/>
      <w:start w:val="1"/>
    </w:lvl>
    <w:lvl w:ilvl="1">
      <w:lvlJc w:val="left"/>
      <w:lvlText w:val="(%2)"/>
      <w:numFmt w:val="lowerLetter"/>
      <w:start w:val="3"/>
    </w:lvl>
  </w:abstractNum>
  <w:abstractNum w:abstractNumId="191">
    <w:nsid w:val="4C502870"/>
    <w:multiLevelType w:val="hybridMultilevel"/>
    <w:lvl w:ilvl="0">
      <w:lvlJc w:val="left"/>
      <w:lvlText w:val="(%1)"/>
      <w:numFmt w:val="lowerLetter"/>
      <w:start w:val="35"/>
    </w:lvl>
    <w:lvl w:ilvl="1">
      <w:lvlJc w:val="left"/>
      <w:lvlText w:val="%2"/>
      <w:numFmt w:val="lowerLetter"/>
      <w:start w:val="1"/>
    </w:lvl>
  </w:abstractNum>
  <w:abstractNum w:abstractNumId="192">
    <w:nsid w:val="1DE8725A"/>
    <w:multiLevelType w:val="hybridMultilevel"/>
    <w:lvl w:ilvl="0">
      <w:lvlJc w:val="left"/>
      <w:lvlText w:val="(%1)"/>
      <w:numFmt w:val="lowerLetter"/>
      <w:start w:val="26"/>
    </w:lvl>
    <w:lvl w:ilvl="1">
      <w:lvlJc w:val="left"/>
      <w:lvlText w:val="%2"/>
      <w:numFmt w:val="lowerLetter"/>
      <w:start w:val="1"/>
    </w:lvl>
  </w:abstractNum>
  <w:abstractNum w:abstractNumId="193">
    <w:nsid w:val="6A37288A"/>
    <w:multiLevelType w:val="hybridMultilevel"/>
    <w:lvl w:ilvl="0">
      <w:lvlJc w:val="left"/>
      <w:lvlText w:val="(%1)"/>
      <w:numFmt w:val="lowerLetter"/>
      <w:start w:val="4"/>
    </w:lvl>
  </w:abstractNum>
  <w:abstractNum w:abstractNumId="194">
    <w:nsid w:val="8F8B73F"/>
    <w:multiLevelType w:val="hybridMultilevel"/>
    <w:lvl w:ilvl="0">
      <w:lvlJc w:val="left"/>
      <w:lvlText w:val="(%1)"/>
      <w:numFmt w:val="lowerLetter"/>
      <w:start w:val="1"/>
    </w:lvl>
  </w:abstractNum>
  <w:abstractNum w:abstractNumId="195">
    <w:nsid w:val="CA6B462"/>
    <w:multiLevelType w:val="hybridMultilevel"/>
    <w:lvl w:ilvl="0">
      <w:lvlJc w:val="left"/>
      <w:lvlText w:val="(%1)"/>
      <w:numFmt w:val="lowerRoman"/>
      <w:start w:val="1"/>
    </w:lvl>
  </w:abstractNum>
  <w:abstractNum w:abstractNumId="196">
    <w:nsid w:val="763CB680"/>
    <w:multiLevelType w:val="hybridMultilevel"/>
    <w:lvl w:ilvl="0">
      <w:lvlJc w:val="left"/>
      <w:lvlText w:val="(%1)"/>
      <w:numFmt w:val="lowerLetter"/>
      <w:start w:val="3"/>
    </w:lvl>
  </w:abstractNum>
  <w:abstractNum w:abstractNumId="197">
    <w:nsid w:val="15B71329"/>
    <w:multiLevelType w:val="hybridMultilevel"/>
    <w:lvl w:ilvl="0">
      <w:lvlJc w:val="left"/>
      <w:lvlText w:val="(%1)"/>
      <w:numFmt w:val="lowerLetter"/>
      <w:start w:val="4"/>
    </w:lvl>
  </w:abstractNum>
  <w:abstractNum w:abstractNumId="198">
    <w:nsid w:val="3DA970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9">
    <w:nsid w:val="1CDCE2DE"/>
    <w:multiLevelType w:val="hybridMultilevel"/>
    <w:lvl w:ilvl="0">
      <w:lvlJc w:val="left"/>
      <w:lvlText w:val="%1"/>
      <w:numFmt w:val="lowerRoman"/>
      <w:start w:val="1"/>
    </w:lvl>
    <w:lvl w:ilvl="1">
      <w:lvlJc w:val="left"/>
      <w:lvlText w:val="(%2)"/>
      <w:numFmt w:val="upperLetter"/>
      <w:start w:val="2"/>
    </w:lvl>
  </w:abstractNum>
  <w:abstractNum w:abstractNumId="200">
    <w:nsid w:val="69D3947C"/>
    <w:multiLevelType w:val="hybridMultilevel"/>
    <w:lvl w:ilvl="0">
      <w:lvlJc w:val="left"/>
      <w:lvlText w:val="(%1)"/>
      <w:numFmt w:val="lowerRoman"/>
      <w:start w:val="2"/>
    </w:lvl>
    <w:lvl w:ilvl="1">
      <w:lvlJc w:val="left"/>
      <w:lvlText w:val="(%2)"/>
      <w:numFmt w:val="upperLetter"/>
      <w:start w:val="1"/>
    </w:lvl>
  </w:abstractNum>
  <w:abstractNum w:abstractNumId="201">
    <w:nsid w:val="2539DFA5"/>
    <w:multiLevelType w:val="hybridMultilevel"/>
    <w:lvl w:ilvl="0">
      <w:lvlJc w:val="left"/>
      <w:lvlText w:val="(%1)"/>
      <w:numFmt w:val="lowerLetter"/>
      <w:start w:val="3"/>
    </w:lvl>
  </w:abstractNum>
  <w:abstractNum w:abstractNumId="202">
    <w:nsid w:val="2DB88089"/>
    <w:multiLevelType w:val="hybridMultilevel"/>
    <w:lvl w:ilvl="0">
      <w:lvlJc w:val="left"/>
      <w:lvlText w:val="(%1)"/>
      <w:numFmt w:val="lowerLetter"/>
      <w:start w:val="5"/>
    </w:lvl>
  </w:abstractNum>
  <w:abstractNum w:abstractNumId="203">
    <w:nsid w:val="706B674E"/>
    <w:multiLevelType w:val="hybridMultilevel"/>
    <w:lvl w:ilvl="0">
      <w:lvlJc w:val="left"/>
      <w:lvlText w:val="(%1)"/>
      <w:numFmt w:val="lowerLetter"/>
      <w:start w:val="6"/>
    </w:lvl>
  </w:abstractNum>
  <w:abstractNum w:abstractNumId="204">
    <w:nsid w:val="2C106A57"/>
    <w:multiLevelType w:val="hybridMultilevel"/>
    <w:lvl w:ilvl="0">
      <w:lvlJc w:val="left"/>
      <w:lvlText w:val="(%1)"/>
      <w:numFmt w:val="lowerLetter"/>
      <w:start w:val="7"/>
    </w:lvl>
  </w:abstractNum>
  <w:abstractNum w:abstractNumId="205">
    <w:nsid w:val="684EED59"/>
    <w:multiLevelType w:val="hybridMultilevel"/>
    <w:lvl w:ilvl="0">
      <w:lvlJc w:val="left"/>
      <w:lvlText w:val="(%1)"/>
      <w:numFmt w:val="lowerLetter"/>
      <w:start w:val="8"/>
    </w:lvl>
  </w:abstractNum>
  <w:abstractNum w:abstractNumId="206">
    <w:nsid w:val="545EE5D3"/>
    <w:multiLevelType w:val="hybridMultilevel"/>
    <w:lvl w:ilvl="0">
      <w:lvlJc w:val="left"/>
      <w:lvlText w:val="(%1)"/>
      <w:numFmt w:val="lowerLetter"/>
      <w:start w:val="1"/>
    </w:lvl>
  </w:abstractNum>
  <w:abstractNum w:abstractNumId="207">
    <w:nsid w:val="4A66051"/>
    <w:multiLevelType w:val="hybridMultilevel"/>
    <w:lvl w:ilvl="0">
      <w:lvlJc w:val="left"/>
      <w:lvlText w:val="(%1)"/>
      <w:numFmt w:val="lowerLetter"/>
      <w:start w:val="2"/>
    </w:lvl>
  </w:abstractNum>
  <w:abstractNum w:abstractNumId="208">
    <w:nsid w:val="20F4BDAD"/>
    <w:multiLevelType w:val="hybridMultilevel"/>
    <w:lvl w:ilvl="0">
      <w:lvlJc w:val="left"/>
      <w:lvlText w:val="(%1)"/>
      <w:numFmt w:val="lowerLetter"/>
      <w:start w:val="25"/>
    </w:lvl>
  </w:abstractNum>
  <w:abstractNum w:abstractNumId="209">
    <w:nsid w:val="639DEFAC"/>
    <w:multiLevelType w:val="hybridMultilevel"/>
    <w:lvl w:ilvl="0">
      <w:lvlJc w:val="left"/>
      <w:lvlText w:val="(%1)"/>
      <w:numFmt w:val="lowerLetter"/>
      <w:start w:val="1"/>
    </w:lvl>
  </w:abstractNum>
  <w:abstractNum w:abstractNumId="210">
    <w:nsid w:val="501F9786"/>
    <w:multiLevelType w:val="hybridMultilevel"/>
    <w:lvl w:ilvl="0">
      <w:lvlJc w:val="left"/>
      <w:lvlText w:val="(%1)"/>
      <w:numFmt w:val="upperLetter"/>
      <w:start w:val="2"/>
    </w:lvl>
  </w:abstractNum>
  <w:abstractNum w:abstractNumId="211">
    <w:nsid w:val="6B057295"/>
    <w:multiLevelType w:val="hybridMultilevel"/>
    <w:lvl w:ilvl="0">
      <w:lvlJc w:val="left"/>
      <w:lvlText w:val="(%1)"/>
      <w:numFmt w:val="lowerLetter"/>
      <w:start w:val="1"/>
    </w:lvl>
  </w:abstractNum>
  <w:abstractNum w:abstractNumId="212">
    <w:nsid w:val="2771AC80"/>
    <w:multiLevelType w:val="hybridMultilevel"/>
    <w:lvl w:ilvl="0">
      <w:lvlJc w:val="left"/>
      <w:lvlText w:val="%1"/>
      <w:numFmt w:val="lowerRoman"/>
      <w:start w:val="1"/>
    </w:lvl>
    <w:lvl w:ilvl="1">
      <w:lvlJc w:val="left"/>
      <w:lvlText w:val="(%2)"/>
      <w:numFmt w:val="lowerLetter"/>
      <w:start w:val="2"/>
    </w:lvl>
  </w:abstractNum>
  <w:abstractNum w:abstractNumId="213">
    <w:nsid w:val="1C4A08EC"/>
    <w:multiLevelType w:val="hybridMultilevel"/>
    <w:lvl w:ilvl="0">
      <w:lvlJc w:val="left"/>
      <w:lvlText w:val="(%1)"/>
      <w:numFmt w:val="lowerRoman"/>
      <w:start w:val="8"/>
    </w:lvl>
    <w:lvl w:ilvl="1">
      <w:lvlJc w:val="left"/>
      <w:lvlText w:val="%2"/>
      <w:numFmt w:val="lowerLetter"/>
      <w:start w:val="1"/>
    </w:lvl>
  </w:abstractNum>
  <w:abstractNum w:abstractNumId="214">
    <w:nsid w:val="1958BD17"/>
    <w:multiLevelType w:val="hybridMultilevel"/>
    <w:lvl w:ilvl="0">
      <w:lvlJc w:val="left"/>
      <w:lvlText w:val="(%1)"/>
      <w:numFmt w:val="lowerLetter"/>
      <w:start w:val="1"/>
    </w:lvl>
    <w:lvl w:ilvl="1">
      <w:lvlJc w:val="left"/>
      <w:lvlText w:val="(%2)"/>
      <w:numFmt w:val="lowerRoman"/>
      <w:start w:val="1"/>
    </w:lvl>
  </w:abstractNum>
  <w:abstractNum w:abstractNumId="215">
    <w:nsid w:val="4E647FE4"/>
    <w:multiLevelType w:val="hybridMultilevel"/>
    <w:lvl w:ilvl="0">
      <w:lvlJc w:val="left"/>
      <w:lvlText w:val="(%1)"/>
      <w:numFmt w:val="lowerRoman"/>
      <w:start w:val="3"/>
    </w:lvl>
  </w:abstractNum>
  <w:abstractNum w:abstractNumId="216">
    <w:nsid w:val="E0BB88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7">
    <w:nsid w:val="565976F1"/>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218">
    <w:nsid w:val="64212B8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9">
    <w:nsid w:val="5C17530C"/>
    <w:multiLevelType w:val="hybridMultilevel"/>
    <w:lvl w:ilvl="0">
      <w:lvlJc w:val="left"/>
      <w:lvlText w:val="%1"/>
      <w:numFmt w:val="lowerRoman"/>
      <w:start w:val="1"/>
    </w:lvl>
    <w:lvl w:ilvl="1">
      <w:lvlJc w:val="left"/>
      <w:lvlText w:val="(%2)"/>
      <w:numFmt w:val="upperLetter"/>
      <w:start w:val="2"/>
    </w:lvl>
  </w:abstractNum>
  <w:abstractNum w:abstractNumId="220">
    <w:nsid w:val="19A52566"/>
    <w:multiLevelType w:val="hybridMultilevel"/>
    <w:lvl w:ilvl="0">
      <w:lvlJc w:val="left"/>
      <w:lvlText w:val="(%1)"/>
      <w:numFmt w:val="lowerRoman"/>
      <w:start w:val="3"/>
    </w:lvl>
    <w:lvl w:ilvl="1">
      <w:lvlJc w:val="left"/>
      <w:lvlText w:val="%2"/>
      <w:numFmt w:val="upperLetter"/>
      <w:start w:val="1"/>
    </w:lvl>
  </w:abstractNum>
  <w:abstractNum w:abstractNumId="221">
    <w:nsid w:val="335A1DF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2023-01-24T15:40:31Z</dcterms:created>
  <dcterms:modified xsi:type="dcterms:W3CDTF">2023-01-24T15:40:31Z</dcterms:modified>
</cp:coreProperties>
</file>