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940" w:right="140" w:hanging="835"/>
        <w:spacing w:after="0" w:line="234" w:lineRule="auto"/>
        <w:tabs>
          <w:tab w:leader="none" w:pos="9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940" w:right="120" w:hanging="835"/>
        <w:spacing w:after="0" w:line="243" w:lineRule="auto"/>
        <w:tabs>
          <w:tab w:leader="none" w:pos="9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814-01543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Sixth Street Lending Partners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440" w:type="dxa"/>
        <w:tblCellMar>
          <w:top w:w="0" w:type="dxa"/>
          <w:left w:w="0" w:type="dxa"/>
          <w:bottom w:w="0" w:type="dxa"/>
          <w:right w:w="0" w:type="dxa"/>
        </w:tblCellMar>
      </w:tblPr>
      <w:tr>
        <w:trPr>
          <w:trHeight w:val="225"/>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61"/>
              <w:spacing w:after="0"/>
              <w:rPr>
                <w:sz w:val="20"/>
                <w:szCs w:val="20"/>
                <w:color w:val="auto"/>
              </w:rPr>
            </w:pPr>
            <w:r>
              <w:rPr>
                <w:rFonts w:ascii="Arial" w:cs="Arial" w:eastAsia="Arial" w:hAnsi="Arial"/>
                <w:sz w:val="18"/>
                <w:szCs w:val="18"/>
                <w:b w:val="1"/>
                <w:bCs w:val="1"/>
                <w:color w:val="auto"/>
              </w:rPr>
              <w:t>88-1710161</w:t>
            </w:r>
          </w:p>
        </w:tc>
      </w:tr>
      <w:tr>
        <w:trPr>
          <w:trHeight w:val="148"/>
        </w:trPr>
        <w:tc>
          <w:tcPr>
            <w:tcW w:w="4600" w:type="dxa"/>
            <w:vAlign w:val="bottom"/>
          </w:tcPr>
          <w:p>
            <w:pPr>
              <w:jc w:val="center"/>
              <w:ind w:righ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1759"/>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0"/>
              </w:rPr>
              <w:t>2100 McKinney Avenue, Suite 1500,</w:t>
            </w:r>
          </w:p>
        </w:tc>
        <w:tc>
          <w:tcPr>
            <w:tcW w:w="2960" w:type="dxa"/>
            <w:vAlign w:val="bottom"/>
          </w:tcPr>
          <w:p>
            <w:pPr>
              <w:spacing w:after="0"/>
              <w:rPr>
                <w:sz w:val="24"/>
                <w:szCs w:val="24"/>
                <w:color w:val="auto"/>
              </w:rPr>
            </w:pPr>
          </w:p>
        </w:tc>
      </w:tr>
      <w:tr>
        <w:trPr>
          <w:trHeight w:val="225"/>
        </w:trPr>
        <w:tc>
          <w:tcPr>
            <w:tcW w:w="4600" w:type="dxa"/>
            <w:vAlign w:val="bottom"/>
          </w:tcPr>
          <w:p>
            <w:pPr>
              <w:jc w:val="center"/>
              <w:ind w:right="1779"/>
              <w:spacing w:after="0"/>
              <w:rPr>
                <w:sz w:val="20"/>
                <w:szCs w:val="20"/>
                <w:color w:val="auto"/>
              </w:rPr>
            </w:pPr>
            <w:r>
              <w:rPr>
                <w:rFonts w:ascii="Arial" w:cs="Arial" w:eastAsia="Arial" w:hAnsi="Arial"/>
                <w:sz w:val="18"/>
                <w:szCs w:val="18"/>
                <w:b w:val="1"/>
                <w:bCs w:val="1"/>
                <w:color w:val="auto"/>
                <w:w w:val="95"/>
              </w:rPr>
              <w:t>Dallas, TX</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600" w:type="dxa"/>
            <w:vAlign w:val="bottom"/>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2" w:lineRule="exact"/>
        <w:rPr>
          <w:sz w:val="24"/>
          <w:szCs w:val="24"/>
          <w:color w:val="auto"/>
        </w:rPr>
      </w:pPr>
    </w:p>
    <w:tbl>
      <w:tblPr>
        <w:tblLayout w:type="fixed"/>
        <w:tblInd w:w="20" w:type="dxa"/>
        <w:tblCellMar>
          <w:top w:w="0" w:type="dxa"/>
          <w:left w:w="0" w:type="dxa"/>
          <w:bottom w:w="0" w:type="dxa"/>
          <w:right w:w="0" w:type="dxa"/>
        </w:tblCellMar>
      </w:tblPr>
      <w:tr>
        <w:trPr>
          <w:trHeight w:val="169"/>
        </w:trPr>
        <w:tc>
          <w:tcPr>
            <w:tcW w:w="2900" w:type="dxa"/>
            <w:vAlign w:val="bottom"/>
            <w:tcBorders>
              <w:bottom w:val="single" w:sz="8" w:color="auto"/>
            </w:tcBorders>
          </w:tcPr>
          <w:p>
            <w:pPr>
              <w:jc w:val="center"/>
              <w:ind w:left="739"/>
              <w:spacing w:after="0"/>
              <w:rPr>
                <w:sz w:val="20"/>
                <w:szCs w:val="20"/>
                <w:color w:val="auto"/>
              </w:rPr>
            </w:pPr>
            <w:r>
              <w:rPr>
                <w:rFonts w:ascii="Arial" w:cs="Arial" w:eastAsia="Arial" w:hAnsi="Arial"/>
                <w:sz w:val="14"/>
                <w:szCs w:val="14"/>
                <w:b w:val="1"/>
                <w:bCs w:val="1"/>
                <w:color w:val="auto"/>
                <w:w w:val="89"/>
              </w:rPr>
              <w:t>Title of each class</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Trading Symbol</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439"/>
        </w:trPr>
        <w:tc>
          <w:tcPr>
            <w:tcW w:w="2900" w:type="dxa"/>
            <w:vAlign w:val="bottom"/>
          </w:tcPr>
          <w:p>
            <w:pPr>
              <w:jc w:val="center"/>
              <w:ind w:left="739"/>
              <w:spacing w:after="0"/>
              <w:rPr>
                <w:sz w:val="20"/>
                <w:szCs w:val="20"/>
                <w:color w:val="auto"/>
              </w:rPr>
            </w:pPr>
            <w:r>
              <w:rPr>
                <w:rFonts w:ascii="Arial" w:cs="Arial" w:eastAsia="Arial" w:hAnsi="Arial"/>
                <w:sz w:val="18"/>
                <w:szCs w:val="18"/>
                <w:b w:val="1"/>
                <w:bCs w:val="1"/>
                <w:color w:val="auto"/>
                <w:w w:val="88"/>
              </w:rPr>
              <w:t>None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8"/>
              </w:rPr>
              <w:t>None</w:t>
            </w:r>
          </w:p>
        </w:tc>
        <w:tc>
          <w:tcPr>
            <w:tcW w:w="3260" w:type="dxa"/>
            <w:vAlign w:val="bottom"/>
          </w:tcPr>
          <w:p>
            <w:pPr>
              <w:ind w:left="1220"/>
              <w:spacing w:after="0"/>
              <w:rPr>
                <w:sz w:val="20"/>
                <w:szCs w:val="20"/>
                <w:color w:val="auto"/>
              </w:rPr>
            </w:pPr>
            <w:r>
              <w:rPr>
                <w:rFonts w:ascii="Arial" w:cs="Arial" w:eastAsia="Arial" w:hAnsi="Arial"/>
                <w:sz w:val="18"/>
                <w:szCs w:val="18"/>
                <w:b w:val="1"/>
                <w:bCs w:val="1"/>
                <w:color w:val="auto"/>
              </w:rPr>
              <w:t>None</w:t>
            </w:r>
          </w:p>
        </w:tc>
      </w:tr>
      <w:tr>
        <w:trPr>
          <w:trHeight w:val="420"/>
        </w:trPr>
        <w:tc>
          <w:tcPr>
            <w:tcW w:w="2900" w:type="dxa"/>
            <w:vAlign w:val="bottom"/>
          </w:tcPr>
          <w:p>
            <w:pPr>
              <w:spacing w:after="0"/>
              <w:rPr>
                <w:sz w:val="24"/>
                <w:szCs w:val="24"/>
                <w:color w:val="auto"/>
              </w:rPr>
            </w:pPr>
          </w:p>
        </w:tc>
        <w:tc>
          <w:tcPr>
            <w:tcW w:w="504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3260" w:type="dxa"/>
            <w:vAlign w:val="bottom"/>
          </w:tcPr>
          <w:p>
            <w:pPr>
              <w:spacing w:after="0"/>
              <w:rPr>
                <w:sz w:val="24"/>
                <w:szCs w:val="24"/>
                <w:color w:val="auto"/>
              </w:rPr>
            </w:pPr>
          </w:p>
        </w:tc>
      </w:tr>
    </w:tbl>
    <w:p>
      <w:pPr>
        <w:jc w:val="center"/>
        <w:ind w:right="-19"/>
        <w:spacing w:after="0" w:line="234" w:lineRule="auto"/>
        <w:rPr>
          <w:sz w:val="20"/>
          <w:szCs w:val="20"/>
          <w:color w:val="auto"/>
        </w:rPr>
      </w:pPr>
      <w:r>
        <w:rPr>
          <w:rFonts w:ascii="Arial" w:cs="Arial" w:eastAsia="Arial" w:hAnsi="Arial"/>
          <w:sz w:val="18"/>
          <w:szCs w:val="18"/>
          <w:b w:val="1"/>
          <w:bCs w:val="1"/>
          <w:color w:val="auto"/>
        </w:rPr>
        <w:t>Common shares of beneficial interest, par value $0.001 per share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278765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20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4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755" w:right="359" w:bottom="1440" w:gutter="0" w:footer="0" w:header="0"/>
        </w:sectPr>
      </w:pPr>
    </w:p>
    <w:p>
      <w:pPr>
        <w:spacing w:after="0" w:line="133" w:lineRule="exact"/>
        <w:rPr>
          <w:sz w:val="24"/>
          <w:szCs w:val="24"/>
          <w:color w:val="auto"/>
        </w:rPr>
      </w:pPr>
    </w:p>
    <w:p>
      <w:pPr>
        <w:ind w:left="20"/>
        <w:spacing w:after="0" w:line="161" w:lineRule="exact"/>
        <w:tabs>
          <w:tab w:leader="none" w:pos="2900" w:val="left"/>
          <w:tab w:leader="none" w:pos="79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49" w:lineRule="exact"/>
        <w:rPr>
          <w:sz w:val="24"/>
          <w:szCs w:val="24"/>
          <w:color w:val="auto"/>
        </w:rPr>
      </w:pPr>
    </w:p>
    <w:p>
      <w:pPr>
        <w:ind w:left="20"/>
        <w:spacing w:after="0" w:line="161" w:lineRule="exact"/>
        <w:tabs>
          <w:tab w:leader="none" w:pos="2900" w:val="left"/>
          <w:tab w:leader="none" w:pos="79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31" w:lineRule="exact"/>
        <w:rPr>
          <w:sz w:val="24"/>
          <w:szCs w:val="24"/>
          <w:color w:val="auto"/>
        </w:rPr>
      </w:pPr>
    </w:p>
    <w:p>
      <w:pPr>
        <w:ind w:left="7940"/>
        <w:spacing w:after="0"/>
        <w:rPr>
          <w:sz w:val="20"/>
          <w:szCs w:val="20"/>
          <w:color w:val="auto"/>
        </w:rPr>
      </w:pPr>
      <w:r>
        <w:rPr>
          <w:rFonts w:ascii="Arial" w:cs="Arial" w:eastAsia="Arial" w:hAnsi="Arial"/>
          <w:sz w:val="14"/>
          <w:szCs w:val="14"/>
          <w:color w:val="auto"/>
        </w:rPr>
        <w:t>Emerging growth company</w:t>
      </w:r>
    </w:p>
    <w:p>
      <w:pPr>
        <w:spacing w:after="0" w:line="86"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294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$.001 par value per share, outstanding at November 10, 2022 was 14,886,052.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120"/>
            <w:col w:w="420"/>
          </w:cols>
          <w:pgMar w:left="320" w:top="755" w:right="3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INDEX</w:t>
            </w:r>
          </w:p>
        </w:tc>
        <w:tc>
          <w:tcPr>
            <w:tcW w:w="1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gridSpan w:val="7"/>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PART I.</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FINANCIAL INFORMATION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Consolidated Balance Sheet as of September 30, 2022 (Unaudited)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w w:val="93"/>
              </w:rPr>
              <w:t>Consolidated Statements of Operations for the three months ended September 30, 2022 and the period from April 5, 2022</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88"/>
              </w:rPr>
              <w:t>(Inception) to June 30, 2022 (Unaudited)</w:t>
            </w:r>
          </w:p>
        </w:tc>
        <w:tc>
          <w:tcPr>
            <w:tcW w:w="20" w:type="dxa"/>
            <w:vAlign w:val="bottom"/>
            <w:tcBorders>
              <w:top w:val="single" w:sz="8" w:color="0000FF"/>
              <w:bottom w:val="single" w:sz="8" w:color="0000EE"/>
            </w:tcBorders>
          </w:tcPr>
          <w:p>
            <w:pPr>
              <w:spacing w:after="0"/>
              <w:rPr>
                <w:sz w:val="14"/>
                <w:szCs w:val="14"/>
                <w:color w:val="auto"/>
              </w:rPr>
            </w:pPr>
          </w:p>
        </w:tc>
        <w:tc>
          <w:tcPr>
            <w:tcW w:w="5820" w:type="dxa"/>
            <w:vAlign w:val="bottom"/>
            <w:tcBorders>
              <w:top w:val="single" w:sz="8" w:color="0000FF"/>
            </w:tcBorders>
            <w:gridSpan w:val="8"/>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Consolidated Schedule of Investments as of September 30, 2022 (Unaudited)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w w:val="90"/>
              </w:rPr>
              <w:t>Consolidated Statements of Changes in Net Assets for the three months ended September 30, 2022 and the period from April</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98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5, 2022 (Inception) to June 30, 2022 (Unaudited)</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w w:val="96"/>
              </w:rPr>
              <w:t>Consolidated Statement of Cash Flows for the period from April 5, 2022 (Inception) to September 30, 2022 (Unaudited)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Notes to Consolidated Financial Statements (Unaudited)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840" w:type="dxa"/>
            <w:vAlign w:val="bottom"/>
            <w:tcBorders>
              <w:left w:val="single" w:sz="8" w:color="0000FF"/>
            </w:tcBorders>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PART II.</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860" w:type="dxa"/>
            <w:vAlign w:val="bottom"/>
            <w:gridSpan w:val="1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8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0" w:type="dxa"/>
            <w:vAlign w:val="bottom"/>
            <w:gridSpan w:val="19"/>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40" w:type="dxa"/>
            <w:vAlign w:val="bottom"/>
            <w:gridSpan w:val="23"/>
          </w:tcPr>
          <w:p>
            <w:pPr>
              <w:ind w:left="20"/>
              <w:spacing w:after="0"/>
              <w:rPr>
                <w:sz w:val="20"/>
                <w:szCs w:val="20"/>
                <w:color w:val="auto"/>
              </w:rPr>
            </w:pPr>
            <w:r>
              <w:rPr>
                <w:rFonts w:ascii="Arial" w:cs="Arial" w:eastAsia="Arial" w:hAnsi="Arial"/>
                <w:sz w:val="18"/>
                <w:szCs w:val="18"/>
                <w:color w:val="0000FF"/>
              </w:rPr>
              <w:t>SIGNATURES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175"/>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6" w:lineRule="exact"/>
        <w:rPr>
          <w:sz w:val="20"/>
          <w:szCs w:val="20"/>
          <w:color w:val="auto"/>
        </w:rPr>
      </w:pPr>
    </w:p>
    <w:p>
      <w:pPr>
        <w:ind w:right="100" w:firstLine="255"/>
        <w:spacing w:after="0" w:line="265"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2" w:lineRule="exact"/>
        <w:rPr>
          <w:sz w:val="20"/>
          <w:szCs w:val="20"/>
          <w:color w:val="auto"/>
        </w:rPr>
      </w:pPr>
    </w:p>
    <w:p>
      <w:pPr>
        <w:ind w:right="120" w:firstLine="255"/>
        <w:spacing w:after="0"/>
        <w:rPr>
          <w:sz w:val="20"/>
          <w:szCs w:val="20"/>
          <w:color w:val="auto"/>
        </w:rPr>
      </w:pPr>
      <w:r>
        <w:rPr>
          <w:rFonts w:ascii="Arial" w:cs="Arial" w:eastAsia="Arial" w:hAnsi="Arial"/>
          <w:sz w:val="18"/>
          <w:szCs w:val="18"/>
          <w:color w:val="auto"/>
        </w:rPr>
        <w:t>In addition to factors previously identified elsewhere in the reports and other documents Sixth Street Lending Partners (the “Company”, “we”, “us” or “our”) has filed with the U.S. Securities and Exchange Commission, or "SEC", the following factors, among others, could cause actual results to differ materially from forward-looking statements or historical performance:</w:t>
      </w:r>
    </w:p>
    <w:p>
      <w:pPr>
        <w:spacing w:after="0" w:line="81" w:lineRule="exact"/>
        <w:rPr>
          <w:sz w:val="20"/>
          <w:szCs w:val="20"/>
          <w:color w:val="auto"/>
        </w:rPr>
      </w:pPr>
    </w:p>
    <w:p>
      <w:pPr>
        <w:ind w:left="520" w:right="500" w:hanging="257"/>
        <w:spacing w:after="0" w:line="274"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53" w:lineRule="exact"/>
        <w:rPr>
          <w:rFonts w:ascii="Arial" w:cs="Arial" w:eastAsia="Arial" w:hAnsi="Arial"/>
          <w:sz w:val="17"/>
          <w:szCs w:val="17"/>
          <w:color w:val="auto"/>
        </w:rPr>
      </w:pPr>
    </w:p>
    <w:p>
      <w:pPr>
        <w:ind w:left="520" w:right="200" w:hanging="257"/>
        <w:spacing w:after="0" w:line="307"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8" w:lineRule="exact"/>
        <w:rPr>
          <w:rFonts w:ascii="Arial" w:cs="Arial" w:eastAsia="Arial" w:hAnsi="Arial"/>
          <w:sz w:val="16"/>
          <w:szCs w:val="16"/>
          <w:color w:val="auto"/>
        </w:rPr>
      </w:pPr>
    </w:p>
    <w:p>
      <w:pPr>
        <w:ind w:left="520" w:hanging="257"/>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520" w:hanging="257"/>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w:t>
      </w:r>
    </w:p>
    <w:p>
      <w:pPr>
        <w:spacing w:after="0" w:line="103" w:lineRule="exact"/>
        <w:rPr>
          <w:rFonts w:ascii="Arial" w:cs="Arial" w:eastAsia="Arial" w:hAnsi="Arial"/>
          <w:sz w:val="18"/>
          <w:szCs w:val="18"/>
          <w:color w:val="auto"/>
        </w:rPr>
      </w:pPr>
    </w:p>
    <w:p>
      <w:pPr>
        <w:ind w:left="520" w:right="180" w:hanging="257"/>
        <w:spacing w:after="0" w:line="246"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could negatively impact our business, including our ability to access the debt markets on favorable terms, or could negatively impact our portfolio companies; and</w:t>
      </w:r>
    </w:p>
    <w:p>
      <w:pPr>
        <w:spacing w:after="0" w:line="75" w:lineRule="exact"/>
        <w:rPr>
          <w:rFonts w:ascii="Arial" w:cs="Arial" w:eastAsia="Arial" w:hAnsi="Arial"/>
          <w:sz w:val="18"/>
          <w:szCs w:val="18"/>
          <w:color w:val="auto"/>
        </w:rPr>
      </w:pPr>
    </w:p>
    <w:p>
      <w:pPr>
        <w:ind w:left="520" w:hanging="257"/>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report and elsewhere in our filings with the SEC.</w:t>
      </w:r>
    </w:p>
    <w:p>
      <w:pPr>
        <w:spacing w:after="0" w:line="221" w:lineRule="exact"/>
        <w:rPr>
          <w:sz w:val="20"/>
          <w:szCs w:val="20"/>
          <w:color w:val="auto"/>
        </w:rPr>
      </w:pPr>
    </w:p>
    <w:p>
      <w:pPr>
        <w:ind w:firstLine="255"/>
        <w:spacing w:after="0" w:line="250"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1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Consolidated Balance Sheet</w:t>
      </w:r>
    </w:p>
    <w:p>
      <w:pPr>
        <w:spacing w:after="0" w:line="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(Amounts in thousands, except share and per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8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0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94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Non-controlled, non-affiliated investments (amortized cost of $104,196)</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104,455</w:t>
            </w:r>
          </w:p>
        </w:tc>
        <w:tc>
          <w:tcPr>
            <w:tcW w:w="100" w:type="dxa"/>
            <w:vAlign w:val="bottom"/>
            <w:shd w:val="clear" w:color="auto" w:fill="CFF0FC"/>
          </w:tcPr>
          <w:p>
            <w:pPr>
              <w:spacing w:after="0"/>
              <w:rPr>
                <w:sz w:val="18"/>
                <w:szCs w:val="18"/>
                <w:color w:val="auto"/>
              </w:rPr>
            </w:pPr>
          </w:p>
        </w:tc>
      </w:tr>
      <w:tr>
        <w:trPr>
          <w:trHeight w:val="216"/>
        </w:trPr>
        <w:tc>
          <w:tcPr>
            <w:tcW w:w="8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291,369</w:t>
            </w:r>
          </w:p>
        </w:tc>
        <w:tc>
          <w:tcPr>
            <w:tcW w:w="100" w:type="dxa"/>
            <w:vAlign w:val="bottom"/>
          </w:tcPr>
          <w:p>
            <w:pPr>
              <w:spacing w:after="0"/>
              <w:rPr>
                <w:sz w:val="18"/>
                <w:szCs w:val="18"/>
                <w:color w:val="auto"/>
              </w:rPr>
            </w:pPr>
          </w:p>
        </w:tc>
      </w:tr>
      <w:tr>
        <w:trPr>
          <w:trHeight w:val="216"/>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receivable</w:t>
            </w:r>
          </w:p>
        </w:tc>
        <w:tc>
          <w:tcPr>
            <w:tcW w:w="3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FF0FC"/>
          </w:tcPr>
          <w:p>
            <w:pPr>
              <w:spacing w:after="0"/>
              <w:rPr>
                <w:sz w:val="18"/>
                <w:szCs w:val="18"/>
                <w:color w:val="auto"/>
              </w:rPr>
            </w:pPr>
          </w:p>
        </w:tc>
      </w:tr>
      <w:tr>
        <w:trPr>
          <w:trHeight w:val="216"/>
        </w:trPr>
        <w:tc>
          <w:tcPr>
            <w:tcW w:w="894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r>
      <w:tr>
        <w:trPr>
          <w:trHeight w:val="249"/>
        </w:trPr>
        <w:tc>
          <w:tcPr>
            <w:tcW w:w="8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397,328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9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(net of deferred financing costs of $2,493)</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214,704</w:t>
            </w:r>
          </w:p>
        </w:tc>
        <w:tc>
          <w:tcPr>
            <w:tcW w:w="100" w:type="dxa"/>
            <w:vAlign w:val="bottom"/>
            <w:shd w:val="clear" w:color="auto" w:fill="CFF0FC"/>
          </w:tcPr>
          <w:p>
            <w:pPr>
              <w:spacing w:after="0"/>
              <w:rPr>
                <w:sz w:val="18"/>
                <w:szCs w:val="18"/>
                <w:color w:val="auto"/>
              </w:rPr>
            </w:pPr>
          </w:p>
        </w:tc>
      </w:tr>
      <w:tr>
        <w:trPr>
          <w:trHeight w:val="216"/>
        </w:trPr>
        <w:tc>
          <w:tcPr>
            <w:tcW w:w="8940" w:type="dxa"/>
            <w:vAlign w:val="bottom"/>
          </w:tcPr>
          <w:p>
            <w:pPr>
              <w:ind w:left="20"/>
              <w:spacing w:after="0"/>
              <w:rPr>
                <w:sz w:val="20"/>
                <w:szCs w:val="20"/>
                <w:color w:val="auto"/>
              </w:rPr>
            </w:pPr>
            <w:r>
              <w:rPr>
                <w:rFonts w:ascii="Arial" w:cs="Arial" w:eastAsia="Arial" w:hAnsi="Arial"/>
                <w:sz w:val="18"/>
                <w:szCs w:val="18"/>
                <w:color w:val="auto"/>
              </w:rPr>
              <w:t>Management fees payable to affiliate</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Incentive fees on net capital gains accrued to affiliate</w:t>
            </w:r>
          </w:p>
        </w:tc>
        <w:tc>
          <w:tcPr>
            <w:tcW w:w="3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8"/>
                <w:szCs w:val="18"/>
                <w:color w:val="auto"/>
              </w:rPr>
            </w:pPr>
          </w:p>
        </w:tc>
      </w:tr>
      <w:tr>
        <w:trPr>
          <w:trHeight w:val="216"/>
        </w:trPr>
        <w:tc>
          <w:tcPr>
            <w:tcW w:w="8940" w:type="dxa"/>
            <w:vAlign w:val="bottom"/>
          </w:tcPr>
          <w:p>
            <w:pPr>
              <w:ind w:left="20"/>
              <w:spacing w:after="0"/>
              <w:rPr>
                <w:sz w:val="20"/>
                <w:szCs w:val="20"/>
                <w:color w:val="auto"/>
              </w:rPr>
            </w:pPr>
            <w:r>
              <w:rPr>
                <w:rFonts w:ascii="Arial" w:cs="Arial" w:eastAsia="Arial" w:hAnsi="Arial"/>
                <w:sz w:val="18"/>
                <w:szCs w:val="18"/>
                <w:color w:val="auto"/>
              </w:rPr>
              <w:t>Other payables to affiliate</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8"/>
                <w:szCs w:val="18"/>
                <w:color w:val="auto"/>
              </w:rPr>
            </w:pPr>
          </w:p>
        </w:tc>
      </w:tr>
      <w:tr>
        <w:trPr>
          <w:trHeight w:val="216"/>
        </w:trPr>
        <w:tc>
          <w:tcPr>
            <w:tcW w:w="8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940" w:type="dxa"/>
            <w:vAlign w:val="bottom"/>
          </w:tcPr>
          <w:p>
            <w:pPr>
              <w:ind w:left="38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218,000</w:t>
            </w:r>
          </w:p>
        </w:tc>
        <w:tc>
          <w:tcPr>
            <w:tcW w:w="100" w:type="dxa"/>
            <w:vAlign w:val="bottom"/>
          </w:tcPr>
          <w:p>
            <w:pPr>
              <w:spacing w:after="0"/>
              <w:rPr>
                <w:sz w:val="18"/>
                <w:szCs w:val="18"/>
                <w:color w:val="auto"/>
              </w:rPr>
            </w:pPr>
          </w:p>
        </w:tc>
      </w:tr>
      <w:tr>
        <w:trPr>
          <w:trHeight w:val="210"/>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7)</w:t>
            </w:r>
          </w:p>
        </w:tc>
        <w:tc>
          <w:tcPr>
            <w:tcW w:w="3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Net Assets</w:t>
            </w: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89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Common shares, $0.001 par value; unlimited shares authorized, 7,287,800</w:t>
            </w:r>
          </w:p>
        </w:tc>
        <w:tc>
          <w:tcPr>
            <w:tcW w:w="38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43"/>
        </w:trPr>
        <w:tc>
          <w:tcPr>
            <w:tcW w:w="8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shares issued and outstanding</w:t>
            </w:r>
          </w:p>
        </w:tc>
        <w:tc>
          <w:tcPr>
            <w:tcW w:w="3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21"/>
                <w:szCs w:val="21"/>
                <w:color w:val="auto"/>
              </w:rPr>
            </w:pPr>
          </w:p>
        </w:tc>
      </w:tr>
      <w:tr>
        <w:trPr>
          <w:trHeight w:val="216"/>
        </w:trPr>
        <w:tc>
          <w:tcPr>
            <w:tcW w:w="89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180,529</w:t>
            </w:r>
          </w:p>
        </w:tc>
        <w:tc>
          <w:tcPr>
            <w:tcW w:w="100" w:type="dxa"/>
            <w:vAlign w:val="bottom"/>
          </w:tcPr>
          <w:p>
            <w:pPr>
              <w:spacing w:after="0"/>
              <w:rPr>
                <w:sz w:val="18"/>
                <w:szCs w:val="18"/>
                <w:color w:val="auto"/>
              </w:rPr>
            </w:pPr>
          </w:p>
        </w:tc>
      </w:tr>
      <w:tr>
        <w:trPr>
          <w:trHeight w:val="216"/>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net loss</w:t>
            </w:r>
          </w:p>
        </w:tc>
        <w:tc>
          <w:tcPr>
            <w:tcW w:w="38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(1,274 )</w:t>
            </w:r>
          </w:p>
        </w:tc>
      </w:tr>
      <w:tr>
        <w:trPr>
          <w:trHeight w:val="210"/>
        </w:trPr>
        <w:tc>
          <w:tcPr>
            <w:tcW w:w="8940" w:type="dxa"/>
            <w:vAlign w:val="bottom"/>
            <w:tcBorders>
              <w:top w:val="single" w:sz="8" w:color="CFF0FC"/>
            </w:tcBorders>
          </w:tcPr>
          <w:p>
            <w:pPr>
              <w:ind w:left="380"/>
              <w:spacing w:after="0"/>
              <w:rPr>
                <w:sz w:val="20"/>
                <w:szCs w:val="20"/>
                <w:color w:val="auto"/>
              </w:rPr>
            </w:pPr>
            <w:r>
              <w:rPr>
                <w:rFonts w:ascii="Arial" w:cs="Arial" w:eastAsia="Arial" w:hAnsi="Arial"/>
                <w:sz w:val="18"/>
                <w:szCs w:val="18"/>
                <w:b w:val="1"/>
                <w:bCs w:val="1"/>
                <w:color w:val="auto"/>
              </w:rPr>
              <w:t>Total Net Assets</w:t>
            </w:r>
          </w:p>
        </w:tc>
        <w:tc>
          <w:tcPr>
            <w:tcW w:w="38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179,328</w:t>
            </w:r>
          </w:p>
        </w:tc>
        <w:tc>
          <w:tcPr>
            <w:tcW w:w="100" w:type="dxa"/>
            <w:vAlign w:val="bottom"/>
            <w:tcBorders>
              <w:top w:val="single" w:sz="8" w:color="CFF0FC"/>
            </w:tcBorders>
          </w:tcPr>
          <w:p>
            <w:pPr>
              <w:spacing w:after="0"/>
              <w:rPr>
                <w:sz w:val="18"/>
                <w:szCs w:val="18"/>
                <w:color w:val="auto"/>
              </w:rPr>
            </w:pPr>
          </w:p>
        </w:tc>
      </w:tr>
      <w:tr>
        <w:trPr>
          <w:trHeight w:val="250"/>
        </w:trPr>
        <w:tc>
          <w:tcPr>
            <w:tcW w:w="8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 and Net Assets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397,328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894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Net Asset Value Per Share</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24.61</w:t>
            </w:r>
          </w:p>
        </w:tc>
        <w:tc>
          <w:tcPr>
            <w:tcW w:w="100" w:type="dxa"/>
            <w:vAlign w:val="bottom"/>
          </w:tcPr>
          <w:p>
            <w:pPr>
              <w:spacing w:after="0"/>
              <w:rPr>
                <w:sz w:val="17"/>
                <w:szCs w:val="17"/>
                <w:color w:val="auto"/>
              </w:rPr>
            </w:pPr>
          </w:p>
        </w:tc>
      </w:tr>
      <w:tr>
        <w:trPr>
          <w:trHeight w:val="20"/>
        </w:trPr>
        <w:tc>
          <w:tcPr>
            <w:tcW w:w="8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-2288540</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vMerge w:val="restart"/>
          </w:tcPr>
          <w:p>
            <w:pPr>
              <w:jc w:val="right"/>
              <w:ind w:right="468"/>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From April 5, 2022</w:t>
            </w:r>
          </w:p>
        </w:tc>
        <w:tc>
          <w:tcPr>
            <w:tcW w:w="0" w:type="dxa"/>
            <w:vAlign w:val="bottom"/>
          </w:tcPr>
          <w:p>
            <w:pPr>
              <w:spacing w:after="0"/>
              <w:rPr>
                <w:sz w:val="1"/>
                <w:szCs w:val="1"/>
                <w:color w:val="auto"/>
              </w:rPr>
            </w:pPr>
          </w:p>
        </w:tc>
      </w:tr>
      <w:tr>
        <w:trPr>
          <w:trHeight w:val="176"/>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85"/>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w w:val="99"/>
              </w:rPr>
              <w:t>September 30, 2022</w:t>
            </w:r>
          </w:p>
        </w:tc>
        <w:tc>
          <w:tcPr>
            <w:tcW w:w="20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69"/>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top w:val="single" w:sz="8" w:color="auto"/>
            </w:tcBorders>
            <w:shd w:val="clear" w:color="auto" w:fill="CFF0FC"/>
          </w:tcPr>
          <w:p>
            <w:pPr>
              <w:spacing w:after="0"/>
              <w:rPr>
                <w:sz w:val="14"/>
                <w:szCs w:val="14"/>
                <w:color w:val="auto"/>
              </w:rPr>
            </w:pPr>
          </w:p>
        </w:tc>
        <w:tc>
          <w:tcPr>
            <w:tcW w:w="16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40" w:type="dxa"/>
            <w:vAlign w:val="bottom"/>
          </w:tcPr>
          <w:p>
            <w:pPr>
              <w:ind w:left="20"/>
              <w:spacing w:after="0"/>
              <w:rPr>
                <w:sz w:val="20"/>
                <w:szCs w:val="20"/>
                <w:color w:val="auto"/>
              </w:rPr>
            </w:pPr>
            <w:r>
              <w:rPr>
                <w:rFonts w:ascii="Arial" w:cs="Arial" w:eastAsia="Arial" w:hAnsi="Arial"/>
                <w:sz w:val="14"/>
                <w:szCs w:val="14"/>
                <w:color w:val="auto"/>
              </w:rPr>
              <w:t>Investment income from non-controlled, non-affiliated investments:</w:t>
            </w: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from investments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4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Total Investment Income</w:t>
            </w:r>
          </w:p>
        </w:tc>
        <w:tc>
          <w:tcPr>
            <w:tcW w:w="180" w:type="dxa"/>
            <w:vAlign w:val="bottom"/>
            <w:tcBorders>
              <w:bottom w:val="single" w:sz="8" w:color="auto"/>
            </w:tcBorders>
            <w:shd w:val="clear" w:color="auto" w:fill="CFF0FC"/>
          </w:tcPr>
          <w:p>
            <w:pPr>
              <w:spacing w:after="0"/>
              <w:rPr>
                <w:sz w:val="14"/>
                <w:szCs w:val="1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966</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w:t>
            </w:r>
          </w:p>
        </w:tc>
        <w:tc>
          <w:tcPr>
            <w:tcW w:w="18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20"/>
              <w:spacing w:after="0"/>
              <w:rPr>
                <w:sz w:val="20"/>
                <w:szCs w:val="20"/>
                <w:color w:val="auto"/>
              </w:rPr>
            </w:pPr>
            <w:r>
              <w:rPr>
                <w:rFonts w:ascii="Arial" w:cs="Arial" w:eastAsia="Arial" w:hAnsi="Arial"/>
                <w:sz w:val="14"/>
                <w:szCs w:val="14"/>
                <w:color w:val="auto"/>
              </w:rPr>
              <w:t>Management fees</w:t>
            </w: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407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Incentive fees on net capital gains</w:t>
            </w:r>
          </w:p>
        </w:tc>
        <w:tc>
          <w:tcPr>
            <w:tcW w:w="18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40" w:type="dxa"/>
            <w:vAlign w:val="bottom"/>
          </w:tcPr>
          <w:p>
            <w:pPr>
              <w:ind w:left="20"/>
              <w:spacing w:after="0"/>
              <w:rPr>
                <w:sz w:val="20"/>
                <w:szCs w:val="20"/>
                <w:color w:val="auto"/>
              </w:rPr>
            </w:pPr>
            <w:r>
              <w:rPr>
                <w:rFonts w:ascii="Arial" w:cs="Arial" w:eastAsia="Arial" w:hAnsi="Arial"/>
                <w:sz w:val="14"/>
                <w:szCs w:val="14"/>
                <w:color w:val="auto"/>
              </w:rPr>
              <w:t>Organizational fees</w:t>
            </w: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482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Offering fees</w:t>
            </w:r>
          </w:p>
        </w:tc>
        <w:tc>
          <w:tcPr>
            <w:tcW w:w="18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4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272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Trustees’ fees</w:t>
            </w:r>
          </w:p>
        </w:tc>
        <w:tc>
          <w:tcPr>
            <w:tcW w:w="18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40" w:type="dxa"/>
            <w:vAlign w:val="bottom"/>
          </w:tcPr>
          <w:p>
            <w:pPr>
              <w:ind w:left="20"/>
              <w:spacing w:after="0"/>
              <w:rPr>
                <w:sz w:val="20"/>
                <w:szCs w:val="20"/>
                <w:color w:val="auto"/>
              </w:rPr>
            </w:pPr>
            <w:r>
              <w:rPr>
                <w:rFonts w:ascii="Arial" w:cs="Arial" w:eastAsia="Arial" w:hAnsi="Arial"/>
                <w:sz w:val="14"/>
                <w:szCs w:val="14"/>
                <w:color w:val="auto"/>
              </w:rPr>
              <w:t>Other general and administrative</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shd w:val="clear" w:color="auto" w:fill="CFF0FC"/>
          </w:tcPr>
          <w:p>
            <w:pPr>
              <w:spacing w:after="0"/>
              <w:rPr>
                <w:sz w:val="14"/>
                <w:szCs w:val="1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2,054</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2,997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40" w:type="dxa"/>
            <w:vAlign w:val="bottom"/>
          </w:tcPr>
          <w:p>
            <w:pPr>
              <w:ind w:left="20"/>
              <w:spacing w:after="0"/>
              <w:rPr>
                <w:sz w:val="20"/>
                <w:szCs w:val="20"/>
                <w:color w:val="auto"/>
              </w:rPr>
            </w:pPr>
            <w:r>
              <w:rPr>
                <w:rFonts w:ascii="Arial" w:cs="Arial" w:eastAsia="Arial" w:hAnsi="Arial"/>
                <w:sz w:val="14"/>
                <w:szCs w:val="14"/>
                <w:color w:val="auto"/>
              </w:rPr>
              <w:t>Management fees waived (Note 3)</w:t>
            </w:r>
          </w:p>
        </w:tc>
        <w:tc>
          <w:tcPr>
            <w:tcW w:w="180" w:type="dxa"/>
            <w:vAlign w:val="bottom"/>
          </w:tcPr>
          <w:p>
            <w:pPr>
              <w:spacing w:after="0"/>
              <w:rPr>
                <w:sz w:val="14"/>
                <w:szCs w:val="14"/>
                <w:color w:val="auto"/>
              </w:rPr>
            </w:pPr>
          </w:p>
        </w:tc>
        <w:tc>
          <w:tcPr>
            <w:tcW w:w="1920" w:type="dxa"/>
            <w:vAlign w:val="bottom"/>
            <w:gridSpan w:val="2"/>
          </w:tcPr>
          <w:p>
            <w:pPr>
              <w:jc w:val="right"/>
              <w:ind w:right="148"/>
              <w:spacing w:after="0"/>
              <w:rPr>
                <w:sz w:val="20"/>
                <w:szCs w:val="20"/>
                <w:color w:val="auto"/>
              </w:rPr>
            </w:pPr>
            <w:r>
              <w:rPr>
                <w:rFonts w:ascii="Arial" w:cs="Arial" w:eastAsia="Arial" w:hAnsi="Arial"/>
                <w:sz w:val="14"/>
                <w:szCs w:val="14"/>
                <w:color w:val="auto"/>
              </w:rPr>
              <w:t>(381 )</w:t>
            </w:r>
          </w:p>
        </w:tc>
        <w:tc>
          <w:tcPr>
            <w:tcW w:w="2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(381 )</w:t>
            </w:r>
          </w:p>
        </w:tc>
        <w:tc>
          <w:tcPr>
            <w:tcW w:w="0" w:type="dxa"/>
            <w:vAlign w:val="bottom"/>
          </w:tcPr>
          <w:p>
            <w:pPr>
              <w:spacing w:after="0"/>
              <w:rPr>
                <w:sz w:val="1"/>
                <w:szCs w:val="1"/>
                <w:color w:val="auto"/>
              </w:rPr>
            </w:pPr>
          </w:p>
        </w:tc>
      </w:tr>
      <w:tr>
        <w:trPr>
          <w:trHeight w:val="169"/>
        </w:trPr>
        <w:tc>
          <w:tcPr>
            <w:tcW w:w="72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Net Expenses</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1,673</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2,616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Net Investment Loss</w:t>
            </w:r>
          </w:p>
        </w:tc>
        <w:tc>
          <w:tcPr>
            <w:tcW w:w="180" w:type="dxa"/>
            <w:vAlign w:val="bottom"/>
          </w:tcPr>
          <w:p>
            <w:pPr>
              <w:spacing w:after="0"/>
              <w:rPr>
                <w:sz w:val="14"/>
                <w:szCs w:val="14"/>
                <w:color w:val="auto"/>
              </w:rPr>
            </w:pPr>
          </w:p>
        </w:tc>
        <w:tc>
          <w:tcPr>
            <w:tcW w:w="1920" w:type="dxa"/>
            <w:vAlign w:val="bottom"/>
            <w:gridSpan w:val="2"/>
          </w:tcPr>
          <w:p>
            <w:pPr>
              <w:jc w:val="right"/>
              <w:ind w:right="148"/>
              <w:spacing w:after="0"/>
              <w:rPr>
                <w:sz w:val="20"/>
                <w:szCs w:val="20"/>
                <w:color w:val="auto"/>
              </w:rPr>
            </w:pPr>
            <w:r>
              <w:rPr>
                <w:rFonts w:ascii="Arial" w:cs="Arial" w:eastAsia="Arial" w:hAnsi="Arial"/>
                <w:sz w:val="14"/>
                <w:szCs w:val="14"/>
                <w:color w:val="auto"/>
              </w:rPr>
              <w:t>(707 )</w:t>
            </w:r>
          </w:p>
        </w:tc>
        <w:tc>
          <w:tcPr>
            <w:tcW w:w="2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(1,650 )</w:t>
            </w:r>
          </w:p>
        </w:tc>
        <w:tc>
          <w:tcPr>
            <w:tcW w:w="0" w:type="dxa"/>
            <w:vAlign w:val="bottom"/>
          </w:tcPr>
          <w:p>
            <w:pPr>
              <w:spacing w:after="0"/>
              <w:rPr>
                <w:sz w:val="1"/>
                <w:szCs w:val="1"/>
                <w:color w:val="auto"/>
              </w:rPr>
            </w:pPr>
          </w:p>
        </w:tc>
      </w:tr>
      <w:tr>
        <w:trPr>
          <w:trHeight w:val="176"/>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Unrealized and Realized Gains (Losses)</w:t>
            </w:r>
          </w:p>
        </w:tc>
        <w:tc>
          <w:tcPr>
            <w:tcW w:w="18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20"/>
              <w:spacing w:after="0"/>
              <w:rPr>
                <w:sz w:val="20"/>
                <w:szCs w:val="20"/>
                <w:color w:val="auto"/>
              </w:rPr>
            </w:pPr>
            <w:r>
              <w:rPr>
                <w:rFonts w:ascii="Arial" w:cs="Arial" w:eastAsia="Arial" w:hAnsi="Arial"/>
                <w:sz w:val="14"/>
                <w:szCs w:val="14"/>
                <w:color w:val="auto"/>
              </w:rPr>
              <w:t>Net change in unrealized gains:</w:t>
            </w: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18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20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40" w:type="dxa"/>
            <w:vAlign w:val="bottom"/>
          </w:tcPr>
          <w:p>
            <w:pPr>
              <w:ind w:left="560"/>
              <w:spacing w:after="0"/>
              <w:rPr>
                <w:sz w:val="20"/>
                <w:szCs w:val="20"/>
                <w:color w:val="auto"/>
              </w:rPr>
            </w:pPr>
            <w:r>
              <w:rPr>
                <w:rFonts w:ascii="Arial" w:cs="Arial" w:eastAsia="Arial" w:hAnsi="Arial"/>
                <w:sz w:val="14"/>
                <w:szCs w:val="14"/>
                <w:color w:val="auto"/>
              </w:rPr>
              <w:t>Total net change in unrealized gains</w:t>
            </w: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losses:</w:t>
            </w:r>
          </w:p>
        </w:tc>
        <w:tc>
          <w:tcPr>
            <w:tcW w:w="18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200"/>
              <w:spacing w:after="0"/>
              <w:rPr>
                <w:sz w:val="20"/>
                <w:szCs w:val="20"/>
                <w:color w:val="auto"/>
              </w:rPr>
            </w:pPr>
            <w:r>
              <w:rPr>
                <w:rFonts w:ascii="Arial" w:cs="Arial" w:eastAsia="Arial" w:hAnsi="Arial"/>
                <w:sz w:val="14"/>
                <w:szCs w:val="14"/>
                <w:color w:val="auto"/>
              </w:rPr>
              <w:t>Foreign currency transactions</w:t>
            </w:r>
          </w:p>
        </w:tc>
        <w:tc>
          <w:tcPr>
            <w:tcW w:w="180" w:type="dxa"/>
            <w:vAlign w:val="bottom"/>
          </w:tcPr>
          <w:p>
            <w:pPr>
              <w:spacing w:after="0"/>
              <w:rPr>
                <w:sz w:val="15"/>
                <w:szCs w:val="15"/>
                <w:color w:val="auto"/>
              </w:rPr>
            </w:pPr>
          </w:p>
        </w:tc>
        <w:tc>
          <w:tcPr>
            <w:tcW w:w="1920" w:type="dxa"/>
            <w:vAlign w:val="bottom"/>
            <w:gridSpan w:val="2"/>
          </w:tcPr>
          <w:p>
            <w:pPr>
              <w:jc w:val="right"/>
              <w:ind w:right="148"/>
              <w:spacing w:after="0"/>
              <w:rPr>
                <w:sz w:val="20"/>
                <w:szCs w:val="20"/>
                <w:color w:val="auto"/>
              </w:rPr>
            </w:pPr>
            <w:r>
              <w:rPr>
                <w:rFonts w:ascii="Arial" w:cs="Arial" w:eastAsia="Arial" w:hAnsi="Arial"/>
                <w:sz w:val="14"/>
                <w:szCs w:val="14"/>
                <w:color w:val="auto"/>
              </w:rPr>
              <w:t>(56 )</w:t>
            </w:r>
          </w:p>
        </w:tc>
        <w:tc>
          <w:tcPr>
            <w:tcW w:w="20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169"/>
        </w:trPr>
        <w:tc>
          <w:tcPr>
            <w:tcW w:w="72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Total net realized losses</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69"/>
        </w:trPr>
        <w:tc>
          <w:tcPr>
            <w:tcW w:w="7240" w:type="dxa"/>
            <w:vAlign w:val="bottom"/>
          </w:tcPr>
          <w:p>
            <w:pPr>
              <w:ind w:left="740"/>
              <w:spacing w:after="0"/>
              <w:rPr>
                <w:sz w:val="20"/>
                <w:szCs w:val="20"/>
                <w:color w:val="auto"/>
              </w:rPr>
            </w:pPr>
            <w:r>
              <w:rPr>
                <w:rFonts w:ascii="Arial" w:cs="Arial" w:eastAsia="Arial" w:hAnsi="Arial"/>
                <w:sz w:val="14"/>
                <w:szCs w:val="14"/>
                <w:b w:val="1"/>
                <w:bCs w:val="1"/>
                <w:color w:val="auto"/>
              </w:rPr>
              <w:t>Total Net Unrealized and Realized Gains</w:t>
            </w: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Decrease in Net Assets Resulting from Operations</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56"/>
        </w:trPr>
        <w:tc>
          <w:tcPr>
            <w:tcW w:w="7240" w:type="dxa"/>
            <w:vAlign w:val="bottom"/>
          </w:tcPr>
          <w:p>
            <w:pPr>
              <w:ind w:left="20"/>
              <w:spacing w:after="0" w:line="156" w:lineRule="exact"/>
              <w:rPr>
                <w:sz w:val="20"/>
                <w:szCs w:val="20"/>
                <w:color w:val="auto"/>
              </w:rPr>
            </w:pPr>
            <w:r>
              <w:rPr>
                <w:rFonts w:ascii="Arial" w:cs="Arial" w:eastAsia="Arial" w:hAnsi="Arial"/>
                <w:sz w:val="14"/>
                <w:szCs w:val="14"/>
                <w:color w:val="auto"/>
              </w:rPr>
              <w:t>Loss per common share—basic and diluted</w:t>
            </w:r>
          </w:p>
        </w:tc>
        <w:tc>
          <w:tcPr>
            <w:tcW w:w="180" w:type="dxa"/>
            <w:vAlign w:val="bottom"/>
          </w:tcPr>
          <w:p>
            <w:pPr>
              <w:jc w:val="right"/>
              <w:ind w:right="28"/>
              <w:spacing w:after="0" w:line="156" w:lineRule="exact"/>
              <w:rPr>
                <w:sz w:val="20"/>
                <w:szCs w:val="20"/>
                <w:color w:val="auto"/>
              </w:rPr>
            </w:pPr>
            <w:r>
              <w:rPr>
                <w:rFonts w:ascii="Arial" w:cs="Arial" w:eastAsia="Arial" w:hAnsi="Arial"/>
                <w:sz w:val="14"/>
                <w:szCs w:val="14"/>
                <w:color w:val="auto"/>
                <w:w w:val="76"/>
              </w:rPr>
              <w:t>$</w:t>
            </w:r>
          </w:p>
        </w:tc>
        <w:tc>
          <w:tcPr>
            <w:tcW w:w="1920" w:type="dxa"/>
            <w:vAlign w:val="bottom"/>
            <w:gridSpan w:val="2"/>
          </w:tcPr>
          <w:p>
            <w:pPr>
              <w:jc w:val="right"/>
              <w:ind w:right="148"/>
              <w:spacing w:after="0" w:line="156" w:lineRule="exact"/>
              <w:rPr>
                <w:sz w:val="20"/>
                <w:szCs w:val="20"/>
                <w:color w:val="auto"/>
              </w:rPr>
            </w:pPr>
            <w:r>
              <w:rPr>
                <w:rFonts w:ascii="Arial" w:cs="Arial" w:eastAsia="Arial" w:hAnsi="Arial"/>
                <w:sz w:val="14"/>
                <w:szCs w:val="14"/>
                <w:color w:val="auto"/>
              </w:rPr>
              <w:t>(0.12 )</w:t>
            </w:r>
          </w:p>
        </w:tc>
        <w:tc>
          <w:tcPr>
            <w:tcW w:w="200" w:type="dxa"/>
            <w:vAlign w:val="bottom"/>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17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(0.47 )</w:t>
            </w:r>
          </w:p>
        </w:tc>
        <w:tc>
          <w:tcPr>
            <w:tcW w:w="0" w:type="dxa"/>
            <w:vAlign w:val="bottom"/>
          </w:tcPr>
          <w:p>
            <w:pPr>
              <w:spacing w:after="0"/>
              <w:rPr>
                <w:sz w:val="1"/>
                <w:szCs w:val="1"/>
                <w:color w:val="auto"/>
              </w:rPr>
            </w:pPr>
          </w:p>
        </w:tc>
      </w:tr>
      <w:tr>
        <w:trPr>
          <w:trHeight w:val="169"/>
        </w:trPr>
        <w:tc>
          <w:tcPr>
            <w:tcW w:w="724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4"/>
                <w:szCs w:val="14"/>
                <w:color w:val="auto"/>
              </w:rPr>
              <w:t xml:space="preserve">Weighted average shares of common shares outstanding—basic and diluted </w:t>
            </w:r>
            <w:r>
              <w:rPr>
                <w:rFonts w:ascii="Arial" w:cs="Arial" w:eastAsia="Arial" w:hAnsi="Arial"/>
                <w:sz w:val="19"/>
                <w:szCs w:val="19"/>
                <w:color w:val="auto"/>
                <w:vertAlign w:val="superscript"/>
              </w:rPr>
              <w:t>(1)</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2,698,595</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2,698,595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-2914015</wp:posOffset>
            </wp:positionV>
            <wp:extent cx="7747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-1782445</wp:posOffset>
            </wp:positionV>
            <wp:extent cx="7747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-1542415</wp:posOffset>
            </wp:positionV>
            <wp:extent cx="7747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-989330</wp:posOffset>
            </wp:positionV>
            <wp:extent cx="141414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1543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-504825</wp:posOffset>
            </wp:positionV>
            <wp:extent cx="7747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-264795</wp:posOffset>
            </wp:positionV>
            <wp:extent cx="138874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8745" cy="1460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Weighted average shares of Common Shares outstanding are calculated from the Commencement of Operations through September 30, 2022.</w:t>
      </w:r>
    </w:p>
    <w:p>
      <w:pPr>
        <w:spacing w:after="0" w:line="248"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Sixth Street Lending Partners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September 30, 2022</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(Amounts in thousands, except share amounts)</w:t>
      </w: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7"/>
              </w:rPr>
              <w:t>Initial</w:t>
            </w:r>
          </w:p>
        </w:tc>
        <w:tc>
          <w:tcPr>
            <w:tcW w:w="1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6"/>
              </w:rPr>
              <w:t>Reference</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1"/>
                <w:szCs w:val="11"/>
                <w:b w:val="1"/>
                <w:bCs w:val="1"/>
                <w:color w:val="auto"/>
                <w:w w:val="92"/>
              </w:rPr>
              <w:t>Amortized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7"/>
              </w:rPr>
              <w:t>Percentage</w:t>
            </w:r>
          </w:p>
        </w:tc>
        <w:tc>
          <w:tcPr>
            <w:tcW w:w="0" w:type="dxa"/>
            <w:vAlign w:val="bottom"/>
          </w:tcPr>
          <w:p>
            <w:pPr>
              <w:spacing w:after="0"/>
              <w:rPr>
                <w:sz w:val="1"/>
                <w:szCs w:val="1"/>
                <w:color w:val="auto"/>
              </w:rPr>
            </w:pPr>
          </w:p>
        </w:tc>
      </w:tr>
      <w:tr>
        <w:trPr>
          <w:trHeight w:val="108"/>
        </w:trPr>
        <w:tc>
          <w:tcPr>
            <w:tcW w:w="2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 xml:space="preserve">Company </w:t>
            </w:r>
            <w:r>
              <w:rPr>
                <w:rFonts w:ascii="Arial" w:cs="Arial" w:eastAsia="Arial" w:hAnsi="Arial"/>
                <w:sz w:val="14"/>
                <w:szCs w:val="14"/>
                <w:b w:val="1"/>
                <w:bCs w:val="1"/>
                <w:color w:val="auto"/>
                <w:vertAlign w:val="superscript"/>
              </w:rPr>
              <w:t>(1)</w:t>
            </w:r>
          </w:p>
        </w:tc>
        <w:tc>
          <w:tcPr>
            <w:tcW w:w="120" w:type="dxa"/>
            <w:vAlign w:val="bottom"/>
          </w:tcPr>
          <w:p>
            <w:pPr>
              <w:spacing w:after="0"/>
              <w:rPr>
                <w:sz w:val="9"/>
                <w:szCs w:val="9"/>
                <w:color w:val="auto"/>
              </w:rPr>
            </w:pPr>
          </w:p>
        </w:tc>
        <w:tc>
          <w:tcPr>
            <w:tcW w:w="2540" w:type="dxa"/>
            <w:vAlign w:val="bottom"/>
            <w:vMerge w:val="restart"/>
          </w:tcPr>
          <w:p>
            <w:pPr>
              <w:ind w:left="100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9"/>
                <w:szCs w:val="9"/>
                <w:color w:val="auto"/>
              </w:rPr>
            </w:pPr>
          </w:p>
        </w:tc>
        <w:tc>
          <w:tcPr>
            <w:tcW w:w="8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0"/>
              </w:rPr>
              <w:t>Acquisition</w:t>
            </w:r>
          </w:p>
        </w:tc>
        <w:tc>
          <w:tcPr>
            <w:tcW w:w="120" w:type="dxa"/>
            <w:vAlign w:val="bottom"/>
          </w:tcPr>
          <w:p>
            <w:pPr>
              <w:spacing w:after="0"/>
              <w:rPr>
                <w:sz w:val="9"/>
                <w:szCs w:val="9"/>
                <w:color w:val="auto"/>
              </w:rPr>
            </w:pPr>
          </w:p>
        </w:tc>
        <w:tc>
          <w:tcPr>
            <w:tcW w:w="7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0"/>
              </w:rPr>
              <w:t>Rate and</w:t>
            </w:r>
          </w:p>
        </w:tc>
        <w:tc>
          <w:tcPr>
            <w:tcW w:w="240" w:type="dxa"/>
            <w:vAlign w:val="bottom"/>
          </w:tcPr>
          <w:p>
            <w:pPr>
              <w:spacing w:after="0"/>
              <w:rPr>
                <w:sz w:val="9"/>
                <w:szCs w:val="9"/>
                <w:color w:val="auto"/>
              </w:rPr>
            </w:pPr>
          </w:p>
        </w:tc>
        <w:tc>
          <w:tcPr>
            <w:tcW w:w="1160" w:type="dxa"/>
            <w:vAlign w:val="bottom"/>
            <w:gridSpan w:val="3"/>
            <w:vMerge w:val="restart"/>
          </w:tcPr>
          <w:p>
            <w:pPr>
              <w:jc w:val="right"/>
              <w:ind w:right="440"/>
              <w:spacing w:after="0"/>
              <w:rPr>
                <w:sz w:val="20"/>
                <w:szCs w:val="20"/>
                <w:color w:val="auto"/>
              </w:rPr>
            </w:pPr>
            <w:r>
              <w:rPr>
                <w:rFonts w:ascii="Arial" w:cs="Arial" w:eastAsia="Arial" w:hAnsi="Arial"/>
                <w:sz w:val="11"/>
                <w:szCs w:val="11"/>
                <w:b w:val="1"/>
                <w:bCs w:val="1"/>
                <w:color w:val="auto"/>
              </w:rPr>
              <w:t>Interest Rate</w:t>
            </w: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(5)</w:t>
            </w:r>
          </w:p>
        </w:tc>
        <w:tc>
          <w:tcPr>
            <w:tcW w:w="20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1"/>
              </w:rPr>
              <w:t>Spread</w:t>
            </w: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60" w:type="dxa"/>
            <w:vAlign w:val="bottom"/>
          </w:tcPr>
          <w:p>
            <w:pPr>
              <w:jc w:val="right"/>
              <w:ind w:right="129"/>
              <w:spacing w:after="0" w:line="149" w:lineRule="exact"/>
              <w:rPr>
                <w:sz w:val="20"/>
                <w:szCs w:val="20"/>
                <w:color w:val="auto"/>
              </w:rPr>
            </w:pPr>
            <w:r>
              <w:rPr>
                <w:rFonts w:ascii="Arial" w:cs="Arial" w:eastAsia="Arial" w:hAnsi="Arial"/>
                <w:sz w:val="17"/>
                <w:szCs w:val="17"/>
                <w:b w:val="1"/>
                <w:bCs w:val="1"/>
                <w:color w:val="auto"/>
                <w:vertAlign w:val="subscript"/>
              </w:rPr>
              <w:t>Cost</w:t>
            </w:r>
            <w:r>
              <w:rPr>
                <w:rFonts w:ascii="Arial" w:cs="Arial" w:eastAsia="Arial" w:hAnsi="Arial"/>
                <w:sz w:val="6"/>
                <w:szCs w:val="6"/>
                <w:b w:val="1"/>
                <w:bCs w:val="1"/>
                <w:color w:val="auto"/>
              </w:rPr>
              <w:t xml:space="preserve"> (2) (6)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5"/>
              </w:rPr>
              <w:t>of Net Assets</w:t>
            </w:r>
          </w:p>
        </w:tc>
        <w:tc>
          <w:tcPr>
            <w:tcW w:w="0" w:type="dxa"/>
            <w:vAlign w:val="bottom"/>
          </w:tcPr>
          <w:p>
            <w:pPr>
              <w:spacing w:after="0"/>
              <w:rPr>
                <w:sz w:val="1"/>
                <w:szCs w:val="1"/>
                <w:color w:val="auto"/>
              </w:rPr>
            </w:pPr>
          </w:p>
        </w:tc>
      </w:tr>
      <w:tr>
        <w:trPr>
          <w:trHeight w:val="128"/>
        </w:trPr>
        <w:tc>
          <w:tcPr>
            <w:tcW w:w="25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Debt Investments</w:t>
            </w:r>
          </w:p>
        </w:tc>
        <w:tc>
          <w:tcPr>
            <w:tcW w:w="120" w:type="dxa"/>
            <w:vAlign w:val="bottom"/>
            <w:shd w:val="clear" w:color="auto" w:fill="CFF0FC"/>
          </w:tcPr>
          <w:p>
            <w:pPr>
              <w:spacing w:after="0"/>
              <w:rPr>
                <w:sz w:val="11"/>
                <w:szCs w:val="11"/>
                <w:color w:val="auto"/>
              </w:rPr>
            </w:pPr>
          </w:p>
        </w:tc>
        <w:tc>
          <w:tcPr>
            <w:tcW w:w="25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Chemicals</w:t>
            </w: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580" w:type="dxa"/>
            <w:vAlign w:val="bottom"/>
            <w:shd w:val="clear" w:color="auto" w:fill="CFF0FC"/>
          </w:tcPr>
          <w:p>
            <w:pPr>
              <w:ind w:left="20"/>
              <w:spacing w:after="0" w:line="112" w:lineRule="exact"/>
              <w:rPr>
                <w:sz w:val="20"/>
                <w:szCs w:val="20"/>
                <w:color w:val="auto"/>
              </w:rPr>
            </w:pPr>
            <w:r>
              <w:rPr>
                <w:rFonts w:ascii="Arial" w:cs="Arial" w:eastAsia="Arial" w:hAnsi="Arial"/>
                <w:sz w:val="9"/>
                <w:szCs w:val="9"/>
                <w:color w:val="auto"/>
              </w:rPr>
              <w:t xml:space="preserve">Erling Lux Bidco Sarl </w:t>
            </w:r>
            <w:r>
              <w:rPr>
                <w:rFonts w:ascii="Arial" w:cs="Arial" w:eastAsia="Arial" w:hAnsi="Arial"/>
                <w:sz w:val="12"/>
                <w:szCs w:val="12"/>
                <w:color w:val="auto"/>
                <w:vertAlign w:val="superscript"/>
              </w:rPr>
              <w:t>(3)(4)</w:t>
            </w:r>
          </w:p>
        </w:tc>
        <w:tc>
          <w:tcPr>
            <w:tcW w:w="120" w:type="dxa"/>
            <w:vAlign w:val="bottom"/>
            <w:shd w:val="clear" w:color="auto" w:fill="CFF0FC"/>
          </w:tcPr>
          <w:p>
            <w:pPr>
              <w:spacing w:after="0"/>
              <w:rPr>
                <w:sz w:val="9"/>
                <w:szCs w:val="9"/>
                <w:color w:val="auto"/>
              </w:rPr>
            </w:pPr>
          </w:p>
        </w:tc>
        <w:tc>
          <w:tcPr>
            <w:tcW w:w="2540" w:type="dxa"/>
            <w:vAlign w:val="bottom"/>
            <w:shd w:val="clear" w:color="auto" w:fill="CFF0FC"/>
          </w:tcPr>
          <w:p>
            <w:pPr>
              <w:spacing w:after="0" w:line="112" w:lineRule="exact"/>
              <w:rPr>
                <w:sz w:val="20"/>
                <w:szCs w:val="20"/>
                <w:color w:val="auto"/>
              </w:rPr>
            </w:pPr>
            <w:r>
              <w:rPr>
                <w:rFonts w:ascii="Arial" w:cs="Arial" w:eastAsia="Arial" w:hAnsi="Arial"/>
                <w:sz w:val="11"/>
                <w:szCs w:val="11"/>
                <w:color w:val="auto"/>
              </w:rPr>
              <w:t>First-lien loan (EUR 3,660 par, due 9/2028)</w:t>
            </w:r>
          </w:p>
        </w:tc>
        <w:tc>
          <w:tcPr>
            <w:tcW w:w="920" w:type="dxa"/>
            <w:vAlign w:val="bottom"/>
            <w:gridSpan w:val="2"/>
            <w:shd w:val="clear" w:color="auto" w:fill="CFF0FC"/>
          </w:tcPr>
          <w:p>
            <w:pPr>
              <w:jc w:val="right"/>
              <w:spacing w:after="0" w:line="112" w:lineRule="exact"/>
              <w:rPr>
                <w:sz w:val="20"/>
                <w:szCs w:val="20"/>
                <w:color w:val="auto"/>
              </w:rPr>
            </w:pPr>
            <w:r>
              <w:rPr>
                <w:rFonts w:ascii="Arial" w:cs="Arial" w:eastAsia="Arial" w:hAnsi="Arial"/>
                <w:sz w:val="11"/>
                <w:szCs w:val="11"/>
                <w:color w:val="auto"/>
              </w:rPr>
              <w:t>9/6/2022</w:t>
            </w: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2" w:lineRule="exact"/>
              <w:rPr>
                <w:sz w:val="20"/>
                <w:szCs w:val="20"/>
                <w:color w:val="auto"/>
              </w:rPr>
            </w:pPr>
            <w:r>
              <w:rPr>
                <w:rFonts w:ascii="Arial" w:cs="Arial" w:eastAsia="Arial" w:hAnsi="Arial"/>
                <w:sz w:val="11"/>
                <w:szCs w:val="11"/>
                <w:color w:val="auto"/>
              </w:rPr>
              <w:t>E + 6.75%</w:t>
            </w:r>
          </w:p>
        </w:tc>
        <w:tc>
          <w:tcPr>
            <w:tcW w:w="1400" w:type="dxa"/>
            <w:vAlign w:val="bottom"/>
            <w:gridSpan w:val="4"/>
            <w:shd w:val="clear" w:color="auto" w:fill="CFF0FC"/>
          </w:tcPr>
          <w:p>
            <w:pPr>
              <w:jc w:val="right"/>
              <w:ind w:right="40"/>
              <w:spacing w:after="0" w:line="112" w:lineRule="exact"/>
              <w:rPr>
                <w:sz w:val="20"/>
                <w:szCs w:val="20"/>
                <w:color w:val="auto"/>
              </w:rPr>
            </w:pPr>
            <w:r>
              <w:rPr>
                <w:rFonts w:ascii="Arial" w:cs="Arial" w:eastAsia="Arial" w:hAnsi="Arial"/>
                <w:sz w:val="11"/>
                <w:szCs w:val="11"/>
                <w:color w:val="auto"/>
              </w:rPr>
              <w:t>7.46 %   $</w:t>
            </w:r>
          </w:p>
        </w:tc>
        <w:tc>
          <w:tcPr>
            <w:tcW w:w="660" w:type="dxa"/>
            <w:vAlign w:val="bottom"/>
            <w:shd w:val="clear" w:color="auto" w:fill="CFF0FC"/>
          </w:tcPr>
          <w:p>
            <w:pPr>
              <w:jc w:val="right"/>
              <w:spacing w:after="0" w:line="112" w:lineRule="exact"/>
              <w:rPr>
                <w:sz w:val="20"/>
                <w:szCs w:val="20"/>
                <w:color w:val="auto"/>
              </w:rPr>
            </w:pPr>
            <w:r>
              <w:rPr>
                <w:rFonts w:ascii="Arial" w:cs="Arial" w:eastAsia="Arial" w:hAnsi="Arial"/>
                <w:sz w:val="11"/>
                <w:szCs w:val="11"/>
                <w:color w:val="auto"/>
              </w:rPr>
              <w:t>3,586</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2" w:lineRule="exact"/>
              <w:rPr>
                <w:sz w:val="20"/>
                <w:szCs w:val="20"/>
                <w:color w:val="auto"/>
              </w:rPr>
            </w:pPr>
            <w:r>
              <w:rPr>
                <w:rFonts w:ascii="Arial" w:cs="Arial" w:eastAsia="Arial" w:hAnsi="Arial"/>
                <w:sz w:val="11"/>
                <w:szCs w:val="11"/>
                <w:color w:val="auto"/>
              </w:rPr>
              <w:t>$3,505</w:t>
            </w:r>
          </w:p>
        </w:tc>
        <w:tc>
          <w:tcPr>
            <w:tcW w:w="1140" w:type="dxa"/>
            <w:vAlign w:val="bottom"/>
            <w:gridSpan w:val="3"/>
            <w:shd w:val="clear" w:color="auto" w:fill="CFF0FC"/>
          </w:tcPr>
          <w:p>
            <w:pPr>
              <w:jc w:val="right"/>
              <w:spacing w:after="0" w:line="112" w:lineRule="exact"/>
              <w:rPr>
                <w:sz w:val="20"/>
                <w:szCs w:val="20"/>
                <w:color w:val="auto"/>
              </w:rPr>
            </w:pPr>
            <w:r>
              <w:rPr>
                <w:rFonts w:ascii="Arial" w:cs="Arial" w:eastAsia="Arial" w:hAnsi="Arial"/>
                <w:sz w:val="11"/>
                <w:szCs w:val="11"/>
                <w:color w:val="auto"/>
              </w:rPr>
              <w:t>2.0 %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(EUR 3,578)</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40" w:type="dxa"/>
            <w:vAlign w:val="bottom"/>
          </w:tcPr>
          <w:p>
            <w:pPr>
              <w:spacing w:after="0" w:line="112" w:lineRule="exact"/>
              <w:rPr>
                <w:sz w:val="20"/>
                <w:szCs w:val="20"/>
                <w:color w:val="auto"/>
              </w:rPr>
            </w:pPr>
            <w:r>
              <w:rPr>
                <w:rFonts w:ascii="Arial" w:cs="Arial" w:eastAsia="Arial" w:hAnsi="Arial"/>
                <w:sz w:val="11"/>
                <w:szCs w:val="11"/>
                <w:color w:val="auto"/>
              </w:rPr>
              <w:t>First-lien loan (GBP 3,538 par, due 9/2028)</w:t>
            </w:r>
          </w:p>
        </w:tc>
        <w:tc>
          <w:tcPr>
            <w:tcW w:w="920" w:type="dxa"/>
            <w:vAlign w:val="bottom"/>
            <w:gridSpan w:val="2"/>
          </w:tcPr>
          <w:p>
            <w:pPr>
              <w:jc w:val="right"/>
              <w:spacing w:after="0" w:line="112" w:lineRule="exact"/>
              <w:rPr>
                <w:sz w:val="20"/>
                <w:szCs w:val="20"/>
                <w:color w:val="auto"/>
              </w:rPr>
            </w:pPr>
            <w:r>
              <w:rPr>
                <w:rFonts w:ascii="Arial" w:cs="Arial" w:eastAsia="Arial" w:hAnsi="Arial"/>
                <w:sz w:val="11"/>
                <w:szCs w:val="11"/>
                <w:color w:val="auto"/>
              </w:rPr>
              <w:t>9/6/2022</w:t>
            </w:r>
          </w:p>
        </w:tc>
        <w:tc>
          <w:tcPr>
            <w:tcW w:w="120" w:type="dxa"/>
            <w:vAlign w:val="bottom"/>
          </w:tcPr>
          <w:p>
            <w:pPr>
              <w:spacing w:after="0"/>
              <w:rPr>
                <w:sz w:val="9"/>
                <w:szCs w:val="9"/>
                <w:color w:val="auto"/>
              </w:rPr>
            </w:pPr>
          </w:p>
        </w:tc>
        <w:tc>
          <w:tcPr>
            <w:tcW w:w="780" w:type="dxa"/>
            <w:vAlign w:val="bottom"/>
          </w:tcPr>
          <w:p>
            <w:pPr>
              <w:jc w:val="right"/>
              <w:spacing w:after="0" w:line="112" w:lineRule="exact"/>
              <w:rPr>
                <w:sz w:val="20"/>
                <w:szCs w:val="20"/>
                <w:color w:val="auto"/>
              </w:rPr>
            </w:pPr>
            <w:r>
              <w:rPr>
                <w:rFonts w:ascii="Arial" w:cs="Arial" w:eastAsia="Arial" w:hAnsi="Arial"/>
                <w:sz w:val="11"/>
                <w:szCs w:val="11"/>
                <w:color w:val="auto"/>
              </w:rPr>
              <w:t>S + 6.75%</w:t>
            </w:r>
          </w:p>
        </w:tc>
        <w:tc>
          <w:tcPr>
            <w:tcW w:w="1300" w:type="dxa"/>
            <w:vAlign w:val="bottom"/>
            <w:gridSpan w:val="3"/>
          </w:tcPr>
          <w:p>
            <w:pPr>
              <w:jc w:val="right"/>
              <w:ind w:right="120"/>
              <w:spacing w:after="0" w:line="112" w:lineRule="exact"/>
              <w:rPr>
                <w:sz w:val="20"/>
                <w:szCs w:val="20"/>
                <w:color w:val="auto"/>
              </w:rPr>
            </w:pPr>
            <w:r>
              <w:rPr>
                <w:rFonts w:ascii="Arial" w:cs="Arial" w:eastAsia="Arial" w:hAnsi="Arial"/>
                <w:sz w:val="11"/>
                <w:szCs w:val="11"/>
                <w:color w:val="auto"/>
              </w:rPr>
              <w:t>8.44 %</w:t>
            </w:r>
          </w:p>
        </w:tc>
        <w:tc>
          <w:tcPr>
            <w:tcW w:w="10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3,564</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3,450</w:t>
            </w:r>
          </w:p>
        </w:tc>
        <w:tc>
          <w:tcPr>
            <w:tcW w:w="1140" w:type="dxa"/>
            <w:vAlign w:val="bottom"/>
            <w:gridSpan w:val="3"/>
          </w:tcPr>
          <w:p>
            <w:pPr>
              <w:jc w:val="right"/>
              <w:spacing w:after="0" w:line="112" w:lineRule="exact"/>
              <w:rPr>
                <w:sz w:val="20"/>
                <w:szCs w:val="20"/>
                <w:color w:val="auto"/>
              </w:rPr>
            </w:pPr>
            <w:r>
              <w:rPr>
                <w:rFonts w:ascii="Arial" w:cs="Arial" w:eastAsia="Arial" w:hAnsi="Arial"/>
                <w:sz w:val="11"/>
                <w:szCs w:val="11"/>
                <w:color w:val="auto"/>
              </w:rPr>
              <w:t>1.9 %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(GBP 3,090)</w:t>
            </w:r>
          </w:p>
        </w:tc>
        <w:tc>
          <w:tcPr>
            <w:tcW w:w="2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5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7,150</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6,955</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Retail and Consumer Products</w:t>
            </w: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580" w:type="dxa"/>
            <w:vAlign w:val="bottom"/>
            <w:shd w:val="clear" w:color="auto" w:fill="CFF0FC"/>
          </w:tcPr>
          <w:p>
            <w:pPr>
              <w:ind w:left="20"/>
              <w:spacing w:after="0" w:line="112" w:lineRule="exact"/>
              <w:rPr>
                <w:sz w:val="20"/>
                <w:szCs w:val="20"/>
                <w:color w:val="auto"/>
              </w:rPr>
            </w:pPr>
            <w:r>
              <w:rPr>
                <w:rFonts w:ascii="Arial" w:cs="Arial" w:eastAsia="Arial" w:hAnsi="Arial"/>
                <w:sz w:val="9"/>
                <w:szCs w:val="9"/>
                <w:color w:val="auto"/>
              </w:rPr>
              <w:t xml:space="preserve">Bed Bath and Beyond Inc. </w:t>
            </w:r>
            <w:r>
              <w:rPr>
                <w:rFonts w:ascii="Arial" w:cs="Arial" w:eastAsia="Arial" w:hAnsi="Arial"/>
                <w:sz w:val="12"/>
                <w:szCs w:val="12"/>
                <w:color w:val="auto"/>
                <w:vertAlign w:val="superscript"/>
              </w:rPr>
              <w:t>(3)</w:t>
            </w:r>
          </w:p>
        </w:tc>
        <w:tc>
          <w:tcPr>
            <w:tcW w:w="120" w:type="dxa"/>
            <w:vAlign w:val="bottom"/>
            <w:shd w:val="clear" w:color="auto" w:fill="CFF0FC"/>
          </w:tcPr>
          <w:p>
            <w:pPr>
              <w:spacing w:after="0"/>
              <w:rPr>
                <w:sz w:val="9"/>
                <w:szCs w:val="9"/>
                <w:color w:val="auto"/>
              </w:rPr>
            </w:pPr>
          </w:p>
        </w:tc>
        <w:tc>
          <w:tcPr>
            <w:tcW w:w="2540" w:type="dxa"/>
            <w:vAlign w:val="bottom"/>
            <w:shd w:val="clear" w:color="auto" w:fill="CFF0FC"/>
          </w:tcPr>
          <w:p>
            <w:pPr>
              <w:spacing w:after="0" w:line="112" w:lineRule="exact"/>
              <w:rPr>
                <w:sz w:val="20"/>
                <w:szCs w:val="20"/>
                <w:color w:val="auto"/>
              </w:rPr>
            </w:pPr>
            <w:r>
              <w:rPr>
                <w:rFonts w:ascii="Arial" w:cs="Arial" w:eastAsia="Arial" w:hAnsi="Arial"/>
                <w:sz w:val="11"/>
                <w:szCs w:val="11"/>
                <w:color w:val="auto"/>
              </w:rPr>
              <w:t>ABL FILO term loan ($100,000 par, due 8/2027)</w:t>
            </w:r>
          </w:p>
        </w:tc>
        <w:tc>
          <w:tcPr>
            <w:tcW w:w="920" w:type="dxa"/>
            <w:vAlign w:val="bottom"/>
            <w:gridSpan w:val="2"/>
            <w:shd w:val="clear" w:color="auto" w:fill="CFF0FC"/>
          </w:tcPr>
          <w:p>
            <w:pPr>
              <w:jc w:val="right"/>
              <w:spacing w:after="0" w:line="112" w:lineRule="exact"/>
              <w:rPr>
                <w:sz w:val="20"/>
                <w:szCs w:val="20"/>
                <w:color w:val="auto"/>
              </w:rPr>
            </w:pPr>
            <w:r>
              <w:rPr>
                <w:rFonts w:ascii="Arial" w:cs="Arial" w:eastAsia="Arial" w:hAnsi="Arial"/>
                <w:sz w:val="11"/>
                <w:szCs w:val="11"/>
                <w:color w:val="auto"/>
              </w:rPr>
              <w:t>9/2/2022</w:t>
            </w: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2" w:lineRule="exact"/>
              <w:rPr>
                <w:sz w:val="20"/>
                <w:szCs w:val="20"/>
                <w:color w:val="auto"/>
              </w:rPr>
            </w:pPr>
            <w:r>
              <w:rPr>
                <w:rFonts w:ascii="Arial" w:cs="Arial" w:eastAsia="Arial" w:hAnsi="Arial"/>
                <w:sz w:val="11"/>
                <w:szCs w:val="11"/>
                <w:color w:val="auto"/>
              </w:rPr>
              <w:t>SOFR +</w:t>
            </w:r>
          </w:p>
        </w:tc>
        <w:tc>
          <w:tcPr>
            <w:tcW w:w="1300" w:type="dxa"/>
            <w:vAlign w:val="bottom"/>
            <w:gridSpan w:val="3"/>
            <w:shd w:val="clear" w:color="auto" w:fill="CFF0FC"/>
          </w:tcPr>
          <w:p>
            <w:pPr>
              <w:jc w:val="right"/>
              <w:ind w:right="120"/>
              <w:spacing w:after="0" w:line="112" w:lineRule="exact"/>
              <w:rPr>
                <w:sz w:val="20"/>
                <w:szCs w:val="20"/>
                <w:color w:val="auto"/>
              </w:rPr>
            </w:pPr>
            <w:r>
              <w:rPr>
                <w:rFonts w:ascii="Arial" w:cs="Arial" w:eastAsia="Arial" w:hAnsi="Arial"/>
                <w:sz w:val="11"/>
                <w:szCs w:val="11"/>
                <w:color w:val="auto"/>
              </w:rPr>
              <w:t>10.87 %</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2" w:lineRule="exact"/>
              <w:rPr>
                <w:sz w:val="20"/>
                <w:szCs w:val="20"/>
                <w:color w:val="auto"/>
              </w:rPr>
            </w:pPr>
            <w:r>
              <w:rPr>
                <w:rFonts w:ascii="Arial" w:cs="Arial" w:eastAsia="Arial" w:hAnsi="Arial"/>
                <w:sz w:val="11"/>
                <w:szCs w:val="11"/>
                <w:color w:val="auto"/>
              </w:rPr>
              <w:t>97,046</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2" w:lineRule="exact"/>
              <w:rPr>
                <w:sz w:val="20"/>
                <w:szCs w:val="20"/>
                <w:color w:val="auto"/>
              </w:rPr>
            </w:pPr>
            <w:r>
              <w:rPr>
                <w:rFonts w:ascii="Arial" w:cs="Arial" w:eastAsia="Arial" w:hAnsi="Arial"/>
                <w:sz w:val="11"/>
                <w:szCs w:val="11"/>
                <w:color w:val="auto"/>
              </w:rPr>
              <w:t>97,500</w:t>
            </w:r>
          </w:p>
        </w:tc>
        <w:tc>
          <w:tcPr>
            <w:tcW w:w="1140" w:type="dxa"/>
            <w:vAlign w:val="bottom"/>
            <w:gridSpan w:val="3"/>
            <w:shd w:val="clear" w:color="auto" w:fill="CFF0FC"/>
          </w:tcPr>
          <w:p>
            <w:pPr>
              <w:jc w:val="right"/>
              <w:spacing w:after="0" w:line="112" w:lineRule="exact"/>
              <w:rPr>
                <w:sz w:val="20"/>
                <w:szCs w:val="20"/>
                <w:color w:val="auto"/>
              </w:rPr>
            </w:pPr>
            <w:r>
              <w:rPr>
                <w:rFonts w:ascii="Arial" w:cs="Arial" w:eastAsia="Arial" w:hAnsi="Arial"/>
                <w:sz w:val="11"/>
                <w:szCs w:val="11"/>
                <w:color w:val="auto"/>
              </w:rPr>
              <w:t>54.4 %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7.90%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Debt Investments</w:t>
            </w:r>
          </w:p>
        </w:tc>
        <w:tc>
          <w:tcPr>
            <w:tcW w:w="120" w:type="dxa"/>
            <w:vAlign w:val="bottom"/>
            <w:tcBorders>
              <w:bottom w:val="single" w:sz="8" w:color="CFF0FC"/>
            </w:tcBorders>
            <w:shd w:val="clear" w:color="auto" w:fill="CFF0FC"/>
          </w:tcPr>
          <w:p>
            <w:pPr>
              <w:spacing w:after="0"/>
              <w:rPr>
                <w:sz w:val="11"/>
                <w:szCs w:val="11"/>
                <w:color w:val="auto"/>
              </w:rPr>
            </w:pPr>
          </w:p>
        </w:tc>
        <w:tc>
          <w:tcPr>
            <w:tcW w:w="25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104,196</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104,455</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Total Investments</w:t>
            </w: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104,196</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104,455</w:t>
            </w:r>
          </w:p>
        </w:tc>
        <w:tc>
          <w:tcPr>
            <w:tcW w:w="1140" w:type="dxa"/>
            <w:vAlign w:val="bottom"/>
            <w:gridSpan w:val="3"/>
          </w:tcPr>
          <w:p>
            <w:pPr>
              <w:jc w:val="right"/>
              <w:spacing w:after="0"/>
              <w:rPr>
                <w:sz w:val="20"/>
                <w:szCs w:val="20"/>
                <w:color w:val="auto"/>
              </w:rPr>
            </w:pPr>
            <w:r>
              <w:rPr>
                <w:rFonts w:ascii="Arial" w:cs="Arial" w:eastAsia="Arial" w:hAnsi="Arial"/>
                <w:sz w:val="11"/>
                <w:szCs w:val="11"/>
                <w:b w:val="1"/>
                <w:bCs w:val="1"/>
                <w:color w:val="auto"/>
              </w:rPr>
              <w:t>58.3 %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-556895</wp:posOffset>
            </wp:positionV>
            <wp:extent cx="6858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-556895</wp:posOffset>
            </wp:positionV>
            <wp:extent cx="68580"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-119380</wp:posOffset>
            </wp:positionV>
            <wp:extent cx="6858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-119380</wp:posOffset>
            </wp:positionV>
            <wp:extent cx="6858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276" w:lineRule="exact"/>
        <w:rPr>
          <w:sz w:val="20"/>
          <w:szCs w:val="20"/>
          <w:color w:val="auto"/>
        </w:rPr>
      </w:pPr>
    </w:p>
    <w:p>
      <w:pPr>
        <w:ind w:left="520" w:right="120" w:hanging="512"/>
        <w:spacing w:after="0" w:line="249"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September 30, 2022, the Company does not “control” any of the portfolio companies.</w:t>
      </w:r>
    </w:p>
    <w:p>
      <w:pPr>
        <w:spacing w:after="0" w:line="7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48" w:lineRule="exact"/>
        <w:rPr>
          <w:rFonts w:ascii="Arial" w:cs="Arial" w:eastAsia="Arial" w:hAnsi="Arial"/>
          <w:sz w:val="18"/>
          <w:szCs w:val="18"/>
          <w:color w:val="auto"/>
        </w:rPr>
      </w:pPr>
    </w:p>
    <w:p>
      <w:pPr>
        <w:ind w:left="520" w:right="100" w:hanging="512"/>
        <w:spacing w:after="0" w:line="260"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Euro Interbank Offer Rate (“Euribor” or “E”),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2022.</w:t>
      </w:r>
    </w:p>
    <w:p>
      <w:pPr>
        <w:spacing w:after="0" w:line="79" w:lineRule="exact"/>
        <w:rPr>
          <w:rFonts w:ascii="Arial" w:cs="Arial" w:eastAsia="Arial" w:hAnsi="Arial"/>
          <w:sz w:val="17"/>
          <w:szCs w:val="17"/>
          <w:color w:val="auto"/>
        </w:rPr>
      </w:pPr>
    </w:p>
    <w:p>
      <w:pPr>
        <w:ind w:left="520" w:right="220" w:hanging="512"/>
        <w:spacing w:after="0" w:line="248"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1.75% of total assets as of September 30, 2022.</w:t>
      </w:r>
    </w:p>
    <w:p>
      <w:pPr>
        <w:spacing w:after="0" w:line="87" w:lineRule="exact"/>
        <w:rPr>
          <w:rFonts w:ascii="Arial" w:cs="Arial" w:eastAsia="Arial" w:hAnsi="Arial"/>
          <w:sz w:val="18"/>
          <w:szCs w:val="18"/>
          <w:color w:val="auto"/>
        </w:rPr>
      </w:pPr>
    </w:p>
    <w:p>
      <w:pPr>
        <w:ind w:left="520" w:right="80" w:hanging="512"/>
        <w:spacing w:after="0" w:line="248"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unless otherwise indicated, the fair values of all investments were determined using significant unobservable inputs and are considered Level 3 investments. See Note 5 for further information related to investments at fair value.</w:t>
      </w:r>
    </w:p>
    <w:p>
      <w:pPr>
        <w:spacing w:after="0" w:line="8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September 30, 2022, the tax cost of the Company's investments approximates the amortized cost.</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3"/>
                <w:szCs w:val="13"/>
                <w:b w:val="1"/>
                <w:bCs w:val="1"/>
                <w:color w:val="auto"/>
              </w:rPr>
              <w:t>Common Shares</w:t>
            </w: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jc w:val="right"/>
              <w:ind w:right="77"/>
              <w:spacing w:after="0" w:line="117" w:lineRule="exact"/>
              <w:rPr>
                <w:sz w:val="20"/>
                <w:szCs w:val="20"/>
                <w:color w:val="auto"/>
              </w:rPr>
            </w:pPr>
            <w:r>
              <w:rPr>
                <w:rFonts w:ascii="Arial" w:cs="Arial" w:eastAsia="Arial" w:hAnsi="Arial"/>
                <w:sz w:val="13"/>
                <w:szCs w:val="13"/>
                <w:b w:val="1"/>
                <w:bCs w:val="1"/>
                <w:color w:val="auto"/>
              </w:rPr>
              <w:t>Par</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jc w:val="right"/>
              <w:ind w:right="277"/>
              <w:spacing w:after="0" w:line="117" w:lineRule="exact"/>
              <w:rPr>
                <w:sz w:val="20"/>
                <w:szCs w:val="20"/>
                <w:color w:val="auto"/>
              </w:rPr>
            </w:pPr>
            <w:r>
              <w:rPr>
                <w:rFonts w:ascii="Arial" w:cs="Arial" w:eastAsia="Arial" w:hAnsi="Arial"/>
                <w:sz w:val="13"/>
                <w:szCs w:val="13"/>
                <w:b w:val="1"/>
                <w:bCs w:val="1"/>
                <w:color w:val="auto"/>
              </w:rPr>
              <w:t>Paid in Capital in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ind w:right="257"/>
              <w:spacing w:after="0" w:line="117" w:lineRule="exact"/>
              <w:rPr>
                <w:sz w:val="20"/>
                <w:szCs w:val="20"/>
                <w:color w:val="auto"/>
              </w:rPr>
            </w:pPr>
            <w:r>
              <w:rPr>
                <w:rFonts w:ascii="Arial" w:cs="Arial" w:eastAsia="Arial" w:hAnsi="Arial"/>
                <w:sz w:val="13"/>
                <w:szCs w:val="13"/>
                <w:b w:val="1"/>
                <w:bCs w:val="1"/>
                <w:color w:val="auto"/>
                <w:w w:val="86"/>
              </w:rPr>
              <w:t>Accumulated Net</w:t>
            </w:r>
          </w:p>
        </w:tc>
        <w:tc>
          <w:tcPr>
            <w:tcW w:w="180" w:type="dxa"/>
            <w:vAlign w:val="bottom"/>
          </w:tcPr>
          <w:p>
            <w:pPr>
              <w:spacing w:after="0"/>
              <w:rPr>
                <w:sz w:val="10"/>
                <w:szCs w:val="10"/>
                <w:color w:val="auto"/>
              </w:rPr>
            </w:pPr>
          </w:p>
        </w:tc>
        <w:tc>
          <w:tcPr>
            <w:tcW w:w="980" w:type="dxa"/>
            <w:vAlign w:val="bottom"/>
            <w:gridSpan w:val="2"/>
          </w:tcPr>
          <w:p>
            <w:pPr>
              <w:jc w:val="right"/>
              <w:ind w:right="380"/>
              <w:spacing w:after="0" w:line="117" w:lineRule="exact"/>
              <w:rPr>
                <w:sz w:val="20"/>
                <w:szCs w:val="20"/>
                <w:color w:val="auto"/>
              </w:rPr>
            </w:pPr>
            <w:r>
              <w:rPr>
                <w:rFonts w:ascii="Arial" w:cs="Arial" w:eastAsia="Arial" w:hAnsi="Arial"/>
                <w:sz w:val="13"/>
                <w:szCs w:val="13"/>
                <w:b w:val="1"/>
                <w:bCs w:val="1"/>
                <w:color w:val="auto"/>
              </w:rPr>
              <w:t>Total Net</w:t>
            </w:r>
          </w:p>
        </w:tc>
      </w:tr>
      <w:tr>
        <w:trPr>
          <w:trHeight w:val="174"/>
        </w:trPr>
        <w:tc>
          <w:tcPr>
            <w:tcW w:w="4800" w:type="dxa"/>
            <w:vAlign w:val="bottom"/>
          </w:tcPr>
          <w:p>
            <w:pPr>
              <w:spacing w:after="0"/>
              <w:rPr>
                <w:sz w:val="15"/>
                <w:szCs w:val="15"/>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97"/>
              <w:spacing w:after="0"/>
              <w:rPr>
                <w:sz w:val="20"/>
                <w:szCs w:val="20"/>
                <w:color w:val="auto"/>
              </w:rPr>
            </w:pPr>
            <w:r>
              <w:rPr>
                <w:rFonts w:ascii="Arial" w:cs="Arial" w:eastAsia="Arial" w:hAnsi="Arial"/>
                <w:sz w:val="13"/>
                <w:szCs w:val="13"/>
                <w:b w:val="1"/>
                <w:bCs w:val="1"/>
                <w:color w:val="auto"/>
              </w:rPr>
              <w:t>Excess of Par</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597"/>
              <w:spacing w:after="0"/>
              <w:rPr>
                <w:sz w:val="20"/>
                <w:szCs w:val="20"/>
                <w:color w:val="auto"/>
              </w:rPr>
            </w:pPr>
            <w:r>
              <w:rPr>
                <w:rFonts w:ascii="Arial" w:cs="Arial" w:eastAsia="Arial" w:hAnsi="Arial"/>
                <w:sz w:val="13"/>
                <w:szCs w:val="13"/>
                <w:b w:val="1"/>
                <w:bCs w:val="1"/>
                <w:color w:val="auto"/>
              </w:rPr>
              <w:t>Loss</w:t>
            </w:r>
          </w:p>
        </w:tc>
        <w:tc>
          <w:tcPr>
            <w:tcW w:w="18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Assets</w:t>
            </w:r>
          </w:p>
        </w:tc>
      </w:tr>
      <w:tr>
        <w:trPr>
          <w:trHeight w:val="162"/>
        </w:trPr>
        <w:tc>
          <w:tcPr>
            <w:tcW w:w="4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April 5, 2022 (Inception)</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ind w:right="497"/>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r>
      <w:tr>
        <w:trPr>
          <w:trHeight w:val="161"/>
        </w:trPr>
        <w:tc>
          <w:tcPr>
            <w:tcW w:w="4800" w:type="dxa"/>
            <w:vAlign w:val="bottom"/>
          </w:tcPr>
          <w:p>
            <w:pPr>
              <w:ind w:left="100"/>
              <w:spacing w:after="0"/>
              <w:rPr>
                <w:sz w:val="20"/>
                <w:szCs w:val="20"/>
                <w:color w:val="auto"/>
              </w:rPr>
            </w:pPr>
            <w:r>
              <w:rPr>
                <w:rFonts w:ascii="Arial" w:cs="Arial" w:eastAsia="Arial" w:hAnsi="Arial"/>
                <w:sz w:val="13"/>
                <w:szCs w:val="13"/>
                <w:color w:val="auto"/>
              </w:rPr>
              <w:t>Net decrease in net assets resulting from operations: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48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investment loss</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(943 )</w:t>
            </w: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(943 )</w:t>
            </w:r>
          </w:p>
        </w:tc>
      </w:tr>
      <w:tr>
        <w:trPr>
          <w:trHeight w:val="161"/>
        </w:trPr>
        <w:tc>
          <w:tcPr>
            <w:tcW w:w="4800" w:type="dxa"/>
            <w:vAlign w:val="bottom"/>
          </w:tcPr>
          <w:p>
            <w:pPr>
              <w:ind w:left="100"/>
              <w:spacing w:after="0"/>
              <w:rPr>
                <w:sz w:val="20"/>
                <w:szCs w:val="20"/>
                <w:color w:val="auto"/>
              </w:rPr>
            </w:pPr>
            <w:r>
              <w:rPr>
                <w:rFonts w:ascii="Arial" w:cs="Arial" w:eastAsia="Arial" w:hAnsi="Arial"/>
                <w:sz w:val="13"/>
                <w:szCs w:val="13"/>
                <w:color w:val="auto"/>
              </w:rPr>
              <w:t>Increase in Net Assets Resulting from Capital Share Transactions: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8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Issuance of Common Shares</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1,200</w:t>
            </w: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480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1,200</w:t>
            </w:r>
          </w:p>
        </w:tc>
        <w:tc>
          <w:tcPr>
            <w:tcW w:w="880" w:type="dxa"/>
            <w:vAlign w:val="bottom"/>
            <w:gridSpan w:val="2"/>
          </w:tcPr>
          <w:p>
            <w:pPr>
              <w:jc w:val="right"/>
              <w:ind w:right="49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29</w:t>
            </w:r>
          </w:p>
        </w:tc>
        <w:tc>
          <w:tcPr>
            <w:tcW w:w="3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(943 )</w:t>
            </w: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(913 )</w:t>
            </w:r>
          </w:p>
        </w:tc>
      </w:tr>
      <w:tr>
        <w:trPr>
          <w:trHeight w:val="20"/>
        </w:trPr>
        <w:tc>
          <w:tcPr>
            <w:tcW w:w="4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4800" w:type="dxa"/>
            <w:vAlign w:val="bottom"/>
            <w:shd w:val="clear" w:color="auto" w:fill="CFF0FC"/>
          </w:tcPr>
          <w:p>
            <w:pPr>
              <w:ind w:left="100"/>
              <w:spacing w:after="0" w:line="143" w:lineRule="exact"/>
              <w:rPr>
                <w:sz w:val="20"/>
                <w:szCs w:val="20"/>
                <w:color w:val="auto"/>
              </w:rPr>
            </w:pPr>
            <w:r>
              <w:rPr>
                <w:rFonts w:ascii="Arial" w:cs="Arial" w:eastAsia="Arial" w:hAnsi="Arial"/>
                <w:sz w:val="13"/>
                <w:szCs w:val="13"/>
                <w:color w:val="auto"/>
              </w:rPr>
              <w:t>Net decrease in net assets resulting from operations:</w:t>
            </w: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1"/>
        </w:trPr>
        <w:tc>
          <w:tcPr>
            <w:tcW w:w="4800" w:type="dxa"/>
            <w:vAlign w:val="bottom"/>
          </w:tcPr>
          <w:p>
            <w:pPr>
              <w:ind w:left="160"/>
              <w:spacing w:after="0"/>
              <w:rPr>
                <w:sz w:val="20"/>
                <w:szCs w:val="20"/>
                <w:color w:val="auto"/>
              </w:rPr>
            </w:pPr>
            <w:r>
              <w:rPr>
                <w:rFonts w:ascii="Arial" w:cs="Arial" w:eastAsia="Arial" w:hAnsi="Arial"/>
                <w:sz w:val="13"/>
                <w:szCs w:val="13"/>
                <w:color w:val="auto"/>
              </w:rPr>
              <w:t>Net investment loss</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Arial" w:cs="Arial" w:eastAsia="Arial" w:hAnsi="Arial"/>
                <w:sz w:val="13"/>
                <w:szCs w:val="13"/>
                <w:color w:val="auto"/>
              </w:rPr>
              <w:t>(707 )</w:t>
            </w:r>
          </w:p>
        </w:tc>
        <w:tc>
          <w:tcPr>
            <w:tcW w:w="1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(707 )</w:t>
            </w:r>
          </w:p>
        </w:tc>
      </w:tr>
      <w:tr>
        <w:trPr>
          <w:trHeight w:val="122"/>
        </w:trPr>
        <w:tc>
          <w:tcPr>
            <w:tcW w:w="4800" w:type="dxa"/>
            <w:vAlign w:val="bottom"/>
            <w:shd w:val="clear" w:color="auto" w:fill="CFF0FC"/>
          </w:tcPr>
          <w:p>
            <w:pPr>
              <w:ind w:left="160"/>
              <w:spacing w:after="0" w:line="122" w:lineRule="exact"/>
              <w:rPr>
                <w:sz w:val="20"/>
                <w:szCs w:val="20"/>
                <w:color w:val="auto"/>
              </w:rPr>
            </w:pPr>
            <w:r>
              <w:rPr>
                <w:rFonts w:ascii="Arial" w:cs="Arial" w:eastAsia="Arial" w:hAnsi="Arial"/>
                <w:sz w:val="13"/>
                <w:szCs w:val="13"/>
                <w:color w:val="auto"/>
              </w:rPr>
              <w:t>Net change in unrealized gains on investments and</w:t>
            </w: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6"/>
        </w:trPr>
        <w:tc>
          <w:tcPr>
            <w:tcW w:w="4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foreign currency translation</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FF0FC"/>
          </w:tcPr>
          <w:p>
            <w:pPr>
              <w:spacing w:after="0"/>
              <w:rPr>
                <w:sz w:val="15"/>
                <w:szCs w:val="15"/>
                <w:color w:val="auto"/>
              </w:rPr>
            </w:pPr>
          </w:p>
        </w:tc>
      </w:tr>
      <w:tr>
        <w:trPr>
          <w:trHeight w:val="121"/>
        </w:trPr>
        <w:tc>
          <w:tcPr>
            <w:tcW w:w="4800" w:type="dxa"/>
            <w:vAlign w:val="bottom"/>
          </w:tcPr>
          <w:p>
            <w:pPr>
              <w:ind w:left="160"/>
              <w:spacing w:after="0" w:line="121" w:lineRule="exact"/>
              <w:rPr>
                <w:sz w:val="20"/>
                <w:szCs w:val="20"/>
                <w:color w:val="auto"/>
              </w:rPr>
            </w:pPr>
            <w:r>
              <w:rPr>
                <w:rFonts w:ascii="Arial" w:cs="Arial" w:eastAsia="Arial" w:hAnsi="Arial"/>
                <w:sz w:val="13"/>
                <w:szCs w:val="13"/>
                <w:color w:val="auto"/>
              </w:rPr>
              <w:t>Net realized losses on investments and foreign</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8"/>
        </w:trPr>
        <w:tc>
          <w:tcPr>
            <w:tcW w:w="4800" w:type="dxa"/>
            <w:vAlign w:val="bottom"/>
          </w:tcPr>
          <w:p>
            <w:pPr>
              <w:ind w:left="260"/>
              <w:spacing w:after="0"/>
              <w:rPr>
                <w:sz w:val="20"/>
                <w:szCs w:val="20"/>
                <w:color w:val="auto"/>
              </w:rPr>
            </w:pPr>
            <w:r>
              <w:rPr>
                <w:rFonts w:ascii="Arial" w:cs="Arial" w:eastAsia="Arial" w:hAnsi="Arial"/>
                <w:sz w:val="13"/>
                <w:szCs w:val="13"/>
                <w:color w:val="auto"/>
              </w:rPr>
              <w:t>currency transactions</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Arial" w:cs="Arial" w:eastAsia="Arial" w:hAnsi="Arial"/>
                <w:sz w:val="13"/>
                <w:szCs w:val="13"/>
                <w:color w:val="auto"/>
              </w:rPr>
              <w:t>(56 )</w:t>
            </w:r>
          </w:p>
        </w:tc>
        <w:tc>
          <w:tcPr>
            <w:tcW w:w="1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(56 )</w:t>
            </w:r>
          </w:p>
        </w:tc>
      </w:tr>
      <w:tr>
        <w:trPr>
          <w:trHeight w:val="170"/>
        </w:trPr>
        <w:tc>
          <w:tcPr>
            <w:tcW w:w="48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Increase in Net Assets Resulting from Capital Share Transactions:</w:t>
            </w: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0"/>
        </w:trPr>
        <w:tc>
          <w:tcPr>
            <w:tcW w:w="4800" w:type="dxa"/>
            <w:vAlign w:val="bottom"/>
          </w:tcPr>
          <w:p>
            <w:pPr>
              <w:ind w:left="160"/>
              <w:spacing w:after="0"/>
              <w:rPr>
                <w:sz w:val="20"/>
                <w:szCs w:val="20"/>
                <w:color w:val="auto"/>
              </w:rPr>
            </w:pPr>
            <w:r>
              <w:rPr>
                <w:rFonts w:ascii="Arial" w:cs="Arial" w:eastAsia="Arial" w:hAnsi="Arial"/>
                <w:sz w:val="13"/>
                <w:szCs w:val="13"/>
                <w:color w:val="auto"/>
              </w:rPr>
              <w:t>Issuance of Common Shares</w:t>
            </w:r>
          </w:p>
        </w:tc>
        <w:tc>
          <w:tcPr>
            <w:tcW w:w="820" w:type="dxa"/>
            <w:vAlign w:val="bottom"/>
          </w:tcPr>
          <w:p>
            <w:pPr>
              <w:jc w:val="right"/>
              <w:spacing w:after="0"/>
              <w:rPr>
                <w:sz w:val="20"/>
                <w:szCs w:val="20"/>
                <w:color w:val="auto"/>
              </w:rPr>
            </w:pPr>
            <w:r>
              <w:rPr>
                <w:rFonts w:ascii="Arial" w:cs="Arial" w:eastAsia="Arial" w:hAnsi="Arial"/>
                <w:sz w:val="13"/>
                <w:szCs w:val="13"/>
                <w:color w:val="auto"/>
              </w:rPr>
              <w:t>7,286,600</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6"/>
              </w:rPr>
              <w:t>72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180,500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180,572</w:t>
            </w:r>
          </w:p>
        </w:tc>
        <w:tc>
          <w:tcPr>
            <w:tcW w:w="100" w:type="dxa"/>
            <w:vAlign w:val="bottom"/>
          </w:tcPr>
          <w:p>
            <w:pPr>
              <w:spacing w:after="0"/>
              <w:rPr>
                <w:sz w:val="13"/>
                <w:szCs w:val="13"/>
                <w:color w:val="auto"/>
              </w:rPr>
            </w:pPr>
          </w:p>
        </w:tc>
      </w:tr>
      <w:tr>
        <w:trPr>
          <w:trHeight w:val="197"/>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2022</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7,287,800</w:t>
            </w: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ind w:right="497"/>
              <w:spacing w:after="0"/>
              <w:rPr>
                <w:sz w:val="20"/>
                <w:szCs w:val="20"/>
                <w:color w:val="auto"/>
              </w:rPr>
            </w:pPr>
            <w:r>
              <w:rPr>
                <w:rFonts w:ascii="Arial" w:cs="Arial" w:eastAsia="Arial" w:hAnsi="Arial"/>
                <w:sz w:val="13"/>
                <w:szCs w:val="13"/>
                <w:b w:val="1"/>
                <w:bCs w:val="1"/>
                <w:color w:val="auto"/>
                <w:w w:val="82"/>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96"/>
              </w:rPr>
              <w:t>73</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180,529</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(1,274</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b w:val="1"/>
                <w:bCs w:val="1"/>
                <w:color w:val="auto"/>
                <w:w w:val="91"/>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179,328</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-1062355</wp:posOffset>
            </wp:positionV>
            <wp:extent cx="7683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-1062355</wp:posOffset>
            </wp:positionV>
            <wp:extent cx="6858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-1062355</wp:posOffset>
            </wp:positionV>
            <wp:extent cx="6858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-1062355</wp:posOffset>
            </wp:positionV>
            <wp:extent cx="6858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-25400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96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Sixth Street Lending Partners</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0"/>
        </w:trPr>
        <w:tc>
          <w:tcPr>
            <w:tcW w:w="8960" w:type="dxa"/>
            <w:vAlign w:val="bottom"/>
          </w:tcPr>
          <w:p>
            <w:pPr>
              <w:jc w:val="center"/>
              <w:ind w:left="21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960" w:type="dxa"/>
            <w:vAlign w:val="bottom"/>
          </w:tcPr>
          <w:p>
            <w:pPr>
              <w:jc w:val="center"/>
              <w:ind w:left="2150"/>
              <w:spacing w:after="0" w:line="202" w:lineRule="exact"/>
              <w:rPr>
                <w:sz w:val="20"/>
                <w:szCs w:val="20"/>
                <w:color w:val="auto"/>
              </w:rPr>
            </w:pPr>
            <w:r>
              <w:rPr>
                <w:rFonts w:ascii="Arial" w:cs="Arial" w:eastAsia="Arial" w:hAnsi="Arial"/>
                <w:sz w:val="18"/>
                <w:szCs w:val="18"/>
                <w:b w:val="1"/>
                <w:bCs w:val="1"/>
                <w:color w:val="auto"/>
                <w:w w:val="88"/>
              </w:rPr>
              <w:t>(Amounts in thousands)</w:t>
            </w: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960" w:type="dxa"/>
            <w:vAlign w:val="bottom"/>
          </w:tcPr>
          <w:p>
            <w:pPr>
              <w:jc w:val="center"/>
              <w:ind w:left="215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2"/>
        </w:trPr>
        <w:tc>
          <w:tcPr>
            <w:tcW w:w="8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From April 5, 2022 (Inception)</w:t>
            </w:r>
          </w:p>
        </w:tc>
      </w:tr>
      <w:tr>
        <w:trPr>
          <w:trHeight w:val="176"/>
        </w:trPr>
        <w:tc>
          <w:tcPr>
            <w:tcW w:w="8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through</w:t>
            </w:r>
          </w:p>
        </w:tc>
      </w:tr>
      <w:tr>
        <w:trPr>
          <w:trHeight w:val="185"/>
        </w:trPr>
        <w:tc>
          <w:tcPr>
            <w:tcW w:w="8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2022</w:t>
            </w:r>
          </w:p>
        </w:tc>
      </w:tr>
      <w:tr>
        <w:trPr>
          <w:trHeight w:val="210"/>
        </w:trPr>
        <w:tc>
          <w:tcPr>
            <w:tcW w:w="8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960" w:type="dxa"/>
            <w:vAlign w:val="bottom"/>
          </w:tcPr>
          <w:p>
            <w:pPr>
              <w:ind w:left="20"/>
              <w:spacing w:after="0"/>
              <w:rPr>
                <w:sz w:val="20"/>
                <w:szCs w:val="20"/>
                <w:color w:val="auto"/>
              </w:rPr>
            </w:pPr>
            <w:r>
              <w:rPr>
                <w:rFonts w:ascii="Arial" w:cs="Arial" w:eastAsia="Arial" w:hAnsi="Arial"/>
                <w:sz w:val="18"/>
                <w:szCs w:val="18"/>
                <w:color w:val="auto"/>
              </w:rPr>
              <w:t>Decrease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(1,274 )</w:t>
            </w:r>
          </w:p>
        </w:tc>
      </w:tr>
      <w:tr>
        <w:trPr>
          <w:trHeight w:val="175"/>
        </w:trPr>
        <w:tc>
          <w:tcPr>
            <w:tcW w:w="89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Adjustments to reconcile decrease in net assets resulting from operations</w:t>
            </w:r>
          </w:p>
        </w:tc>
        <w:tc>
          <w:tcPr>
            <w:tcW w:w="120" w:type="dxa"/>
            <w:vAlign w:val="bottom"/>
            <w:shd w:val="clear" w:color="auto" w:fill="CFF0FC"/>
          </w:tcPr>
          <w:p>
            <w:pPr>
              <w:spacing w:after="0"/>
              <w:rPr>
                <w:sz w:val="15"/>
                <w:szCs w:val="15"/>
                <w:color w:val="auto"/>
              </w:rPr>
            </w:pPr>
          </w:p>
        </w:tc>
        <w:tc>
          <w:tcPr>
            <w:tcW w:w="2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89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net cash provided by (used in) operating activities:</w:t>
            </w:r>
          </w:p>
        </w:tc>
        <w:tc>
          <w:tcPr>
            <w:tcW w:w="120" w:type="dxa"/>
            <w:vAlign w:val="bottom"/>
            <w:shd w:val="clear" w:color="auto" w:fill="CFF0FC"/>
          </w:tcPr>
          <w:p>
            <w:pPr>
              <w:spacing w:after="0"/>
              <w:rPr>
                <w:sz w:val="20"/>
                <w:szCs w:val="20"/>
                <w:color w:val="auto"/>
              </w:rPr>
            </w:pPr>
          </w:p>
        </w:tc>
        <w:tc>
          <w:tcPr>
            <w:tcW w:w="2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8960" w:type="dxa"/>
            <w:vAlign w:val="bottom"/>
          </w:tcPr>
          <w:p>
            <w:pPr>
              <w:ind w:left="380"/>
              <w:spacing w:after="0"/>
              <w:rPr>
                <w:sz w:val="20"/>
                <w:szCs w:val="20"/>
                <w:color w:val="auto"/>
              </w:rPr>
            </w:pPr>
            <w:r>
              <w:rPr>
                <w:rFonts w:ascii="Arial" w:cs="Arial" w:eastAsia="Arial" w:hAnsi="Arial"/>
                <w:sz w:val="18"/>
                <w:szCs w:val="18"/>
                <w:color w:val="auto"/>
              </w:rPr>
              <w:t>Net change in unrealized (gains) on investments</w:t>
            </w:r>
          </w:p>
        </w:tc>
        <w:tc>
          <w:tcPr>
            <w:tcW w:w="12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(259 )</w:t>
            </w:r>
          </w:p>
        </w:tc>
      </w:tr>
      <w:tr>
        <w:trPr>
          <w:trHeight w:val="216"/>
        </w:trPr>
        <w:tc>
          <w:tcPr>
            <w:tcW w:w="8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change in unrealized (gains) on foreign currency transactions</w:t>
            </w:r>
          </w:p>
        </w:tc>
        <w:tc>
          <w:tcPr>
            <w:tcW w:w="12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(173 )</w:t>
            </w:r>
          </w:p>
        </w:tc>
      </w:tr>
      <w:tr>
        <w:trPr>
          <w:trHeight w:val="216"/>
        </w:trPr>
        <w:tc>
          <w:tcPr>
            <w:tcW w:w="8960" w:type="dxa"/>
            <w:vAlign w:val="bottom"/>
          </w:tcPr>
          <w:p>
            <w:pPr>
              <w:ind w:left="380"/>
              <w:spacing w:after="0"/>
              <w:rPr>
                <w:sz w:val="20"/>
                <w:szCs w:val="20"/>
                <w:color w:val="auto"/>
              </w:rPr>
            </w:pPr>
            <w:r>
              <w:rPr>
                <w:rFonts w:ascii="Arial" w:cs="Arial" w:eastAsia="Arial" w:hAnsi="Arial"/>
                <w:sz w:val="18"/>
                <w:szCs w:val="18"/>
                <w:color w:val="auto"/>
              </w:rPr>
              <w:t>Net amortization of discount on investments</w:t>
            </w:r>
          </w:p>
        </w:tc>
        <w:tc>
          <w:tcPr>
            <w:tcW w:w="12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(48 )</w:t>
            </w:r>
          </w:p>
        </w:tc>
      </w:tr>
      <w:tr>
        <w:trPr>
          <w:trHeight w:val="216"/>
        </w:trPr>
        <w:tc>
          <w:tcPr>
            <w:tcW w:w="8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8"/>
                <w:szCs w:val="18"/>
                <w:color w:val="auto"/>
              </w:rPr>
            </w:pPr>
          </w:p>
        </w:tc>
      </w:tr>
      <w:tr>
        <w:trPr>
          <w:trHeight w:val="216"/>
        </w:trPr>
        <w:tc>
          <w:tcPr>
            <w:tcW w:w="8960" w:type="dxa"/>
            <w:vAlign w:val="bottom"/>
          </w:tcPr>
          <w:p>
            <w:pPr>
              <w:ind w:left="380"/>
              <w:spacing w:after="0"/>
              <w:rPr>
                <w:sz w:val="20"/>
                <w:szCs w:val="20"/>
                <w:color w:val="auto"/>
              </w:rPr>
            </w:pPr>
            <w:r>
              <w:rPr>
                <w:rFonts w:ascii="Arial" w:cs="Arial" w:eastAsia="Arial" w:hAnsi="Arial"/>
                <w:sz w:val="18"/>
                <w:szCs w:val="18"/>
                <w:color w:val="auto"/>
              </w:rPr>
              <w:t>Purchases and originations of investments, net</w:t>
            </w:r>
          </w:p>
        </w:tc>
        <w:tc>
          <w:tcPr>
            <w:tcW w:w="12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(104,148 )</w:t>
            </w:r>
          </w:p>
        </w:tc>
      </w:tr>
      <w:tr>
        <w:trPr>
          <w:trHeight w:val="216"/>
        </w:trPr>
        <w:tc>
          <w:tcPr>
            <w:tcW w:w="8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960" w:type="dxa"/>
            <w:vAlign w:val="bottom"/>
          </w:tcPr>
          <w:p>
            <w:pPr>
              <w:ind w:left="380"/>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(918 )</w:t>
            </w:r>
          </w:p>
        </w:tc>
      </w:tr>
      <w:tr>
        <w:trPr>
          <w:trHeight w:val="216"/>
        </w:trPr>
        <w:tc>
          <w:tcPr>
            <w:tcW w:w="8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(586 )</w:t>
            </w:r>
          </w:p>
        </w:tc>
      </w:tr>
      <w:tr>
        <w:trPr>
          <w:trHeight w:val="216"/>
        </w:trPr>
        <w:tc>
          <w:tcPr>
            <w:tcW w:w="8960" w:type="dxa"/>
            <w:vAlign w:val="bottom"/>
          </w:tcPr>
          <w:p>
            <w:pPr>
              <w:ind w:left="380"/>
              <w:spacing w:after="0"/>
              <w:rPr>
                <w:sz w:val="20"/>
                <w:szCs w:val="20"/>
                <w:color w:val="auto"/>
              </w:rPr>
            </w:pPr>
            <w:r>
              <w:rPr>
                <w:rFonts w:ascii="Arial" w:cs="Arial" w:eastAsia="Arial" w:hAnsi="Arial"/>
                <w:sz w:val="18"/>
                <w:szCs w:val="18"/>
                <w:color w:val="auto"/>
              </w:rPr>
              <w:t>Management fees payable to affiliate</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8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Incentive fees on net capital gains accrued to affiliate</w:t>
            </w:r>
          </w:p>
        </w:tc>
        <w:tc>
          <w:tcPr>
            <w:tcW w:w="1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8"/>
                <w:szCs w:val="18"/>
                <w:color w:val="auto"/>
              </w:rPr>
            </w:pPr>
          </w:p>
        </w:tc>
      </w:tr>
      <w:tr>
        <w:trPr>
          <w:trHeight w:val="216"/>
        </w:trPr>
        <w:tc>
          <w:tcPr>
            <w:tcW w:w="8960" w:type="dxa"/>
            <w:vAlign w:val="bottom"/>
          </w:tcPr>
          <w:p>
            <w:pPr>
              <w:ind w:left="380"/>
              <w:spacing w:after="0"/>
              <w:rPr>
                <w:sz w:val="20"/>
                <w:szCs w:val="20"/>
                <w:color w:val="auto"/>
              </w:rPr>
            </w:pPr>
            <w:r>
              <w:rPr>
                <w:rFonts w:ascii="Arial" w:cs="Arial" w:eastAsia="Arial" w:hAnsi="Arial"/>
                <w:sz w:val="18"/>
                <w:szCs w:val="18"/>
                <w:color w:val="auto"/>
              </w:rPr>
              <w:t>Payable to affiliate</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8"/>
                <w:szCs w:val="18"/>
                <w:color w:val="auto"/>
              </w:rPr>
            </w:pPr>
          </w:p>
        </w:tc>
      </w:tr>
      <w:tr>
        <w:trPr>
          <w:trHeight w:val="216"/>
        </w:trPr>
        <w:tc>
          <w:tcPr>
            <w:tcW w:w="89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96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(104,007 )</w:t>
            </w:r>
          </w:p>
        </w:tc>
      </w:tr>
      <w:tr>
        <w:trPr>
          <w:trHeight w:val="210"/>
        </w:trPr>
        <w:tc>
          <w:tcPr>
            <w:tcW w:w="8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960" w:type="dxa"/>
            <w:vAlign w:val="bottom"/>
          </w:tcPr>
          <w:p>
            <w:pPr>
              <w:ind w:left="20"/>
              <w:spacing w:after="0"/>
              <w:rPr>
                <w:sz w:val="20"/>
                <w:szCs w:val="20"/>
                <w:color w:val="auto"/>
              </w:rPr>
            </w:pPr>
            <w:r>
              <w:rPr>
                <w:rFonts w:ascii="Arial" w:cs="Arial" w:eastAsia="Arial" w:hAnsi="Arial"/>
                <w:sz w:val="18"/>
                <w:szCs w:val="18"/>
                <w:color w:val="auto"/>
              </w:rPr>
              <w:t>Borrowings on debt</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217,370</w:t>
            </w:r>
          </w:p>
        </w:tc>
        <w:tc>
          <w:tcPr>
            <w:tcW w:w="100" w:type="dxa"/>
            <w:vAlign w:val="bottom"/>
          </w:tcPr>
          <w:p>
            <w:pPr>
              <w:spacing w:after="0"/>
              <w:rPr>
                <w:sz w:val="18"/>
                <w:szCs w:val="18"/>
                <w:color w:val="auto"/>
              </w:rPr>
            </w:pPr>
          </w:p>
        </w:tc>
      </w:tr>
      <w:tr>
        <w:trPr>
          <w:trHeight w:val="216"/>
        </w:trPr>
        <w:tc>
          <w:tcPr>
            <w:tcW w:w="8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financing costs</w:t>
            </w:r>
          </w:p>
        </w:tc>
        <w:tc>
          <w:tcPr>
            <w:tcW w:w="12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(2,596 )</w:t>
            </w:r>
          </w:p>
        </w:tc>
      </w:tr>
      <w:tr>
        <w:trPr>
          <w:trHeight w:val="216"/>
        </w:trPr>
        <w:tc>
          <w:tcPr>
            <w:tcW w:w="8960" w:type="dxa"/>
            <w:vAlign w:val="bottom"/>
          </w:tcPr>
          <w:p>
            <w:pPr>
              <w:ind w:left="20"/>
              <w:spacing w:after="0"/>
              <w:rPr>
                <w:sz w:val="20"/>
                <w:szCs w:val="20"/>
                <w:color w:val="auto"/>
              </w:rPr>
            </w:pPr>
            <w:r>
              <w:rPr>
                <w:rFonts w:ascii="Arial" w:cs="Arial" w:eastAsia="Arial" w:hAnsi="Arial"/>
                <w:sz w:val="18"/>
                <w:szCs w:val="18"/>
                <w:color w:val="auto"/>
              </w:rPr>
              <w:t>Proceeds from issuance of common shares</w:t>
            </w: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180,602</w:t>
            </w:r>
          </w:p>
        </w:tc>
        <w:tc>
          <w:tcPr>
            <w:tcW w:w="100" w:type="dxa"/>
            <w:vAlign w:val="bottom"/>
          </w:tcPr>
          <w:p>
            <w:pPr>
              <w:spacing w:after="0"/>
              <w:rPr>
                <w:sz w:val="18"/>
                <w:szCs w:val="18"/>
                <w:color w:val="auto"/>
              </w:rPr>
            </w:pPr>
          </w:p>
        </w:tc>
      </w:tr>
      <w:tr>
        <w:trPr>
          <w:trHeight w:val="209"/>
        </w:trPr>
        <w:tc>
          <w:tcPr>
            <w:tcW w:w="89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395,376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960" w:type="dxa"/>
            <w:vAlign w:val="bottom"/>
          </w:tcPr>
          <w:p>
            <w:pPr>
              <w:ind w:left="380"/>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291,369</w:t>
            </w:r>
          </w:p>
        </w:tc>
        <w:tc>
          <w:tcPr>
            <w:tcW w:w="100" w:type="dxa"/>
            <w:vAlign w:val="bottom"/>
          </w:tcPr>
          <w:p>
            <w:pPr>
              <w:spacing w:after="0"/>
              <w:rPr>
                <w:sz w:val="18"/>
                <w:szCs w:val="18"/>
                <w:color w:val="auto"/>
              </w:rPr>
            </w:pPr>
          </w:p>
        </w:tc>
      </w:tr>
      <w:tr>
        <w:trPr>
          <w:trHeight w:val="203"/>
        </w:trPr>
        <w:tc>
          <w:tcPr>
            <w:tcW w:w="8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210"/>
        </w:trPr>
        <w:tc>
          <w:tcPr>
            <w:tcW w:w="8960" w:type="dxa"/>
            <w:vAlign w:val="bottom"/>
            <w:tcBorders>
              <w:top w:val="single" w:sz="8" w:color="CFF0FC"/>
            </w:tcBorders>
          </w:tcPr>
          <w:p>
            <w:pPr>
              <w:ind w:left="38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291,369</w:t>
            </w:r>
          </w:p>
        </w:tc>
        <w:tc>
          <w:tcPr>
            <w:tcW w:w="100" w:type="dxa"/>
            <w:vAlign w:val="bottom"/>
            <w:tcBorders>
              <w:top w:val="single" w:sz="8" w:color="CFF0FC"/>
            </w:tcBorders>
          </w:tcPr>
          <w:p>
            <w:pPr>
              <w:spacing w:after="0"/>
              <w:rPr>
                <w:sz w:val="18"/>
                <w:szCs w:val="18"/>
                <w:color w:val="auto"/>
              </w:rPr>
            </w:pPr>
          </w:p>
        </w:tc>
      </w:tr>
      <w:tr>
        <w:trPr>
          <w:trHeight w:val="20"/>
        </w:trPr>
        <w:tc>
          <w:tcPr>
            <w:tcW w:w="8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left="4460"/>
        <w:spacing w:after="0"/>
        <w:rPr>
          <w:sz w:val="20"/>
          <w:szCs w:val="20"/>
          <w:color w:val="auto"/>
        </w:rPr>
      </w:pPr>
      <w:r>
        <w:rPr>
          <w:rFonts w:ascii="Arial" w:cs="Arial" w:eastAsia="Arial" w:hAnsi="Arial"/>
          <w:sz w:val="18"/>
          <w:szCs w:val="18"/>
          <w:b w:val="1"/>
          <w:bCs w:val="1"/>
          <w:color w:val="auto"/>
        </w:rPr>
        <w:t>Sixth Street Lending Partners</w:t>
      </w:r>
    </w:p>
    <w:p>
      <w:pPr>
        <w:spacing w:after="0" w:line="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192" w:lineRule="exact"/>
        <w:rPr>
          <w:sz w:val="20"/>
          <w:szCs w:val="20"/>
          <w:color w:val="auto"/>
        </w:rPr>
      </w:pPr>
    </w:p>
    <w:p>
      <w:pPr>
        <w:ind w:right="8040" w:firstLine="8"/>
        <w:spacing w:after="0" w:line="370"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ind w:firstLine="255"/>
        <w:spacing w:after="0" w:line="279" w:lineRule="auto"/>
        <w:rPr>
          <w:sz w:val="20"/>
          <w:szCs w:val="20"/>
          <w:color w:val="auto"/>
        </w:rPr>
      </w:pPr>
      <w:r>
        <w:rPr>
          <w:rFonts w:ascii="Arial" w:cs="Arial" w:eastAsia="Arial" w:hAnsi="Arial"/>
          <w:sz w:val="16"/>
          <w:szCs w:val="16"/>
          <w:color w:val="auto"/>
        </w:rPr>
        <w:t>Sixth Street Lending Partners (the “Company”) is a Delaware statutory trust formed on April 5, 2022 (inception). The Company was formed primarily to lend to, and selectively invest in, middle-market companies in the United States. The Company has elected to be regulated as a business development company (“BDC”) under the 1940 Act. In addition, for tax purposes, the Company intends to elect to be treated as a regulated investment company (“RIC”) under Subchapter M of the Internal Revenue Code of 1986, as amended (the “Code”). The Company is managed by Sixth Street Lending Partners Advisers, LLC (the “Adviser”). On May 12, 2022, the Company formed a wholly-owned subsidiary, Sixth Street LP Holding, LLC, a Delaware limited liability company. On May 12, 2022, the Company formed a wholly-owned subsidiary, SSLP Lending, LLC, a Delaware limited liability company.</w:t>
      </w:r>
    </w:p>
    <w:p>
      <w:pPr>
        <w:spacing w:after="0" w:line="161" w:lineRule="exact"/>
        <w:rPr>
          <w:sz w:val="20"/>
          <w:szCs w:val="20"/>
          <w:color w:val="auto"/>
        </w:rPr>
      </w:pPr>
    </w:p>
    <w:p>
      <w:pPr>
        <w:ind w:firstLine="255"/>
        <w:spacing w:after="0" w:line="283" w:lineRule="auto"/>
        <w:rPr>
          <w:sz w:val="20"/>
          <w:szCs w:val="20"/>
          <w:color w:val="auto"/>
        </w:rPr>
      </w:pPr>
      <w:r>
        <w:rPr>
          <w:rFonts w:ascii="Arial" w:cs="Arial" w:eastAsia="Arial" w:hAnsi="Arial"/>
          <w:sz w:val="16"/>
          <w:szCs w:val="16"/>
          <w:color w:val="auto"/>
        </w:rPr>
        <w:t>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shares up to the amount of their respective Capital Commitments on an as-needed basis each time the Company delivers a notice to the investors.</w:t>
      </w:r>
    </w:p>
    <w:p>
      <w:pPr>
        <w:spacing w:after="0" w:line="156"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The Company completed its initial closing of capital commitments and commenced its loan origination and investment activities on August 31, 2022 ("Commencement of Operations"), the date of receipt of the initial drawdown from investors in the Private Offering.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04" w:lineRule="exact"/>
        <w:rPr>
          <w:sz w:val="20"/>
          <w:szCs w:val="20"/>
          <w:color w:val="auto"/>
        </w:rPr>
      </w:pPr>
    </w:p>
    <w:p>
      <w:pPr>
        <w:ind w:right="200" w:firstLine="255"/>
        <w:spacing w:after="0" w:line="245"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99" w:lineRule="exact"/>
        <w:rPr>
          <w:sz w:val="20"/>
          <w:szCs w:val="20"/>
          <w:color w:val="auto"/>
        </w:rPr>
      </w:pPr>
    </w:p>
    <w:p>
      <w:pPr>
        <w:ind w:right="920" w:firstLine="255"/>
        <w:spacing w:after="0" w:line="261"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20" w:firstLine="255"/>
        <w:spacing w:after="0" w:line="290" w:lineRule="auto"/>
        <w:rPr>
          <w:sz w:val="20"/>
          <w:szCs w:val="20"/>
          <w:color w:val="auto"/>
        </w:rPr>
      </w:pPr>
      <w:r>
        <w:rPr>
          <w:rFonts w:ascii="Arial" w:cs="Arial" w:eastAsia="Arial" w:hAnsi="Arial"/>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04" w:lineRule="exact"/>
        <w:rPr>
          <w:sz w:val="20"/>
          <w:szCs w:val="20"/>
          <w:color w:val="auto"/>
        </w:rPr>
      </w:pPr>
    </w:p>
    <w:p>
      <w:pPr>
        <w:ind w:right="40" w:firstLine="255"/>
        <w:spacing w:after="0" w:line="283"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71" w:lineRule="exact"/>
        <w:rPr>
          <w:sz w:val="20"/>
          <w:szCs w:val="20"/>
          <w:color w:val="auto"/>
        </w:rPr>
      </w:pPr>
    </w:p>
    <w:p>
      <w:pPr>
        <w:ind w:right="360" w:firstLine="255"/>
        <w:spacing w:after="0" w:line="283"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p>
    <w:p>
      <w:pPr>
        <w:spacing w:after="0" w:line="157" w:lineRule="exact"/>
        <w:rPr>
          <w:sz w:val="20"/>
          <w:szCs w:val="20"/>
          <w:color w:val="auto"/>
        </w:rPr>
      </w:pPr>
    </w:p>
    <w:p>
      <w:pPr>
        <w:ind w:firstLine="255"/>
        <w:spacing w:after="0" w:line="244"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04" w:lineRule="exact"/>
        <w:rPr>
          <w:sz w:val="20"/>
          <w:szCs w:val="20"/>
          <w:color w:val="auto"/>
        </w:rPr>
      </w:pPr>
    </w:p>
    <w:p>
      <w:pPr>
        <w:ind w:left="500" w:right="1120" w:hanging="237"/>
        <w:spacing w:after="0" w:line="261"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00" w:right="2020" w:hanging="237"/>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48" w:lineRule="exact"/>
        <w:rPr>
          <w:rFonts w:ascii="Arial" w:cs="Arial" w:eastAsia="Arial" w:hAnsi="Arial"/>
          <w:sz w:val="18"/>
          <w:szCs w:val="18"/>
          <w:color w:val="auto"/>
        </w:rPr>
      </w:pPr>
    </w:p>
    <w:p>
      <w:pPr>
        <w:ind w:left="500" w:hanging="237"/>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03" w:lineRule="exact"/>
        <w:rPr>
          <w:rFonts w:ascii="Arial" w:cs="Arial" w:eastAsia="Arial" w:hAnsi="Arial"/>
          <w:sz w:val="18"/>
          <w:szCs w:val="18"/>
          <w:color w:val="auto"/>
        </w:rPr>
      </w:pPr>
    </w:p>
    <w:p>
      <w:pPr>
        <w:ind w:left="500" w:right="1160" w:hanging="237"/>
        <w:spacing w:after="0" w:line="303"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120" w:firstLine="255"/>
        <w:spacing w:after="0" w:line="249" w:lineRule="auto"/>
        <w:rPr>
          <w:sz w:val="20"/>
          <w:szCs w:val="20"/>
          <w:color w:val="auto"/>
        </w:rPr>
      </w:pPr>
      <w:r>
        <w:rPr>
          <w:rFonts w:ascii="Arial" w:cs="Arial" w:eastAsia="Arial" w:hAnsi="Arial"/>
          <w:sz w:val="18"/>
          <w:szCs w:val="18"/>
          <w:color w:val="auto"/>
        </w:rPr>
        <w:t>The Board has engaged independent third-party valuation firms to perform certain limited procedures that the Board has identified and requested them to perform in connection with the valuation process. At September 30, 2022, given the timing of the closing of the initial investments the company made during the quarter, in accordance with the valuation process, the independent third-party valuation firms were not required to perform any procedures over the Company’s investments.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 w:name="page11"/>
    <w:bookmarkEnd w:id="10"/>
    <w:p>
      <w:pPr>
        <w:ind w:right="40" w:firstLine="255"/>
        <w:spacing w:after="0" w:line="227"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Level 2—Valuations based on quoted prices in markets that are not active or for which all significant inputs are observable, either directly or indirectly.</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12" w:lineRule="exact"/>
        <w:rPr>
          <w:sz w:val="20"/>
          <w:szCs w:val="20"/>
          <w:color w:val="auto"/>
        </w:rPr>
      </w:pPr>
    </w:p>
    <w:p>
      <w:pPr>
        <w:ind w:right="380" w:firstLine="255"/>
        <w:spacing w:after="0" w:line="248"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w:t>
      </w:r>
    </w:p>
    <w:p>
      <w:pPr>
        <w:ind w:right="120"/>
        <w:spacing w:after="0" w:line="246" w:lineRule="auto"/>
        <w:rPr>
          <w:sz w:val="20"/>
          <w:szCs w:val="20"/>
          <w:color w:val="auto"/>
        </w:rPr>
      </w:pPr>
      <w:r>
        <w:rPr>
          <w:rFonts w:ascii="Arial" w:cs="Arial" w:eastAsia="Arial" w:hAnsi="Arial"/>
          <w:sz w:val="16"/>
          <w:szCs w:val="16"/>
          <w:color w:val="auto"/>
        </w:rPr>
        <w:t>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6"/>
          <w:szCs w:val="16"/>
          <w:color w:val="auto"/>
        </w:rPr>
        <w:t>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w:t>
      </w:r>
    </w:p>
    <w:p>
      <w:pPr>
        <w:spacing w:after="0" w:line="1"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7" w:lineRule="exact"/>
        <w:rPr>
          <w:sz w:val="20"/>
          <w:szCs w:val="20"/>
          <w:color w:val="auto"/>
        </w:rPr>
      </w:pPr>
    </w:p>
    <w:p>
      <w:pPr>
        <w:ind w:right="140" w:firstLine="255"/>
        <w:spacing w:after="0" w:line="248" w:lineRule="auto"/>
        <w:rPr>
          <w:sz w:val="20"/>
          <w:szCs w:val="20"/>
          <w:color w:val="auto"/>
        </w:rPr>
      </w:pPr>
      <w:r>
        <w:rPr>
          <w:rFonts w:ascii="Arial" w:cs="Arial" w:eastAsia="Arial" w:hAnsi="Arial"/>
          <w:sz w:val="16"/>
          <w:szCs w:val="16"/>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w:t>
      </w:r>
    </w:p>
    <w:p>
      <w:pPr>
        <w:ind w:right="80"/>
        <w:spacing w:after="0" w:line="246" w:lineRule="auto"/>
        <w:rPr>
          <w:sz w:val="20"/>
          <w:szCs w:val="20"/>
          <w:color w:val="auto"/>
        </w:rPr>
      </w:pPr>
      <w:r>
        <w:rPr>
          <w:rFonts w:ascii="Arial" w:cs="Arial" w:eastAsia="Arial" w:hAnsi="Arial"/>
          <w:sz w:val="16"/>
          <w:szCs w:val="16"/>
          <w:color w:val="auto"/>
        </w:rPr>
        <w:t>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were required to liquidate a portfolio investment in a forced or liquidation sale, it could realize amounts that are different from the amounts presented and such differences could be material.</w:t>
      </w:r>
    </w:p>
    <w:p>
      <w:pPr>
        <w:spacing w:after="0" w:line="175" w:lineRule="exact"/>
        <w:rPr>
          <w:sz w:val="20"/>
          <w:szCs w:val="20"/>
          <w:color w:val="auto"/>
        </w:rPr>
      </w:pPr>
    </w:p>
    <w:p>
      <w:pPr>
        <w:ind w:firstLine="255"/>
        <w:spacing w:after="0" w:line="235"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520" w:right="580" w:hanging="257"/>
        <w:spacing w:after="0" w:line="246"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1" w:lineRule="exact"/>
        <w:rPr>
          <w:rFonts w:ascii="Arial" w:cs="Arial" w:eastAsia="Arial" w:hAnsi="Arial"/>
          <w:sz w:val="18"/>
          <w:szCs w:val="18"/>
          <w:color w:val="auto"/>
        </w:rPr>
      </w:pPr>
    </w:p>
    <w:p>
      <w:pPr>
        <w:ind w:left="520" w:hanging="257"/>
        <w:spacing w:after="0" w:line="235"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1" w:name="page12"/>
    <w:bookmarkEnd w:id="11"/>
    <w:p>
      <w:pPr>
        <w:ind w:right="320" w:firstLine="255"/>
        <w:spacing w:after="0" w:line="25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w:t>
      </w:r>
    </w:p>
    <w:p>
      <w:pPr>
        <w:spacing w:after="0" w:line="1" w:lineRule="exact"/>
        <w:rPr>
          <w:sz w:val="20"/>
          <w:szCs w:val="20"/>
          <w:color w:val="auto"/>
        </w:rPr>
      </w:pPr>
    </w:p>
    <w:p>
      <w:pPr>
        <w:jc w:val="both"/>
        <w:ind w:right="120"/>
        <w:spacing w:after="0" w:line="237" w:lineRule="auto"/>
        <w:rPr>
          <w:sz w:val="20"/>
          <w:szCs w:val="20"/>
          <w:color w:val="auto"/>
        </w:rPr>
      </w:pPr>
      <w:r>
        <w:rPr>
          <w:rFonts w:ascii="Arial" w:cs="Arial" w:eastAsia="Arial" w:hAnsi="Arial"/>
          <w:sz w:val="16"/>
          <w:szCs w:val="16"/>
          <w:color w:val="auto"/>
        </w:rPr>
        <w:t>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w:t>
      </w:r>
    </w:p>
    <w:p>
      <w:pPr>
        <w:spacing w:after="0" w:line="1" w:lineRule="exact"/>
        <w:rPr>
          <w:sz w:val="20"/>
          <w:szCs w:val="20"/>
          <w:color w:val="auto"/>
        </w:rPr>
      </w:pPr>
    </w:p>
    <w:p>
      <w:pPr>
        <w:ind w:right="480"/>
        <w:spacing w:after="0" w:line="233" w:lineRule="auto"/>
        <w:rPr>
          <w:sz w:val="20"/>
          <w:szCs w:val="20"/>
          <w:color w:val="auto"/>
        </w:rPr>
      </w:pPr>
      <w:r>
        <w:rPr>
          <w:rFonts w:ascii="Arial" w:cs="Arial" w:eastAsia="Arial" w:hAnsi="Arial"/>
          <w:sz w:val="18"/>
          <w:szCs w:val="18"/>
          <w:color w:val="auto"/>
        </w:rPr>
        <w:t>included with the net change in unrealized gains (losses) on translation of assets and liabilities in foreign currencies on the consolidated statements of operations.</w:t>
      </w:r>
    </w:p>
    <w:p>
      <w:pPr>
        <w:spacing w:after="0" w:line="190" w:lineRule="exact"/>
        <w:rPr>
          <w:sz w:val="20"/>
          <w:szCs w:val="20"/>
          <w:color w:val="auto"/>
        </w:rPr>
      </w:pPr>
    </w:p>
    <w:p>
      <w:pPr>
        <w:ind w:right="160" w:firstLine="255"/>
        <w:spacing w:after="0" w:line="291"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 and Offering Expenses</w:t>
      </w:r>
    </w:p>
    <w:p>
      <w:pPr>
        <w:spacing w:after="0" w:line="117" w:lineRule="exact"/>
        <w:rPr>
          <w:sz w:val="20"/>
          <w:szCs w:val="20"/>
          <w:color w:val="auto"/>
        </w:rPr>
      </w:pPr>
    </w:p>
    <w:p>
      <w:pPr>
        <w:jc w:val="both"/>
        <w:ind w:right="140" w:firstLine="255"/>
        <w:spacing w:after="0" w:line="248" w:lineRule="auto"/>
        <w:rPr>
          <w:sz w:val="20"/>
          <w:szCs w:val="20"/>
          <w:color w:val="auto"/>
        </w:rPr>
      </w:pPr>
      <w:r>
        <w:rPr>
          <w:rFonts w:ascii="Arial" w:cs="Arial" w:eastAsia="Arial" w:hAnsi="Arial"/>
          <w:sz w:val="18"/>
          <w:szCs w:val="18"/>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195" w:lineRule="exact"/>
        <w:rPr>
          <w:sz w:val="20"/>
          <w:szCs w:val="20"/>
          <w:color w:val="auto"/>
        </w:rPr>
      </w:pPr>
    </w:p>
    <w:p>
      <w:pPr>
        <w:jc w:val="both"/>
        <w:ind w:right="280" w:firstLine="255"/>
        <w:spacing w:after="0" w:line="248" w:lineRule="auto"/>
        <w:rPr>
          <w:sz w:val="20"/>
          <w:szCs w:val="20"/>
          <w:color w:val="auto"/>
        </w:rPr>
      </w:pPr>
      <w:r>
        <w:rPr>
          <w:rFonts w:ascii="Arial" w:cs="Arial" w:eastAsia="Arial" w:hAnsi="Arial"/>
          <w:sz w:val="18"/>
          <w:szCs w:val="18"/>
          <w:color w:val="auto"/>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spacing w:after="0" w:line="195" w:lineRule="exact"/>
        <w:rPr>
          <w:sz w:val="20"/>
          <w:szCs w:val="20"/>
          <w:color w:val="auto"/>
        </w:rPr>
      </w:pPr>
    </w:p>
    <w:p>
      <w:pPr>
        <w:ind w:right="20" w:firstLine="255"/>
        <w:spacing w:after="0" w:line="241" w:lineRule="auto"/>
        <w:rPr>
          <w:sz w:val="20"/>
          <w:szCs w:val="20"/>
          <w:color w:val="auto"/>
        </w:rPr>
      </w:pPr>
      <w:r>
        <w:rPr>
          <w:rFonts w:ascii="Arial" w:cs="Arial" w:eastAsia="Arial" w:hAnsi="Arial"/>
          <w:sz w:val="18"/>
          <w:szCs w:val="18"/>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206" w:lineRule="exact"/>
        <w:rPr>
          <w:sz w:val="20"/>
          <w:szCs w:val="20"/>
          <w:color w:val="auto"/>
        </w:rPr>
      </w:pPr>
    </w:p>
    <w:p>
      <w:pPr>
        <w:ind w:firstLine="524"/>
        <w:spacing w:after="0" w:line="249" w:lineRule="auto"/>
        <w:rPr>
          <w:sz w:val="20"/>
          <w:szCs w:val="20"/>
          <w:color w:val="auto"/>
        </w:rPr>
      </w:pPr>
      <w:r>
        <w:rPr>
          <w:rFonts w:ascii="Arial" w:cs="Arial" w:eastAsia="Arial" w:hAnsi="Arial"/>
          <w:sz w:val="18"/>
          <w:szCs w:val="18"/>
          <w:color w:val="auto"/>
        </w:rPr>
        <w:t>As of September 30, 2022, the Company incurred $0.3 million of organization and offering costs in excess of 0.10% of the Company’s total Capital Commitments, all of which have been borne by the Adviser and is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04" w:lineRule="exact"/>
        <w:rPr>
          <w:sz w:val="20"/>
          <w:szCs w:val="20"/>
          <w:color w:val="auto"/>
        </w:rPr>
      </w:pPr>
    </w:p>
    <w:p>
      <w:pPr>
        <w:ind w:right="120" w:firstLine="255"/>
        <w:spacing w:after="0" w:line="278"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58"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57" w:lineRule="exact"/>
        <w:rPr>
          <w:sz w:val="20"/>
          <w:szCs w:val="20"/>
          <w:color w:val="auto"/>
        </w:rPr>
      </w:pPr>
    </w:p>
    <w:p>
      <w:pPr>
        <w:ind w:right="40" w:firstLine="255"/>
        <w:spacing w:after="0" w:line="260"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right="20" w:firstLine="255"/>
        <w:spacing w:after="0" w:line="248"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firstLine="255"/>
        <w:spacing w:after="0" w:line="248"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212" w:lineRule="exact"/>
        <w:rPr>
          <w:sz w:val="20"/>
          <w:szCs w:val="20"/>
          <w:color w:val="auto"/>
        </w:rPr>
      </w:pPr>
    </w:p>
    <w:p>
      <w:pPr>
        <w:ind w:right="160" w:firstLine="255"/>
        <w:spacing w:after="0" w:line="278" w:lineRule="auto"/>
        <w:rPr>
          <w:sz w:val="20"/>
          <w:szCs w:val="20"/>
          <w:color w:val="auto"/>
        </w:rPr>
      </w:pPr>
      <w:r>
        <w:rPr>
          <w:rFonts w:ascii="Arial" w:cs="Arial" w:eastAsia="Arial" w:hAnsi="Arial"/>
          <w:sz w:val="17"/>
          <w:szCs w:val="17"/>
          <w:color w:val="auto"/>
        </w:rPr>
        <w:t>The Company's earnings per share ("EPS") amounts have been computed based on the weighted-average number of shares of Common Shares outstanding from the Commencement of Operations through September 30, 2022. Basic EPS is computed by dividing net increase (decrease) in net assets resulting from operations by the weighted average number of shares of Common Shares outstanding during the period.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04" w:lineRule="exact"/>
        <w:rPr>
          <w:sz w:val="20"/>
          <w:szCs w:val="20"/>
          <w:color w:val="auto"/>
        </w:rPr>
      </w:pPr>
    </w:p>
    <w:p>
      <w:pPr>
        <w:ind w:right="80" w:firstLine="255"/>
        <w:spacing w:after="0" w:line="24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1"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04" w:lineRule="exact"/>
        <w:rPr>
          <w:sz w:val="20"/>
          <w:szCs w:val="20"/>
          <w:color w:val="auto"/>
        </w:rPr>
      </w:pPr>
    </w:p>
    <w:p>
      <w:pPr>
        <w:ind w:right="140" w:firstLine="255"/>
        <w:spacing w:after="0" w:line="249" w:lineRule="auto"/>
        <w:rPr>
          <w:sz w:val="20"/>
          <w:szCs w:val="20"/>
          <w:color w:val="auto"/>
        </w:rPr>
      </w:pPr>
      <w:r>
        <w:rPr>
          <w:rFonts w:ascii="Arial" w:cs="Arial" w:eastAsia="Arial" w:hAnsi="Arial"/>
          <w:sz w:val="18"/>
          <w:szCs w:val="18"/>
          <w:color w:val="auto"/>
        </w:rPr>
        <w:t>The Company intends to elect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intends to make the requisite distributions to its shareholders, which generally relieves the Company from corporate-level U.S. federal income taxes.</w:t>
      </w:r>
    </w:p>
    <w:p>
      <w:pPr>
        <w:spacing w:after="0" w:line="182" w:lineRule="exact"/>
        <w:rPr>
          <w:sz w:val="20"/>
          <w:szCs w:val="20"/>
          <w:color w:val="auto"/>
        </w:rPr>
      </w:pPr>
    </w:p>
    <w:p>
      <w:pPr>
        <w:ind w:right="80" w:firstLine="255"/>
        <w:spacing w:after="0" w:line="24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6" w:lineRule="exact"/>
        <w:rPr>
          <w:sz w:val="20"/>
          <w:szCs w:val="20"/>
          <w:color w:val="auto"/>
        </w:rPr>
      </w:pPr>
    </w:p>
    <w:p>
      <w:pPr>
        <w:ind w:right="100" w:firstLine="255"/>
        <w:spacing w:after="0" w:line="290" w:lineRule="auto"/>
        <w:rPr>
          <w:sz w:val="20"/>
          <w:szCs w:val="20"/>
          <w:color w:val="auto"/>
        </w:rPr>
      </w:pPr>
      <w:r>
        <w:rPr>
          <w:rFonts w:ascii="Arial" w:cs="Arial" w:eastAsia="Arial" w:hAnsi="Arial"/>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Shareholders</w:t>
      </w:r>
    </w:p>
    <w:p>
      <w:pPr>
        <w:spacing w:after="0" w:line="104" w:lineRule="exact"/>
        <w:rPr>
          <w:sz w:val="20"/>
          <w:szCs w:val="20"/>
          <w:color w:val="auto"/>
        </w:rPr>
      </w:pPr>
    </w:p>
    <w:p>
      <w:pPr>
        <w:ind w:right="260" w:firstLine="255"/>
        <w:spacing w:after="0" w:line="256" w:lineRule="auto"/>
        <w:rPr>
          <w:sz w:val="20"/>
          <w:szCs w:val="20"/>
          <w:color w:val="auto"/>
        </w:rPr>
      </w:pPr>
      <w:r>
        <w:rPr>
          <w:rFonts w:ascii="Arial" w:cs="Arial" w:eastAsia="Arial" w:hAnsi="Arial"/>
          <w:sz w:val="18"/>
          <w:szCs w:val="18"/>
          <w:color w:val="auto"/>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75" w:lineRule="exact"/>
        <w:rPr>
          <w:sz w:val="20"/>
          <w:szCs w:val="20"/>
          <w:color w:val="auto"/>
        </w:rPr>
      </w:pPr>
    </w:p>
    <w:p>
      <w:pPr>
        <w:ind w:right="40" w:firstLine="255"/>
        <w:spacing w:after="0" w:line="268" w:lineRule="auto"/>
        <w:rPr>
          <w:sz w:val="20"/>
          <w:szCs w:val="20"/>
          <w:color w:val="auto"/>
        </w:rPr>
      </w:pPr>
      <w:r>
        <w:rPr>
          <w:rFonts w:ascii="Arial" w:cs="Arial" w:eastAsia="Arial" w:hAnsi="Arial"/>
          <w:sz w:val="17"/>
          <w:szCs w:val="17"/>
          <w:color w:val="auto"/>
        </w:rPr>
        <w:t>The Board has adopted a dividend reinvestment plan, pursuant to which the Company will reinvest all cash dividends or distributions declared by the Board on behalf of investors who do not elect to receive their cash dividends or distributions in cash as provided below. As a result, if the Board authorizes, and the Company declares, a cash dividend or distribution, then shareholders who have not elected to “opt out” of the dividend reinvestment plan will have their cash dividends or distributions automatically reinvested in additional Common Shares as described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ind w:right="120" w:firstLine="255"/>
        <w:spacing w:after="0" w:line="261" w:lineRule="auto"/>
        <w:rPr>
          <w:sz w:val="20"/>
          <w:szCs w:val="20"/>
          <w:color w:val="auto"/>
        </w:rPr>
      </w:pPr>
      <w:r>
        <w:rPr>
          <w:rFonts w:ascii="Arial" w:cs="Arial" w:eastAsia="Arial" w:hAnsi="Arial"/>
          <w:sz w:val="18"/>
          <w:szCs w:val="18"/>
          <w:color w:val="auto"/>
        </w:rPr>
        <w:t>Management does not believe any recently issued, but not yet effective, accounting standards, if currently adopted, would have a material effect on the accompanying financial statement.</w:t>
      </w:r>
    </w:p>
    <w:p>
      <w:pPr>
        <w:spacing w:after="0" w:line="167" w:lineRule="exact"/>
        <w:rPr>
          <w:sz w:val="20"/>
          <w:szCs w:val="20"/>
          <w:color w:val="auto"/>
        </w:rPr>
      </w:pPr>
    </w:p>
    <w:p>
      <w:pPr>
        <w:ind w:right="7640" w:firstLine="8"/>
        <w:spacing w:after="0" w:line="362"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1" w:lineRule="exact"/>
        <w:rPr>
          <w:sz w:val="20"/>
          <w:szCs w:val="20"/>
          <w:color w:val="auto"/>
        </w:rPr>
      </w:pPr>
    </w:p>
    <w:p>
      <w:pPr>
        <w:ind w:firstLine="255"/>
        <w:spacing w:after="0" w:line="283" w:lineRule="auto"/>
        <w:rPr>
          <w:sz w:val="20"/>
          <w:szCs w:val="20"/>
          <w:color w:val="auto"/>
        </w:rPr>
      </w:pPr>
      <w:r>
        <w:rPr>
          <w:rFonts w:ascii="Arial" w:cs="Arial" w:eastAsia="Arial" w:hAnsi="Arial"/>
          <w:sz w:val="16"/>
          <w:szCs w:val="16"/>
          <w:color w:val="auto"/>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56" w:lineRule="exact"/>
        <w:rPr>
          <w:sz w:val="20"/>
          <w:szCs w:val="20"/>
          <w:color w:val="auto"/>
        </w:rPr>
      </w:pPr>
    </w:p>
    <w:p>
      <w:pPr>
        <w:ind w:right="60" w:firstLine="255"/>
        <w:spacing w:after="0" w:line="258" w:lineRule="auto"/>
        <w:rPr>
          <w:sz w:val="20"/>
          <w:szCs w:val="20"/>
          <w:color w:val="auto"/>
        </w:rPr>
      </w:pPr>
      <w:r>
        <w:rPr>
          <w:rFonts w:ascii="Arial" w:cs="Arial" w:eastAsia="Arial" w:hAnsi="Arial"/>
          <w:sz w:val="17"/>
          <w:szCs w:val="17"/>
          <w:color w:val="auto"/>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78" w:lineRule="exact"/>
        <w:rPr>
          <w:sz w:val="20"/>
          <w:szCs w:val="20"/>
          <w:color w:val="auto"/>
        </w:rPr>
      </w:pPr>
    </w:p>
    <w:p>
      <w:pPr>
        <w:ind w:right="240" w:firstLine="255"/>
        <w:spacing w:after="0" w:line="261" w:lineRule="auto"/>
        <w:rPr>
          <w:sz w:val="20"/>
          <w:szCs w:val="20"/>
          <w:color w:val="auto"/>
        </w:rPr>
      </w:pPr>
      <w:r>
        <w:rPr>
          <w:rFonts w:ascii="Arial" w:cs="Arial" w:eastAsia="Arial" w:hAnsi="Arial"/>
          <w:sz w:val="18"/>
          <w:szCs w:val="18"/>
          <w:color w:val="auto"/>
        </w:rPr>
        <w:t>For the three months ended September 30, 2022, the Company has incurred $0.1 million for administrative services payable to the Adviser under the terms of the Administration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120" w:firstLine="255"/>
        <w:spacing w:after="0" w:line="245" w:lineRule="auto"/>
        <w:rPr>
          <w:sz w:val="20"/>
          <w:szCs w:val="20"/>
          <w:color w:val="auto"/>
        </w:rPr>
      </w:pPr>
      <w:r>
        <w:rPr>
          <w:rFonts w:ascii="Arial" w:cs="Arial" w:eastAsia="Arial" w:hAnsi="Arial"/>
          <w:sz w:val="18"/>
          <w:szCs w:val="18"/>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an incentive fee (the "Incentive Fee").</w:t>
      </w:r>
    </w:p>
    <w:p>
      <w:pPr>
        <w:spacing w:after="0" w:line="78" w:lineRule="exact"/>
        <w:rPr>
          <w:sz w:val="20"/>
          <w:szCs w:val="20"/>
          <w:color w:val="auto"/>
        </w:rPr>
      </w:pPr>
    </w:p>
    <w:p>
      <w:pPr>
        <w:ind w:right="20" w:firstLine="255"/>
        <w:spacing w:after="0" w:line="249" w:lineRule="auto"/>
        <w:rPr>
          <w:sz w:val="20"/>
          <w:szCs w:val="20"/>
          <w:color w:val="auto"/>
        </w:rPr>
      </w:pPr>
      <w:r>
        <w:rPr>
          <w:rFonts w:ascii="Arial" w:cs="Arial" w:eastAsia="Arial" w:hAnsi="Arial"/>
          <w:sz w:val="18"/>
          <w:szCs w:val="18"/>
          <w:color w:val="auto"/>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September 30, 2022, Management Fees (gross of waivers) were $0.4 million.</w:t>
      </w:r>
    </w:p>
    <w:p>
      <w:pPr>
        <w:spacing w:after="0" w:line="212" w:lineRule="exact"/>
        <w:rPr>
          <w:sz w:val="20"/>
          <w:szCs w:val="20"/>
          <w:color w:val="auto"/>
        </w:rPr>
      </w:pPr>
    </w:p>
    <w:p>
      <w:pPr>
        <w:ind w:right="40" w:firstLine="255"/>
        <w:spacing w:after="0" w:line="290" w:lineRule="auto"/>
        <w:rPr>
          <w:sz w:val="20"/>
          <w:szCs w:val="20"/>
          <w:color w:val="auto"/>
        </w:rPr>
      </w:pPr>
      <w:r>
        <w:rPr>
          <w:rFonts w:ascii="Arial" w:cs="Arial" w:eastAsia="Arial" w:hAnsi="Arial"/>
          <w:sz w:val="16"/>
          <w:szCs w:val="16"/>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three months ended September 30, 2022, Management Fees of $0.4 million have been waived.</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04" w:lineRule="exact"/>
        <w:rPr>
          <w:sz w:val="20"/>
          <w:szCs w:val="20"/>
          <w:color w:val="auto"/>
        </w:rPr>
      </w:pPr>
    </w:p>
    <w:p>
      <w:pPr>
        <w:ind w:left="520" w:right="400" w:hanging="257"/>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will equal 100% of the excess of pre-Incentive Fee net investment income in excess of a 1.5% quarterly hurdle rate, until the Adviser has received 12.5% (17.5% subsequent to an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4" w:name="page15"/>
    <w:bookmarkEnd w:id="14"/>
    <w:p>
      <w:pPr>
        <w:ind w:left="520" w:right="460"/>
        <w:spacing w:after="0" w:line="277" w:lineRule="auto"/>
        <w:rPr>
          <w:sz w:val="20"/>
          <w:szCs w:val="20"/>
          <w:color w:val="auto"/>
        </w:rPr>
      </w:pPr>
      <w:r>
        <w:rPr>
          <w:rFonts w:ascii="Arial" w:cs="Arial" w:eastAsia="Arial" w:hAnsi="Arial"/>
          <w:sz w:val="18"/>
          <w:szCs w:val="18"/>
          <w:color w:val="auto"/>
        </w:rPr>
        <w:t>Exchange Listing) of total net investment income for that quarter, and 12.5% (17.5% subsequent to an Exchange Listing) of all remaining pre-Incentive Fee net investment income for that quarter.</w:t>
      </w:r>
    </w:p>
    <w:p>
      <w:pPr>
        <w:spacing w:after="0" w:line="49" w:lineRule="exact"/>
        <w:rPr>
          <w:sz w:val="20"/>
          <w:szCs w:val="20"/>
          <w:color w:val="auto"/>
        </w:rPr>
      </w:pPr>
    </w:p>
    <w:p>
      <w:pPr>
        <w:ind w:left="520" w:right="20"/>
        <w:spacing w:after="0" w:line="244"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79" w:lineRule="exact"/>
        <w:rPr>
          <w:sz w:val="20"/>
          <w:szCs w:val="20"/>
          <w:color w:val="auto"/>
        </w:rPr>
      </w:pPr>
    </w:p>
    <w:p>
      <w:pPr>
        <w:ind w:left="520" w:right="20" w:hanging="257"/>
        <w:spacing w:after="0" w:line="273"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Exchange Listing, equal 12.5% of cumulative realized capital gains from the inception of the Company to the end of such fiscal year, less the aggregate amount of any previously paid capital gain Incentive Fee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w:t>
      </w:r>
    </w:p>
    <w:p>
      <w:pPr>
        <w:spacing w:after="0" w:line="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12.5% and the portion of the Company’s realized capital gains that accrued following an Exchange Listing will be subject to an Incentive Fee rate of</w:t>
      </w:r>
    </w:p>
    <w:p>
      <w:pPr>
        <w:spacing w:after="0" w:line="18"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17.5%.</w:t>
      </w:r>
    </w:p>
    <w:p>
      <w:pPr>
        <w:spacing w:after="0" w:line="209" w:lineRule="exact"/>
        <w:rPr>
          <w:sz w:val="20"/>
          <w:szCs w:val="20"/>
          <w:color w:val="auto"/>
        </w:rPr>
      </w:pPr>
    </w:p>
    <w:p>
      <w:pPr>
        <w:ind w:right="420" w:firstLine="255"/>
        <w:spacing w:after="0" w:line="291"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spacing w:after="0" w:line="147" w:lineRule="exact"/>
        <w:rPr>
          <w:sz w:val="20"/>
          <w:szCs w:val="20"/>
          <w:color w:val="auto"/>
        </w:rPr>
      </w:pPr>
    </w:p>
    <w:p>
      <w:pPr>
        <w:ind w:right="180" w:firstLine="255"/>
        <w:spacing w:after="0" w:line="308" w:lineRule="auto"/>
        <w:rPr>
          <w:sz w:val="20"/>
          <w:szCs w:val="20"/>
          <w:color w:val="auto"/>
        </w:rPr>
      </w:pPr>
      <w:r>
        <w:rPr>
          <w:rFonts w:ascii="Arial" w:cs="Arial" w:eastAsia="Arial" w:hAnsi="Arial"/>
          <w:sz w:val="17"/>
          <w:szCs w:val="17"/>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33" w:lineRule="exact"/>
        <w:rPr>
          <w:sz w:val="20"/>
          <w:szCs w:val="20"/>
          <w:color w:val="auto"/>
        </w:rPr>
      </w:pPr>
    </w:p>
    <w:p>
      <w:pPr>
        <w:ind w:right="40" w:firstLine="255"/>
        <w:spacing w:after="0" w:line="249" w:lineRule="auto"/>
        <w:rPr>
          <w:sz w:val="20"/>
          <w:szCs w:val="20"/>
          <w:color w:val="auto"/>
        </w:rPr>
      </w:pPr>
      <w:r>
        <w:rPr>
          <w:rFonts w:ascii="Arial" w:cs="Arial" w:eastAsia="Arial" w:hAnsi="Arial"/>
          <w:sz w:val="18"/>
          <w:szCs w:val="18"/>
          <w:color w:val="auto"/>
        </w:rPr>
        <w:t>For the three months ended September 30, 2022, Incentive Fees were $47 thousand. For the three months ended September 30, 2022, $47 thousand of Incentive Fees were accrued related to cumulative unrealized capital gains in excess of cumulative net realized capital gains less any cumulative unrealized losses and Capital Gains Incentive Fees paid inception to date. As of September 30, 2022, these accrued Incentive Fees are not contractually payable to the Adviser.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Support Agreement</w:t>
      </w:r>
    </w:p>
    <w:p>
      <w:pPr>
        <w:spacing w:after="0" w:line="212" w:lineRule="exact"/>
        <w:rPr>
          <w:sz w:val="20"/>
          <w:szCs w:val="20"/>
          <w:color w:val="auto"/>
        </w:rPr>
      </w:pPr>
    </w:p>
    <w:p>
      <w:pPr>
        <w:ind w:firstLine="225"/>
        <w:spacing w:after="0" w:line="257" w:lineRule="auto"/>
        <w:rPr>
          <w:sz w:val="20"/>
          <w:szCs w:val="20"/>
          <w:color w:val="auto"/>
        </w:rPr>
      </w:pPr>
      <w:r>
        <w:rPr>
          <w:rFonts w:ascii="Arial" w:cs="Arial" w:eastAsia="Arial" w:hAnsi="Arial"/>
          <w:sz w:val="17"/>
          <w:szCs w:val="17"/>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81" w:lineRule="exact"/>
        <w:rPr>
          <w:sz w:val="20"/>
          <w:szCs w:val="20"/>
          <w:color w:val="auto"/>
        </w:rPr>
      </w:pPr>
    </w:p>
    <w:p>
      <w:pPr>
        <w:ind w:right="960" w:firstLine="255"/>
        <w:spacing w:after="0" w:line="291" w:lineRule="auto"/>
        <w:rPr>
          <w:sz w:val="20"/>
          <w:szCs w:val="20"/>
          <w:color w:val="auto"/>
        </w:rPr>
      </w:pPr>
      <w:r>
        <w:rPr>
          <w:rFonts w:ascii="Arial" w:cs="Arial" w:eastAsia="Arial" w:hAnsi="Arial"/>
          <w:sz w:val="17"/>
          <w:szCs w:val="17"/>
          <w:color w:val="auto"/>
        </w:rPr>
        <w:t>As of September 30, 2022, the Adviser has not provided any written commitments for Expense Payments. The Company has not made any Reimbursement Payments to the Adviser. The Company may or may not reimburse remaining expense support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08" w:lineRule="exact"/>
        <w:rPr>
          <w:sz w:val="20"/>
          <w:szCs w:val="20"/>
          <w:color w:val="auto"/>
        </w:rPr>
      </w:pPr>
    </w:p>
    <w:p>
      <w:pPr>
        <w:ind w:right="320" w:firstLine="255"/>
        <w:spacing w:after="0" w:line="261" w:lineRule="auto"/>
        <w:rPr>
          <w:sz w:val="20"/>
          <w:szCs w:val="20"/>
          <w:color w:val="auto"/>
        </w:rPr>
      </w:pPr>
      <w:r>
        <w:rPr>
          <w:rFonts w:ascii="Arial" w:cs="Arial" w:eastAsia="Arial" w:hAnsi="Arial"/>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 w:name="page16"/>
    <w:bookmarkEnd w:id="15"/>
    <w:p>
      <w:pPr>
        <w:spacing w:after="0" w:line="288" w:lineRule="auto"/>
        <w:rPr>
          <w:sz w:val="20"/>
          <w:szCs w:val="20"/>
          <w:color w:val="auto"/>
        </w:rPr>
      </w:pPr>
      <w:r>
        <w:rPr>
          <w:rFonts w:ascii="Arial" w:cs="Arial" w:eastAsia="Arial" w:hAnsi="Arial"/>
          <w:sz w:val="16"/>
          <w:szCs w:val="16"/>
          <w:color w:val="auto"/>
        </w:rPr>
        <w:t>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September 30, 2022:</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 xml:space="preserve">Amortized Cost </w:t>
            </w:r>
            <w:r>
              <w:rPr>
                <w:rFonts w:ascii="Arial" w:cs="Arial" w:eastAsia="Arial" w:hAnsi="Arial"/>
                <w:sz w:val="19"/>
                <w:szCs w:val="19"/>
                <w:b w:val="1"/>
                <w:bCs w:val="1"/>
                <w:color w:val="auto"/>
                <w:w w:val="92"/>
                <w:vertAlign w:val="superscript"/>
              </w:rPr>
              <w:t>(1)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1"/>
                <w:szCs w:val="11"/>
                <w:color w:val="auto"/>
              </w:rPr>
            </w:pPr>
          </w:p>
        </w:tc>
        <w:tc>
          <w:tcPr>
            <w:tcW w:w="1080" w:type="dxa"/>
            <w:vAlign w:val="bottom"/>
          </w:tcPr>
          <w:p>
            <w:pPr>
              <w:jc w:val="right"/>
              <w:ind w:right="59"/>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4"/>
                <w:szCs w:val="14"/>
                <w:b w:val="1"/>
                <w:bCs w:val="1"/>
                <w:color w:val="auto"/>
              </w:rPr>
              <w:t>Gain (Loss)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104,196</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104,455</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80"/>
              <w:spacing w:after="0"/>
              <w:rPr>
                <w:sz w:val="20"/>
                <w:szCs w:val="20"/>
                <w:color w:val="auto"/>
              </w:rPr>
            </w:pPr>
            <w:r>
              <w:rPr>
                <w:rFonts w:ascii="Arial" w:cs="Arial" w:eastAsia="Arial" w:hAnsi="Arial"/>
                <w:sz w:val="18"/>
                <w:szCs w:val="18"/>
                <w:b w:val="1"/>
                <w:bCs w:val="1"/>
                <w:color w:val="auto"/>
              </w:rPr>
              <w:t>Total Investments</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104,196</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104,455</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right="8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September 30, 2022:</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Chemicals</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93.3 %</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The geographic composition of investments at fair value at September 30, 2022:</w:t>
            </w: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8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Northeast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93.3 %</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Norway</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-1559560</wp:posOffset>
            </wp:positionV>
            <wp:extent cx="570039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-1285240</wp:posOffset>
            </wp:positionV>
            <wp:extent cx="570039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-307975</wp:posOffset>
            </wp:positionV>
            <wp:extent cx="570039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8260" w:firstLine="8"/>
        <w:spacing w:after="0" w:line="370" w:lineRule="auto"/>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September 30, 2022:</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7"/>
              </w:rPr>
              <w:t>Fair Value Hierarchy at September 30, 2022</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104,455</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9"/>
              </w:rPr>
              <w:t>104,455</w:t>
            </w:r>
          </w:p>
        </w:tc>
        <w:tc>
          <w:tcPr>
            <w:tcW w:w="80" w:type="dxa"/>
            <w:vAlign w:val="bottom"/>
            <w:shd w:val="clear" w:color="auto" w:fill="CFF0FC"/>
          </w:tcPr>
          <w:p>
            <w:pPr>
              <w:spacing w:after="0"/>
              <w:rPr>
                <w:sz w:val="18"/>
                <w:szCs w:val="18"/>
                <w:color w:val="auto"/>
              </w:rPr>
            </w:pPr>
          </w:p>
        </w:tc>
      </w:tr>
      <w:tr>
        <w:trPr>
          <w:trHeight w:val="210"/>
        </w:trPr>
        <w:tc>
          <w:tcPr>
            <w:tcW w:w="46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104,455</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9"/>
              </w:rPr>
              <w:t>104,455</w:t>
            </w:r>
          </w:p>
        </w:tc>
        <w:tc>
          <w:tcPr>
            <w:tcW w:w="8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6" w:name="page17"/>
    <w:bookmarkEnd w:id="16"/>
    <w:p>
      <w:pPr>
        <w:ind w:right="2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September 30,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As of and for the Three Months Ended</w:t>
            </w:r>
          </w:p>
        </w:tc>
        <w:tc>
          <w:tcPr>
            <w:tcW w:w="100" w:type="dxa"/>
            <w:vAlign w:val="bottom"/>
          </w:tcPr>
          <w:p>
            <w:pPr>
              <w:spacing w:after="0"/>
              <w:rPr>
                <w:sz w:val="15"/>
                <w:szCs w:val="15"/>
                <w:color w:val="auto"/>
              </w:rPr>
            </w:pPr>
          </w:p>
        </w:tc>
      </w:tr>
      <w:tr>
        <w:trPr>
          <w:trHeight w:val="185"/>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7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center"/>
              <w:ind w:right="178"/>
              <w:spacing w:after="0" w:line="133" w:lineRule="exact"/>
              <w:rPr>
                <w:sz w:val="20"/>
                <w:szCs w:val="20"/>
                <w:color w:val="auto"/>
              </w:rPr>
            </w:pPr>
            <w:r>
              <w:rPr>
                <w:rFonts w:ascii="Arial" w:cs="Arial" w:eastAsia="Arial" w:hAnsi="Arial"/>
                <w:sz w:val="14"/>
                <w:szCs w:val="14"/>
                <w:b w:val="1"/>
                <w:bCs w:val="1"/>
                <w:color w:val="auto"/>
                <w:w w:val="94"/>
              </w:rPr>
              <w:t>First-lien</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58"/>
              <w:spacing w:after="0"/>
              <w:rPr>
                <w:sz w:val="20"/>
                <w:szCs w:val="20"/>
                <w:color w:val="auto"/>
              </w:rPr>
            </w:pPr>
            <w:r>
              <w:rPr>
                <w:rFonts w:ascii="Arial" w:cs="Arial" w:eastAsia="Arial" w:hAnsi="Arial"/>
                <w:sz w:val="14"/>
                <w:szCs w:val="14"/>
                <w:b w:val="1"/>
                <w:bCs w:val="1"/>
                <w:color w:val="auto"/>
                <w:w w:val="87"/>
              </w:rPr>
              <w:t>debt</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8"/>
              </w:rPr>
              <w:t>investments</w:t>
            </w:r>
          </w:p>
        </w:tc>
        <w:tc>
          <w:tcPr>
            <w:tcW w:w="3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Purchases or originations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104,148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104,148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unrealized gains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Net amortization of discount on securities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Transfers into (out of) Level 3</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0"/>
              <w:spacing w:after="0"/>
              <w:rPr>
                <w:sz w:val="20"/>
                <w:szCs w:val="20"/>
                <w:color w:val="auto"/>
              </w:rPr>
            </w:pPr>
            <w:r>
              <w:rPr>
                <w:rFonts w:ascii="Arial" w:cs="Arial" w:eastAsia="Arial" w:hAnsi="Arial"/>
                <w:sz w:val="18"/>
                <w:szCs w:val="18"/>
                <w:b w:val="1"/>
                <w:bCs w:val="1"/>
                <w:color w:val="auto"/>
              </w:rPr>
              <w:t>Balance, End of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104,455</w:t>
            </w: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104,455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September 30, 2022:</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tcPr>
          <w:p>
            <w:pPr>
              <w:jc w:val="center"/>
              <w:ind w:right="224"/>
              <w:spacing w:after="0"/>
              <w:rPr>
                <w:sz w:val="20"/>
                <w:szCs w:val="20"/>
                <w:color w:val="auto"/>
              </w:rPr>
            </w:pPr>
            <w:r>
              <w:rPr>
                <w:rFonts w:ascii="Arial" w:cs="Arial" w:eastAsia="Arial" w:hAnsi="Arial"/>
                <w:sz w:val="14"/>
                <w:szCs w:val="14"/>
                <w:b w:val="1"/>
                <w:bCs w:val="1"/>
                <w:color w:val="auto"/>
                <w:w w:val="94"/>
              </w:rPr>
              <w:t>Net Change in Unrealized</w:t>
            </w:r>
          </w:p>
        </w:tc>
        <w:tc>
          <w:tcPr>
            <w:tcW w:w="240" w:type="dxa"/>
            <w:vAlign w:val="bottom"/>
          </w:tcPr>
          <w:p>
            <w:pPr>
              <w:spacing w:after="0"/>
              <w:rPr>
                <w:sz w:val="15"/>
                <w:szCs w:val="15"/>
                <w:color w:val="auto"/>
              </w:rPr>
            </w:pPr>
          </w:p>
        </w:tc>
      </w:tr>
      <w:tr>
        <w:trPr>
          <w:trHeight w:val="175"/>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tcPr>
          <w:p>
            <w:pPr>
              <w:jc w:val="center"/>
              <w:ind w:right="224"/>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5"/>
                <w:szCs w:val="15"/>
                <w:color w:val="auto"/>
              </w:rPr>
            </w:pPr>
          </w:p>
        </w:tc>
      </w:tr>
      <w:tr>
        <w:trPr>
          <w:trHeight w:val="176"/>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tcPr>
          <w:p>
            <w:pPr>
              <w:jc w:val="center"/>
              <w:ind w:right="224"/>
              <w:spacing w:after="0"/>
              <w:rPr>
                <w:sz w:val="20"/>
                <w:szCs w:val="20"/>
                <w:color w:val="auto"/>
              </w:rPr>
            </w:pPr>
            <w:r>
              <w:rPr>
                <w:rFonts w:ascii="Arial" w:cs="Arial" w:eastAsia="Arial" w:hAnsi="Arial"/>
                <w:sz w:val="14"/>
                <w:szCs w:val="14"/>
                <w:b w:val="1"/>
                <w:bCs w:val="1"/>
                <w:color w:val="auto"/>
                <w:w w:val="94"/>
              </w:rPr>
              <w:t>for the Three Months Ended</w:t>
            </w:r>
          </w:p>
        </w:tc>
        <w:tc>
          <w:tcPr>
            <w:tcW w:w="240" w:type="dxa"/>
            <w:vAlign w:val="bottom"/>
          </w:tcPr>
          <w:p>
            <w:pPr>
              <w:spacing w:after="0"/>
              <w:rPr>
                <w:sz w:val="15"/>
                <w:szCs w:val="15"/>
                <w:color w:val="auto"/>
              </w:rPr>
            </w:pPr>
          </w:p>
        </w:tc>
      </w:tr>
      <w:tr>
        <w:trPr>
          <w:trHeight w:val="176"/>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tcPr>
          <w:p>
            <w:pPr>
              <w:jc w:val="center"/>
              <w:ind w:right="224"/>
              <w:spacing w:after="0"/>
              <w:rPr>
                <w:sz w:val="20"/>
                <w:szCs w:val="20"/>
                <w:color w:val="auto"/>
              </w:rPr>
            </w:pPr>
            <w:r>
              <w:rPr>
                <w:rFonts w:ascii="Arial" w:cs="Arial" w:eastAsia="Arial" w:hAnsi="Arial"/>
                <w:sz w:val="14"/>
                <w:szCs w:val="14"/>
                <w:b w:val="1"/>
                <w:bCs w:val="1"/>
                <w:color w:val="auto"/>
                <w:w w:val="92"/>
              </w:rPr>
              <w:t>September 30, 2022 on</w:t>
            </w:r>
          </w:p>
        </w:tc>
        <w:tc>
          <w:tcPr>
            <w:tcW w:w="240" w:type="dxa"/>
            <w:vAlign w:val="bottom"/>
          </w:tcPr>
          <w:p>
            <w:pPr>
              <w:spacing w:after="0"/>
              <w:rPr>
                <w:sz w:val="15"/>
                <w:szCs w:val="15"/>
                <w:color w:val="auto"/>
              </w:rPr>
            </w:pPr>
          </w:p>
        </w:tc>
      </w:tr>
      <w:tr>
        <w:trPr>
          <w:trHeight w:val="175"/>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tcPr>
          <w:p>
            <w:pPr>
              <w:jc w:val="center"/>
              <w:ind w:right="224"/>
              <w:spacing w:after="0"/>
              <w:rPr>
                <w:sz w:val="20"/>
                <w:szCs w:val="20"/>
                <w:color w:val="auto"/>
              </w:rPr>
            </w:pPr>
            <w:r>
              <w:rPr>
                <w:rFonts w:ascii="Arial" w:cs="Arial" w:eastAsia="Arial" w:hAnsi="Arial"/>
                <w:sz w:val="14"/>
                <w:szCs w:val="14"/>
                <w:b w:val="1"/>
                <w:bCs w:val="1"/>
                <w:color w:val="auto"/>
                <w:w w:val="93"/>
              </w:rPr>
              <w:t>Investments Held at</w:t>
            </w:r>
          </w:p>
        </w:tc>
        <w:tc>
          <w:tcPr>
            <w:tcW w:w="240" w:type="dxa"/>
            <w:vAlign w:val="bottom"/>
          </w:tcPr>
          <w:p>
            <w:pPr>
              <w:spacing w:after="0"/>
              <w:rPr>
                <w:sz w:val="15"/>
                <w:szCs w:val="15"/>
                <w:color w:val="auto"/>
              </w:rPr>
            </w:pPr>
          </w:p>
        </w:tc>
      </w:tr>
      <w:tr>
        <w:trPr>
          <w:trHeight w:val="18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1"/>
              </w:rPr>
              <w:t>September 30, 2022</w:t>
            </w:r>
          </w:p>
        </w:tc>
        <w:tc>
          <w:tcPr>
            <w:tcW w:w="240" w:type="dxa"/>
            <w:vAlign w:val="bottom"/>
          </w:tcPr>
          <w:p>
            <w:pPr>
              <w:spacing w:after="0"/>
              <w:rPr>
                <w:sz w:val="16"/>
                <w:szCs w:val="16"/>
                <w:color w:val="auto"/>
              </w:rPr>
            </w:pPr>
          </w:p>
        </w:tc>
      </w:tr>
      <w:tr>
        <w:trPr>
          <w:trHeight w:val="20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FF0FC"/>
          </w:tcPr>
          <w:p>
            <w:pPr>
              <w:spacing w:after="0"/>
              <w:rPr>
                <w:sz w:val="18"/>
                <w:szCs w:val="18"/>
                <w:color w:val="auto"/>
              </w:rPr>
            </w:pPr>
          </w:p>
        </w:tc>
      </w:tr>
      <w:tr>
        <w:trPr>
          <w:trHeight w:val="209"/>
        </w:trPr>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60" w:firstLine="255"/>
        <w:spacing w:after="0" w:line="256"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September 30, 2022. The tables are not intended to be all-inclusive, but instead capture the significant unobservable inputs relevant to the Company’s determination of fair values.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vMerge w:val="restart"/>
          </w:tcPr>
          <w:p>
            <w:pPr>
              <w:jc w:val="right"/>
              <w:ind w:right="465"/>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6"/>
                <w:szCs w:val="16"/>
                <w:color w:val="auto"/>
              </w:rPr>
            </w:pPr>
          </w:p>
        </w:tc>
        <w:tc>
          <w:tcPr>
            <w:tcW w:w="16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104,455</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465"/>
              <w:spacing w:after="0"/>
              <w:rPr>
                <w:sz w:val="20"/>
                <w:szCs w:val="20"/>
                <w:color w:val="auto"/>
              </w:rPr>
            </w:pPr>
            <w:r>
              <w:rPr>
                <w:rFonts w:ascii="Arial" w:cs="Arial" w:eastAsia="Arial" w:hAnsi="Arial"/>
                <w:sz w:val="16"/>
                <w:szCs w:val="16"/>
                <w:color w:val="auto"/>
                <w:w w:val="90"/>
              </w:rPr>
              <w:t>Income approach</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Discount rate</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8.35% — 12.17% (11.92%)</w:t>
            </w:r>
          </w:p>
        </w:tc>
        <w:tc>
          <w:tcPr>
            <w:tcW w:w="100" w:type="dxa"/>
            <w:vAlign w:val="bottom"/>
            <w:shd w:val="clear" w:color="auto" w:fill="CFF0FC"/>
          </w:tcPr>
          <w:p>
            <w:pPr>
              <w:spacing w:after="0"/>
              <w:rPr>
                <w:sz w:val="17"/>
                <w:szCs w:val="17"/>
                <w:color w:val="auto"/>
              </w:rPr>
            </w:pPr>
          </w:p>
        </w:tc>
        <w:tc>
          <w:tcPr>
            <w:tcW w:w="1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6"/>
        </w:trPr>
        <w:tc>
          <w:tcPr>
            <w:tcW w:w="2780" w:type="dxa"/>
            <w:vAlign w:val="bottom"/>
          </w:tcPr>
          <w:p>
            <w:pPr>
              <w:ind w:left="20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104,455</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80" w:firstLine="225"/>
        <w:spacing w:after="0" w:line="263"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4" w:lineRule="exact"/>
        <w:rPr>
          <w:sz w:val="20"/>
          <w:szCs w:val="20"/>
          <w:color w:val="auto"/>
        </w:rPr>
      </w:pPr>
    </w:p>
    <w:p>
      <w:pPr>
        <w:ind w:right="240" w:firstLine="255"/>
        <w:spacing w:after="0" w:line="260"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04" w:lineRule="exact"/>
        <w:rPr>
          <w:sz w:val="20"/>
          <w:szCs w:val="20"/>
          <w:color w:val="auto"/>
        </w:rPr>
      </w:pPr>
    </w:p>
    <w:p>
      <w:pPr>
        <w:ind w:right="240" w:firstLine="255"/>
        <w:spacing w:after="0" w:line="261"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September 30, 2022, approximates its carrying value as the outstanding balance is callable at carrying value.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460" w:firstLine="255"/>
        <w:spacing w:after="0" w:line="261" w:lineRule="auto"/>
        <w:rPr>
          <w:sz w:val="20"/>
          <w:szCs w:val="20"/>
          <w:color w:val="auto"/>
        </w:rPr>
      </w:pPr>
      <w:r>
        <w:rPr>
          <w:rFonts w:ascii="Arial" w:cs="Arial" w:eastAsia="Arial" w:hAnsi="Arial"/>
          <w:sz w:val="18"/>
          <w:szCs w:val="18"/>
          <w:color w:val="auto"/>
        </w:rPr>
        <w:t>Under the fair value hierarchy, cash and cash equivalents are classified as Level 1 while the Company’s other assets and liabilities, other than investments at fair value and Revolving Credit Facility, are classified as Level 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08" w:lineRule="exact"/>
        <w:rPr>
          <w:sz w:val="20"/>
          <w:szCs w:val="20"/>
          <w:color w:val="auto"/>
        </w:rPr>
      </w:pPr>
    </w:p>
    <w:p>
      <w:pPr>
        <w:ind w:firstLine="255"/>
        <w:spacing w:after="0" w:line="261"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September 30, 2022 was 182.6%.</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September 30, 2022:</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4"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41"/>
              <w:spacing w:after="0" w:line="144" w:lineRule="exact"/>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Committed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9"/>
              <w:spacing w:after="0" w:line="189" w:lineRule="exact"/>
              <w:rPr>
                <w:sz w:val="20"/>
                <w:szCs w:val="20"/>
                <w:color w:val="auto"/>
              </w:rPr>
            </w:pPr>
            <w:r>
              <w:rPr>
                <w:rFonts w:ascii="Arial" w:cs="Arial" w:eastAsia="Arial" w:hAnsi="Arial"/>
                <w:sz w:val="14"/>
                <w:szCs w:val="14"/>
                <w:b w:val="1"/>
                <w:bCs w:val="1"/>
                <w:color w:val="auto"/>
                <w:w w:val="93"/>
              </w:rPr>
              <w:t xml:space="preserve">Available </w:t>
            </w:r>
            <w:r>
              <w:rPr>
                <w:rFonts w:ascii="Arial" w:cs="Arial" w:eastAsia="Arial" w:hAnsi="Arial"/>
                <w:sz w:val="19"/>
                <w:szCs w:val="19"/>
                <w:b w:val="1"/>
                <w:bCs w:val="1"/>
                <w:color w:val="auto"/>
                <w:w w:val="93"/>
                <w:vertAlign w:val="superscript"/>
              </w:rPr>
              <w:t>(1)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9"/>
              <w:spacing w:after="0" w:line="189"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9"/>
                <w:szCs w:val="19"/>
                <w:b w:val="1"/>
                <w:bCs w:val="1"/>
                <w:color w:val="auto"/>
                <w:vertAlign w:val="superscript"/>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217,197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182,803</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180"/>
              <w:spacing w:after="0"/>
              <w:rPr>
                <w:sz w:val="20"/>
                <w:szCs w:val="20"/>
                <w:color w:val="auto"/>
              </w:rPr>
            </w:pPr>
            <w:r>
              <w:rPr>
                <w:rFonts w:ascii="Arial" w:cs="Arial" w:eastAsia="Arial" w:hAnsi="Arial"/>
                <w:sz w:val="18"/>
                <w:szCs w:val="18"/>
                <w:b w:val="1"/>
                <w:bCs w:val="1"/>
                <w:color w:val="auto"/>
              </w:rPr>
              <w:t>Total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217,197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182,803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214,704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-170815</wp:posOffset>
            </wp:positionV>
            <wp:extent cx="685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032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68" w:lineRule="exact"/>
        <w:rPr>
          <w:sz w:val="20"/>
          <w:szCs w:val="20"/>
          <w:color w:val="auto"/>
        </w:rPr>
      </w:pPr>
    </w:p>
    <w:p>
      <w:pPr>
        <w:ind w:left="520" w:right="540" w:hanging="512"/>
        <w:spacing w:after="0" w:line="25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carrying value of the Revolving Credit Facility is presented net deferred financing costs of $2.5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652" w:right="699" w:bottom="1440" w:gutter="0" w:footer="0" w:header="0"/>
        </w:sectPr>
      </w:pPr>
    </w:p>
    <w:bookmarkStart w:id="18" w:name="page19"/>
    <w:bookmarkEnd w:id="18"/>
    <w:p>
      <w:pPr>
        <w:ind w:left="260"/>
        <w:spacing w:after="0"/>
        <w:rPr>
          <w:sz w:val="20"/>
          <w:szCs w:val="20"/>
          <w:color w:val="auto"/>
        </w:rPr>
      </w:pPr>
      <w:r>
        <w:rPr>
          <w:rFonts w:ascii="Arial" w:cs="Arial" w:eastAsia="Arial" w:hAnsi="Arial"/>
          <w:sz w:val="18"/>
          <w:szCs w:val="18"/>
          <w:color w:val="auto"/>
        </w:rPr>
        <w:t>For the three months ended September 30, 2022, the components of interest expense were as follows: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8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85"/>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September 30, 2022</w:t>
            </w:r>
          </w:p>
        </w:tc>
        <w:tc>
          <w:tcPr>
            <w:tcW w:w="0" w:type="dxa"/>
            <w:vAlign w:val="bottom"/>
          </w:tcPr>
          <w:p>
            <w:pPr>
              <w:spacing w:after="0"/>
              <w:rPr>
                <w:sz w:val="1"/>
                <w:szCs w:val="1"/>
                <w:color w:val="auto"/>
              </w:rPr>
            </w:pPr>
          </w:p>
        </w:tc>
      </w:tr>
      <w:tr>
        <w:trPr>
          <w:trHeight w:val="20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Commitment fees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Total Interest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line="187" w:lineRule="exact"/>
              <w:rPr>
                <w:sz w:val="20"/>
                <w:szCs w:val="20"/>
                <w:color w:val="auto"/>
              </w:rPr>
            </w:pPr>
            <w:r>
              <w:rPr>
                <w:rFonts w:ascii="Arial" w:cs="Arial" w:eastAsia="Arial" w:hAnsi="Arial"/>
                <w:sz w:val="16"/>
                <w:szCs w:val="16"/>
                <w:color w:val="auto"/>
              </w:rPr>
              <w:t xml:space="preserve">Average debt outstanding (in millions) </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00" w:type="dxa"/>
            <w:vAlign w:val="bottom"/>
            <w:vMerge w:val="continue"/>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line="147" w:lineRule="exact"/>
              <w:rPr>
                <w:sz w:val="20"/>
                <w:szCs w:val="20"/>
                <w:color w:val="auto"/>
              </w:rPr>
            </w:pPr>
            <w:r>
              <w:rPr>
                <w:rFonts w:ascii="Arial" w:cs="Arial" w:eastAsia="Arial" w:hAnsi="Arial"/>
                <w:sz w:val="16"/>
                <w:szCs w:val="16"/>
                <w:color w:val="auto"/>
              </w:rPr>
              <w:t>71.2</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8000" w:type="dxa"/>
            <w:vAlign w:val="bottom"/>
          </w:tcPr>
          <w:p>
            <w:pPr>
              <w:spacing w:after="0"/>
              <w:rPr>
                <w:sz w:val="20"/>
                <w:szCs w:val="20"/>
                <w:color w:val="auto"/>
              </w:rPr>
            </w:pPr>
            <w:r>
              <w:rPr>
                <w:rFonts w:ascii="Arial" w:cs="Arial" w:eastAsia="Arial" w:hAnsi="Arial"/>
                <w:sz w:val="18"/>
                <w:szCs w:val="18"/>
                <w:color w:val="auto"/>
              </w:rPr>
              <w:t xml:space="preserve">Weighted average interest rate </w:t>
            </w:r>
            <w:r>
              <w:rPr>
                <w:rFonts w:ascii="Arial" w:cs="Arial" w:eastAsia="Arial" w:hAnsi="Arial"/>
                <w:sz w:val="24"/>
                <w:szCs w:val="24"/>
                <w:color w:val="auto"/>
                <w:vertAlign w:val="superscript"/>
              </w:rPr>
              <w:t>(1)</w:t>
            </w:r>
          </w:p>
        </w:tc>
        <w:tc>
          <w:tcPr>
            <w:tcW w:w="180" w:type="dxa"/>
            <w:vAlign w:val="bottom"/>
          </w:tcPr>
          <w:p>
            <w:pPr>
              <w:spacing w:after="0"/>
              <w:rPr>
                <w:sz w:val="24"/>
                <w:szCs w:val="24"/>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-476250</wp:posOffset>
            </wp:positionV>
            <wp:extent cx="6412230"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2230" cy="308610"/>
                    </a:xfrm>
                    <a:prstGeom prst="rect">
                      <a:avLst/>
                    </a:prstGeom>
                    <a:noFill/>
                  </pic:spPr>
                </pic:pic>
              </a:graphicData>
            </a:graphic>
          </wp:anchor>
        </w:drawing>
      </w:r>
    </w:p>
    <w:p>
      <w:pPr>
        <w:spacing w:after="0" w:line="25" w:lineRule="exact"/>
        <w:rPr>
          <w:sz w:val="20"/>
          <w:szCs w:val="20"/>
          <w:color w:val="auto"/>
        </w:rPr>
      </w:pPr>
    </w:p>
    <w:p>
      <w:pPr>
        <w:ind w:left="520" w:right="6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debt outstanding and weighted average interest rate were computed from the initial drawdown on the Revolving Credit Facility, September 8,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04" w:lineRule="exact"/>
        <w:rPr>
          <w:sz w:val="20"/>
          <w:szCs w:val="20"/>
          <w:color w:val="auto"/>
        </w:rPr>
      </w:pPr>
    </w:p>
    <w:p>
      <w:pPr>
        <w:ind w:right="60" w:firstLine="255"/>
        <w:spacing w:after="0" w:line="308" w:lineRule="auto"/>
        <w:rPr>
          <w:sz w:val="20"/>
          <w:szCs w:val="20"/>
          <w:color w:val="auto"/>
        </w:rPr>
      </w:pPr>
      <w:r>
        <w:rPr>
          <w:rFonts w:ascii="Arial" w:cs="Arial" w:eastAsia="Arial" w:hAnsi="Arial"/>
          <w:sz w:val="17"/>
          <w:szCs w:val="17"/>
          <w:color w:val="auto"/>
        </w:rPr>
        <w:t>On September 1, 2022 (the "Closing Date"), the Company entered into a revolving credit agreement (the “Revolving Credit Facility”) with Wells Fargo Bank, National Association, as administrative agent (the "Administrative Agent"), letter of credit issuer, lead arranger and as a lender.</w:t>
      </w:r>
    </w:p>
    <w:p>
      <w:pPr>
        <w:spacing w:after="0" w:line="133" w:lineRule="exact"/>
        <w:rPr>
          <w:sz w:val="20"/>
          <w:szCs w:val="20"/>
          <w:color w:val="auto"/>
        </w:rPr>
      </w:pPr>
    </w:p>
    <w:p>
      <w:pPr>
        <w:jc w:val="both"/>
        <w:ind w:right="200" w:firstLine="255"/>
        <w:spacing w:after="0" w:line="249" w:lineRule="auto"/>
        <w:rPr>
          <w:sz w:val="20"/>
          <w:szCs w:val="20"/>
          <w:color w:val="auto"/>
        </w:rPr>
      </w:pPr>
      <w:r>
        <w:rPr>
          <w:rFonts w:ascii="Arial" w:cs="Arial" w:eastAsia="Arial" w:hAnsi="Arial"/>
          <w:sz w:val="18"/>
          <w:szCs w:val="18"/>
          <w:color w:val="auto"/>
        </w:rPr>
        <w:t>The maximum principal amount of the Revolving Credit Facility is $400 million, subject to availability under the borrowing base, which is based on unfunded capital commitments. The Revolving Credit Facility includes a provision permitting the Company to increase the size of the Revolving Credit Facility under certain circumstances up to a maximum principal amount not to exceed $1.5 billion, if the existing or new lenders agree to commit to such increase.</w:t>
      </w:r>
    </w:p>
    <w:p>
      <w:pPr>
        <w:spacing w:after="0" w:line="181" w:lineRule="exact"/>
        <w:rPr>
          <w:sz w:val="20"/>
          <w:szCs w:val="20"/>
          <w:color w:val="auto"/>
        </w:rPr>
      </w:pPr>
    </w:p>
    <w:p>
      <w:pPr>
        <w:ind w:firstLine="255"/>
        <w:spacing w:after="0" w:line="263" w:lineRule="auto"/>
        <w:rPr>
          <w:sz w:val="20"/>
          <w:szCs w:val="20"/>
          <w:color w:val="auto"/>
        </w:rPr>
      </w:pPr>
      <w:r>
        <w:rPr>
          <w:rFonts w:ascii="Arial" w:cs="Arial" w:eastAsia="Arial" w:hAnsi="Arial"/>
          <w:sz w:val="17"/>
          <w:szCs w:val="17"/>
          <w:color w:val="auto"/>
        </w:rPr>
        <w:t>The Revolving Credit Facility will mature upon the earliest of: (i) August 30, 2024 (the "Stated Maturity"); (ii) the date upon which the Administrative Agent declares the obligations under the Revolving Credit Facility due and payable after the occurrence of an event of default; (iii) forty-five (45) days prior to the date on which the Company’s ability to call capital commitments for purposes of repaying the obligations under the Revolving Credit Facility is terminated; and (iv) the date the Company terminates the commitments pursuant to the Revolving Credit Facility. At the Company’s option, the Stated Maturity Date may be extended by up 364 days, subject to satisfaction of customary conditions.</w:t>
      </w:r>
    </w:p>
    <w:p>
      <w:pPr>
        <w:spacing w:after="0" w:line="184" w:lineRule="exact"/>
        <w:rPr>
          <w:sz w:val="20"/>
          <w:szCs w:val="20"/>
          <w:color w:val="auto"/>
        </w:rPr>
      </w:pPr>
    </w:p>
    <w:p>
      <w:pPr>
        <w:ind w:right="20" w:firstLine="255"/>
        <w:spacing w:after="0" w:line="258" w:lineRule="auto"/>
        <w:rPr>
          <w:sz w:val="20"/>
          <w:szCs w:val="20"/>
          <w:color w:val="auto"/>
        </w:rPr>
      </w:pPr>
      <w:r>
        <w:rPr>
          <w:rFonts w:ascii="Arial" w:cs="Arial" w:eastAsia="Arial" w:hAnsi="Arial"/>
          <w:sz w:val="17"/>
          <w:szCs w:val="17"/>
          <w:color w:val="auto"/>
        </w:rPr>
        <w:t>Borrowings under the Revolving Credit Facility bear interest, at the Company’s election at the time of drawdown, at a rate per annum equal to (i) in the case of loans denominated in dollars, at the Company’s option (a) an adjusted Daily Simple SOFR rate plus 1.70%, (b) an adjusted Term SOFR rate for the applicable interest period plus 1.70% and (c) in the case of reference rate loans, 0.70%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1.70% or (iii) in the case of loans denominated in sterling, the adjusted SONIA rate plus 1.70%. SOFR loans are subject to a credit spread adjustment ranging from 0.10% to 0.25% and SONIA loans are subject to a credit spread adjustment of 0.0326%. Loans denominated in dollars may be converted from one rate applicable to dollar denominated loans to another at any time at the Company’s election, subject to certain conditions. The Company also will pay an unused commitment fee of 0.25% per annum on the unused commitments.</w:t>
      </w:r>
    </w:p>
    <w:p>
      <w:pPr>
        <w:spacing w:after="0" w:line="188" w:lineRule="exact"/>
        <w:rPr>
          <w:sz w:val="20"/>
          <w:szCs w:val="20"/>
          <w:color w:val="auto"/>
        </w:rPr>
      </w:pPr>
    </w:p>
    <w:p>
      <w:pPr>
        <w:jc w:val="both"/>
        <w:ind w:right="40" w:firstLine="255"/>
        <w:spacing w:after="0" w:line="248" w:lineRule="auto"/>
        <w:rPr>
          <w:sz w:val="20"/>
          <w:szCs w:val="20"/>
          <w:color w:val="auto"/>
        </w:rPr>
      </w:pPr>
      <w:r>
        <w:rPr>
          <w:rFonts w:ascii="Arial" w:cs="Arial" w:eastAsia="Arial" w:hAnsi="Arial"/>
          <w:sz w:val="18"/>
          <w:szCs w:val="18"/>
          <w:color w:val="auto"/>
        </w:rPr>
        <w:t>The Company may borrow amounts in U.S. dollars or certain other permitted currencies. As of September 30, 2022, the Company had outstanding debt denominated in British pounds (GBP) of 3.2 million and Euro (EUR) of 3.7 million on its Revolving Credit Facility, included in the Outstanding Principal amount in the table above.</w:t>
      </w:r>
    </w:p>
    <w:p>
      <w:pPr>
        <w:spacing w:after="0" w:line="195" w:lineRule="exact"/>
        <w:rPr>
          <w:sz w:val="20"/>
          <w:szCs w:val="20"/>
          <w:color w:val="auto"/>
        </w:rPr>
      </w:pPr>
    </w:p>
    <w:p>
      <w:pPr>
        <w:ind w:right="40" w:firstLine="255"/>
        <w:spacing w:after="0" w:line="270" w:lineRule="auto"/>
        <w:rPr>
          <w:sz w:val="20"/>
          <w:szCs w:val="20"/>
          <w:color w:val="auto"/>
        </w:rPr>
      </w:pPr>
      <w:r>
        <w:rPr>
          <w:rFonts w:ascii="Arial" w:cs="Arial" w:eastAsia="Arial" w:hAnsi="Arial"/>
          <w:sz w:val="17"/>
          <w:szCs w:val="17"/>
          <w:color w:val="auto"/>
        </w:rPr>
        <w:t>The Revolving Credit Facility also provides for the issuance of letters of credit up to an aggregate amount of 10% of the Maximum Commitment. As of September 30, 2022,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Revolving Credit Facility includes customary events of default (with customary cure and notice provisions)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04" w:lineRule="exact"/>
        <w:rPr>
          <w:sz w:val="20"/>
          <w:szCs w:val="20"/>
          <w:color w:val="auto"/>
        </w:rPr>
      </w:pPr>
    </w:p>
    <w:p>
      <w:pPr>
        <w:ind w:right="20" w:firstLine="255"/>
        <w:spacing w:after="0" w:line="263"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2022, the Company had the following commitments to fund investments in current portfolio companies: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16"/>
                <w:szCs w:val="16"/>
                <w:color w:val="auto"/>
              </w:rPr>
            </w:pPr>
          </w:p>
        </w:tc>
      </w:tr>
      <w:tr>
        <w:trPr>
          <w:trHeight w:val="209"/>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Erling Lux Bidco SARL - Delayed Draw &amp; Revolver</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180"/>
              <w:spacing w:after="0" w:line="210" w:lineRule="exact"/>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24"/>
                <w:szCs w:val="24"/>
                <w:b w:val="1"/>
                <w:bCs w:val="1"/>
                <w:color w:val="auto"/>
                <w:vertAlign w:val="superscript"/>
              </w:rPr>
              <w:t>(1)(2)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3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-170815</wp:posOffset>
            </wp:positionV>
            <wp:extent cx="6032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09" w:lineRule="exact"/>
        <w:rPr>
          <w:sz w:val="20"/>
          <w:szCs w:val="20"/>
          <w:color w:val="auto"/>
        </w:rPr>
      </w:pPr>
    </w:p>
    <w:p>
      <w:pPr>
        <w:ind w:left="520" w:right="340" w:hanging="512"/>
        <w:spacing w:after="0" w:line="250"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 w:lineRule="exact"/>
        <w:rPr>
          <w:rFonts w:ascii="Arial" w:cs="Arial" w:eastAsia="Arial" w:hAnsi="Arial"/>
          <w:sz w:val="18"/>
          <w:szCs w:val="18"/>
          <w:color w:val="auto"/>
        </w:rPr>
      </w:pPr>
    </w:p>
    <w:p>
      <w:pPr>
        <w:ind w:left="520" w:right="560" w:hanging="512"/>
        <w:spacing w:after="0" w:line="245"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estimate of the fair value of the current investments in these portfolio companies includes an analysis of the fair value of any unfunded commitments.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04" w:lineRule="exact"/>
        <w:rPr>
          <w:sz w:val="20"/>
          <w:szCs w:val="20"/>
          <w:color w:val="auto"/>
        </w:rPr>
      </w:pPr>
    </w:p>
    <w:p>
      <w:pPr>
        <w:ind w:right="60" w:firstLine="255"/>
        <w:spacing w:after="0" w:line="246" w:lineRule="auto"/>
        <w:rPr>
          <w:sz w:val="20"/>
          <w:szCs w:val="20"/>
          <w:color w:val="auto"/>
        </w:rPr>
      </w:pPr>
      <w:r>
        <w:rPr>
          <w:rFonts w:ascii="Arial" w:cs="Arial" w:eastAsia="Arial" w:hAnsi="Arial"/>
          <w:sz w:val="18"/>
          <w:szCs w:val="18"/>
          <w:color w:val="auto"/>
        </w:rPr>
        <w:t>As of September 30, 2022, the Company did not have any unfunded commitments to fund investments to new borrowers that were not current portfolio companies as of such date.</w:t>
      </w:r>
    </w:p>
    <w:p>
      <w:pPr>
        <w:spacing w:after="0" w:line="183" w:lineRule="exact"/>
        <w:rPr>
          <w:sz w:val="20"/>
          <w:szCs w:val="20"/>
          <w:color w:val="auto"/>
        </w:rPr>
      </w:pPr>
    </w:p>
    <w:p>
      <w:pPr>
        <w:ind w:right="20" w:firstLine="255"/>
        <w:spacing w:after="0" w:line="324" w:lineRule="auto"/>
        <w:rPr>
          <w:sz w:val="20"/>
          <w:szCs w:val="20"/>
          <w:color w:val="auto"/>
        </w:rPr>
      </w:pPr>
      <w:r>
        <w:rPr>
          <w:rFonts w:ascii="Arial" w:cs="Arial" w:eastAsia="Arial" w:hAnsi="Arial"/>
          <w:sz w:val="16"/>
          <w:szCs w:val="16"/>
          <w:color w:val="auto"/>
        </w:rPr>
        <w:t>From time to time, the Company may become a party to certain legal proceedings incidental to the normal course of its business. As of September 30, 2022, management is not aware of any material pending or threatened litigation that would require accounting recognition or financial statement disclosure.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w:t>
      </w:r>
    </w:p>
    <w:p>
      <w:pPr>
        <w:spacing w:after="0" w:line="108" w:lineRule="exact"/>
        <w:rPr>
          <w:sz w:val="20"/>
          <w:szCs w:val="20"/>
          <w:color w:val="auto"/>
        </w:rPr>
      </w:pPr>
    </w:p>
    <w:p>
      <w:pPr>
        <w:ind w:right="60" w:firstLine="255"/>
        <w:spacing w:after="0" w:line="238" w:lineRule="auto"/>
        <w:rPr>
          <w:sz w:val="20"/>
          <w:szCs w:val="20"/>
          <w:color w:val="auto"/>
        </w:rPr>
      </w:pPr>
      <w:r>
        <w:rPr>
          <w:rFonts w:ascii="Arial" w:cs="Arial" w:eastAsia="Arial" w:hAnsi="Arial"/>
          <w:sz w:val="18"/>
          <w:szCs w:val="18"/>
          <w:color w:val="auto"/>
        </w:rPr>
        <w:t>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w:t>
      </w:r>
    </w:p>
    <w:p>
      <w:pPr>
        <w:spacing w:after="0" w:line="380" w:lineRule="exact"/>
        <w:rPr>
          <w:sz w:val="20"/>
          <w:szCs w:val="20"/>
          <w:color w:val="auto"/>
        </w:rPr>
      </w:pPr>
    </w:p>
    <w:p>
      <w:pPr>
        <w:ind w:right="140" w:firstLine="225"/>
        <w:spacing w:after="0" w:line="274" w:lineRule="auto"/>
        <w:rPr>
          <w:sz w:val="20"/>
          <w:szCs w:val="20"/>
          <w:color w:val="auto"/>
        </w:rPr>
      </w:pPr>
      <w:r>
        <w:rPr>
          <w:rFonts w:ascii="Arial" w:cs="Arial" w:eastAsia="Arial" w:hAnsi="Arial"/>
          <w:sz w:val="16"/>
          <w:szCs w:val="16"/>
          <w:color w:val="auto"/>
        </w:rPr>
        <w:t>During the period ended September 30, 2022, the Company entered into subscription agreements (the “Subscription Agreements”) with investors providing for the private placement of the Company’s Shares. Under the terms of the Subscription Agreements, investors are required to fund drawdowns to purchase the Company’s Shares up to the amount of their respective Capital Commitment on an as-needed basis each time the Company delivers a drawdown notice to its investors. As of September 30, 2022, the Company had received Capital Commitments totaling $1,556.4 million ($1,375.8 million remaining undrawn). On October 7, 2022, the Company had received additional Capital Commitments of $620 million.</w:t>
      </w:r>
    </w:p>
    <w:p>
      <w:pPr>
        <w:spacing w:after="0" w:line="165" w:lineRule="exact"/>
        <w:rPr>
          <w:sz w:val="20"/>
          <w:szCs w:val="20"/>
          <w:color w:val="auto"/>
        </w:rPr>
      </w:pPr>
    </w:p>
    <w:p>
      <w:pPr>
        <w:ind w:right="480" w:firstLine="255"/>
        <w:spacing w:after="0" w:line="246" w:lineRule="auto"/>
        <w:rPr>
          <w:sz w:val="20"/>
          <w:szCs w:val="20"/>
          <w:color w:val="auto"/>
        </w:rPr>
      </w:pPr>
      <w:r>
        <w:rPr>
          <w:rFonts w:ascii="Arial" w:cs="Arial" w:eastAsia="Arial" w:hAnsi="Arial"/>
          <w:sz w:val="18"/>
          <w:szCs w:val="18"/>
          <w:color w:val="auto"/>
        </w:rPr>
        <w:t>The following table summarizes the total Common Shares issued and proceeds received related to the Company’s initial capitalization and capital drawdowns delivered pursuant to the Subscription Agreements for the period ended September 30,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Common Share Issuance Date</w:t>
            </w: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jc w:val="right"/>
              <w:ind w:right="39"/>
              <w:spacing w:after="0"/>
              <w:rPr>
                <w:sz w:val="20"/>
                <w:szCs w:val="20"/>
                <w:color w:val="auto"/>
              </w:rPr>
            </w:pPr>
            <w:r>
              <w:rPr>
                <w:rFonts w:ascii="Arial" w:cs="Arial" w:eastAsia="Arial" w:hAnsi="Arial"/>
                <w:sz w:val="14"/>
                <w:szCs w:val="14"/>
                <w:b w:val="1"/>
                <w:bCs w:val="1"/>
                <w:color w:val="auto"/>
                <w:w w:val="97"/>
              </w:rPr>
              <w:t>Number of Common Shares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w w:val="99"/>
              </w:rPr>
              <w:t>Proceeds Received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Issued</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24, 2022</w:t>
            </w:r>
          </w:p>
        </w:tc>
        <w:tc>
          <w:tcPr>
            <w:tcW w:w="3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August 31, 2022</w:t>
            </w:r>
          </w:p>
        </w:tc>
        <w:tc>
          <w:tcPr>
            <w:tcW w:w="5120" w:type="dxa"/>
            <w:vAlign w:val="bottom"/>
            <w:gridSpan w:val="3"/>
          </w:tcPr>
          <w:p>
            <w:pPr>
              <w:jc w:val="right"/>
              <w:spacing w:after="0"/>
              <w:rPr>
                <w:sz w:val="20"/>
                <w:szCs w:val="20"/>
                <w:color w:val="auto"/>
              </w:rPr>
            </w:pPr>
            <w:r>
              <w:rPr>
                <w:rFonts w:ascii="Arial" w:cs="Arial" w:eastAsia="Arial" w:hAnsi="Arial"/>
                <w:sz w:val="18"/>
                <w:szCs w:val="18"/>
                <w:color w:val="auto"/>
              </w:rPr>
              <w:t>2,205,694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28, 2022</w:t>
            </w:r>
          </w:p>
        </w:tc>
        <w:tc>
          <w:tcPr>
            <w:tcW w:w="3180" w:type="dxa"/>
            <w:vAlign w:val="bottom"/>
            <w:tcBorders>
              <w:bottom w:val="single" w:sz="8" w:color="CFF0FC"/>
            </w:tcBorders>
            <w:gridSpan w:val="2"/>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5,080,906</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5120" w:type="dxa"/>
            <w:vAlign w:val="bottom"/>
            <w:gridSpan w:val="3"/>
          </w:tcPr>
          <w:p>
            <w:pPr>
              <w:jc w:val="right"/>
              <w:spacing w:after="0"/>
              <w:rPr>
                <w:sz w:val="20"/>
                <w:szCs w:val="20"/>
                <w:color w:val="auto"/>
              </w:rPr>
            </w:pPr>
            <w:r>
              <w:rPr>
                <w:rFonts w:ascii="Arial" w:cs="Arial" w:eastAsia="Arial" w:hAnsi="Arial"/>
                <w:sz w:val="18"/>
                <w:szCs w:val="18"/>
                <w:color w:val="auto"/>
              </w:rPr>
              <w:t>7,287,800</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180,602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00" w:type="dxa"/>
            <w:vAlign w:val="bottom"/>
            <w:vMerge w:val="restart"/>
          </w:tcPr>
          <w:p>
            <w:pPr>
              <w:jc w:val="right"/>
              <w:ind w:right="89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0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-659765</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0" w:name="page21"/>
    <w:bookmarkEnd w:id="20"/>
    <w:p>
      <w:pPr>
        <w:ind w:left="260"/>
        <w:spacing w:after="0"/>
        <w:rPr>
          <w:sz w:val="20"/>
          <w:szCs w:val="20"/>
          <w:color w:val="auto"/>
        </w:rPr>
      </w:pPr>
      <w:r>
        <w:rPr>
          <w:rFonts w:ascii="Arial" w:cs="Arial" w:eastAsia="Arial" w:hAnsi="Arial"/>
          <w:sz w:val="18"/>
          <w:szCs w:val="18"/>
          <w:color w:val="auto"/>
        </w:rPr>
        <w:t>On October 27, 2022, the Company issued 7,598,252 Common Shares for proceeds received of $187.3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Dividends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period ended September 30, 2022, no distributions had been declared or paid by the Company.</w:t>
      </w:r>
    </w:p>
    <w:p>
      <w:pPr>
        <w:spacing w:after="0" w:line="200" w:lineRule="exact"/>
        <w:rPr>
          <w:sz w:val="20"/>
          <w:szCs w:val="20"/>
          <w:color w:val="auto"/>
        </w:rPr>
      </w:pPr>
    </w:p>
    <w:p>
      <w:pPr>
        <w:spacing w:after="0" w:line="214" w:lineRule="exact"/>
        <w:rPr>
          <w:sz w:val="20"/>
          <w:szCs w:val="20"/>
          <w:color w:val="auto"/>
        </w:rPr>
      </w:pPr>
    </w:p>
    <w:p>
      <w:pPr>
        <w:ind w:firstLine="255"/>
        <w:spacing w:after="0" w:line="290" w:lineRule="auto"/>
        <w:rPr>
          <w:sz w:val="20"/>
          <w:szCs w:val="20"/>
          <w:color w:val="auto"/>
        </w:rPr>
      </w:pPr>
      <w:r>
        <w:rPr>
          <w:rFonts w:ascii="Arial" w:cs="Arial" w:eastAsia="Arial" w:hAnsi="Arial"/>
          <w:sz w:val="16"/>
          <w:szCs w:val="16"/>
          <w:color w:val="auto"/>
        </w:rPr>
        <w:t>With respect to distributions, the Company has adopted an “opt out” dividend reinvestment plan for Shareholders. As a result, in the event of a declared dash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108" w:lineRule="exact"/>
        <w:rPr>
          <w:sz w:val="20"/>
          <w:szCs w:val="20"/>
          <w:color w:val="auto"/>
        </w:rPr>
      </w:pPr>
    </w:p>
    <w:p>
      <w:pPr>
        <w:ind w:right="280" w:firstLine="255"/>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Shares outstanding from April 5, 2022 (Inception) through September 30, 2022.</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2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7"/>
              </w:rPr>
              <w:t>From April 5, 2022 (Inception) through</w:t>
            </w:r>
          </w:p>
        </w:tc>
      </w:tr>
      <w:tr>
        <w:trPr>
          <w:trHeight w:val="185"/>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September 30, 2022</w:t>
            </w:r>
          </w:p>
        </w:tc>
      </w:tr>
      <w:tr>
        <w:trPr>
          <w:trHeight w:val="209"/>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400" w:type="dxa"/>
            <w:vAlign w:val="bottom"/>
            <w:tcBorders>
              <w:top w:val="single" w:sz="8" w:color="auto"/>
            </w:tcBorders>
            <w:shd w:val="clear" w:color="auto" w:fill="CFF0FC"/>
          </w:tcPr>
          <w:p>
            <w:pPr>
              <w:spacing w:after="0"/>
              <w:rPr>
                <w:sz w:val="18"/>
                <w:szCs w:val="18"/>
                <w:color w:val="auto"/>
              </w:rPr>
            </w:pPr>
          </w:p>
        </w:tc>
        <w:tc>
          <w:tcPr>
            <w:tcW w:w="218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00" w:type="dxa"/>
            <w:vAlign w:val="bottom"/>
          </w:tcPr>
          <w:p>
            <w:pPr>
              <w:jc w:val="right"/>
              <w:ind w:right="215"/>
              <w:spacing w:after="0"/>
              <w:rPr>
                <w:sz w:val="20"/>
                <w:szCs w:val="20"/>
                <w:color w:val="auto"/>
              </w:rPr>
            </w:pPr>
            <w:r>
              <w:rPr>
                <w:rFonts w:ascii="Arial" w:cs="Arial" w:eastAsia="Arial" w:hAnsi="Arial"/>
                <w:sz w:val="18"/>
                <w:szCs w:val="18"/>
                <w:color w:val="auto"/>
                <w:w w:val="7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25.00</w:t>
            </w:r>
          </w:p>
        </w:tc>
        <w:tc>
          <w:tcPr>
            <w:tcW w:w="360" w:type="dxa"/>
            <w:vAlign w:val="bottom"/>
          </w:tcPr>
          <w:p>
            <w:pPr>
              <w:spacing w:after="0"/>
              <w:rPr>
                <w:sz w:val="18"/>
                <w:szCs w:val="18"/>
                <w:color w:val="auto"/>
              </w:rPr>
            </w:pPr>
          </w:p>
        </w:tc>
      </w:tr>
      <w:tr>
        <w:trPr>
          <w:trHeight w:val="216"/>
        </w:trPr>
        <w:tc>
          <w:tcPr>
            <w:tcW w:w="6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540" w:type="dxa"/>
            <w:vAlign w:val="bottom"/>
            <w:gridSpan w:val="2"/>
            <w:shd w:val="clear" w:color="auto" w:fill="CFF0FC"/>
          </w:tcPr>
          <w:p>
            <w:pPr>
              <w:spacing w:after="0"/>
              <w:rPr>
                <w:sz w:val="18"/>
                <w:szCs w:val="18"/>
                <w:color w:val="auto"/>
              </w:rPr>
            </w:pPr>
          </w:p>
        </w:tc>
      </w:tr>
      <w:tr>
        <w:trPr>
          <w:trHeight w:val="216"/>
        </w:trPr>
        <w:tc>
          <w:tcPr>
            <w:tcW w:w="6040" w:type="dxa"/>
            <w:vAlign w:val="bottom"/>
          </w:tcPr>
          <w:p>
            <w:pPr>
              <w:spacing w:after="0" w:line="21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4"/>
                <w:szCs w:val="24"/>
                <w:color w:val="auto"/>
                <w:vertAlign w:val="superscript"/>
              </w:rPr>
              <w:t>(1)</w:t>
            </w:r>
          </w:p>
        </w:tc>
        <w:tc>
          <w:tcPr>
            <w:tcW w:w="400" w:type="dxa"/>
            <w:vAlign w:val="bottom"/>
          </w:tcPr>
          <w:p>
            <w:pPr>
              <w:spacing w:after="0"/>
              <w:rPr>
                <w:sz w:val="18"/>
                <w:szCs w:val="18"/>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(0.61 )</w:t>
            </w:r>
          </w:p>
        </w:tc>
      </w:tr>
      <w:tr>
        <w:trPr>
          <w:trHeight w:val="162"/>
        </w:trPr>
        <w:tc>
          <w:tcPr>
            <w:tcW w:w="604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Net realized and unrealized</w:t>
            </w:r>
          </w:p>
        </w:tc>
        <w:tc>
          <w:tcPr>
            <w:tcW w:w="40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r>
      <w:tr>
        <w:trPr>
          <w:trHeight w:val="230"/>
        </w:trPr>
        <w:tc>
          <w:tcPr>
            <w:tcW w:w="6040" w:type="dxa"/>
            <w:vAlign w:val="bottom"/>
            <w:tcBorders>
              <w:bottom w:val="single" w:sz="8" w:color="CFF0FC"/>
            </w:tcBorders>
            <w:shd w:val="clear" w:color="auto" w:fill="CFF0FC"/>
          </w:tcPr>
          <w:p>
            <w:pPr>
              <w:ind w:left="140"/>
              <w:spacing w:after="0" w:line="229" w:lineRule="exact"/>
              <w:rPr>
                <w:sz w:val="20"/>
                <w:szCs w:val="20"/>
                <w:color w:val="auto"/>
              </w:rPr>
            </w:pPr>
            <w:r>
              <w:rPr>
                <w:rFonts w:ascii="Arial" w:cs="Arial" w:eastAsia="Arial" w:hAnsi="Arial"/>
                <w:sz w:val="18"/>
                <w:szCs w:val="18"/>
                <w:color w:val="auto"/>
              </w:rPr>
              <w:t xml:space="preserve">gain </w:t>
            </w:r>
            <w:r>
              <w:rPr>
                <w:rFonts w:ascii="Arial" w:cs="Arial" w:eastAsia="Arial" w:hAnsi="Arial"/>
                <w:sz w:val="24"/>
                <w:szCs w:val="24"/>
                <w:color w:val="auto"/>
                <w:vertAlign w:val="superscript"/>
              </w:rPr>
              <w:t>(1)</w:t>
            </w:r>
          </w:p>
        </w:tc>
        <w:tc>
          <w:tcPr>
            <w:tcW w:w="40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360" w:type="dxa"/>
            <w:vAlign w:val="bottom"/>
            <w:tcBorders>
              <w:bottom w:val="single" w:sz="8" w:color="CFF0FC"/>
            </w:tcBorders>
            <w:shd w:val="clear" w:color="auto" w:fill="CFF0FC"/>
          </w:tcPr>
          <w:p>
            <w:pPr>
              <w:spacing w:after="0"/>
              <w:rPr>
                <w:sz w:val="19"/>
                <w:szCs w:val="19"/>
                <w:color w:val="auto"/>
              </w:rPr>
            </w:pPr>
          </w:p>
        </w:tc>
      </w:tr>
      <w:tr>
        <w:trPr>
          <w:trHeight w:val="209"/>
        </w:trPr>
        <w:tc>
          <w:tcPr>
            <w:tcW w:w="6040" w:type="dxa"/>
            <w:vAlign w:val="bottom"/>
          </w:tcPr>
          <w:p>
            <w:pPr>
              <w:ind w:left="180"/>
              <w:spacing w:after="0"/>
              <w:rPr>
                <w:sz w:val="20"/>
                <w:szCs w:val="20"/>
                <w:color w:val="auto"/>
              </w:rPr>
            </w:pPr>
            <w:r>
              <w:rPr>
                <w:rFonts w:ascii="Arial" w:cs="Arial" w:eastAsia="Arial" w:hAnsi="Arial"/>
                <w:sz w:val="18"/>
                <w:szCs w:val="18"/>
                <w:color w:val="auto"/>
              </w:rPr>
              <w:t>Total from operations</w:t>
            </w:r>
          </w:p>
        </w:tc>
        <w:tc>
          <w:tcPr>
            <w:tcW w:w="400" w:type="dxa"/>
            <w:vAlign w:val="bottom"/>
          </w:tcPr>
          <w:p>
            <w:pPr>
              <w:spacing w:after="0"/>
              <w:rPr>
                <w:sz w:val="18"/>
                <w:szCs w:val="18"/>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 xml:space="preserve">(0.47 </w:t>
            </w:r>
            <w:r>
              <w:rPr>
                <w:rFonts w:ascii="Arial" w:cs="Arial" w:eastAsia="Arial" w:hAnsi="Arial"/>
                <w:sz w:val="18"/>
                <w:szCs w:val="18"/>
                <w:color w:val="auto"/>
                <w:highlight w:val="white"/>
              </w:rPr>
              <w:t>)</w:t>
            </w:r>
          </w:p>
        </w:tc>
      </w:tr>
      <w:tr>
        <w:trPr>
          <w:trHeight w:val="216"/>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Common Share Issuance</w:t>
            </w:r>
          </w:p>
        </w:tc>
        <w:tc>
          <w:tcPr>
            <w:tcW w:w="40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360" w:type="dxa"/>
            <w:vAlign w:val="bottom"/>
            <w:tcBorders>
              <w:bottom w:val="single" w:sz="8" w:color="CFF0FC"/>
            </w:tcBorders>
            <w:shd w:val="clear" w:color="auto" w:fill="CFF0FC"/>
          </w:tcPr>
          <w:p>
            <w:pPr>
              <w:spacing w:after="0"/>
              <w:rPr>
                <w:sz w:val="18"/>
                <w:szCs w:val="18"/>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Total increase/(decrease) in net assets</w:t>
            </w:r>
          </w:p>
        </w:tc>
        <w:tc>
          <w:tcPr>
            <w:tcW w:w="400" w:type="dxa"/>
            <w:vAlign w:val="bottom"/>
          </w:tcPr>
          <w:p>
            <w:pPr>
              <w:spacing w:after="0"/>
              <w:rPr>
                <w:sz w:val="18"/>
                <w:szCs w:val="18"/>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 xml:space="preserve">(0.39 </w:t>
            </w:r>
            <w:r>
              <w:rPr>
                <w:rFonts w:ascii="Arial" w:cs="Arial" w:eastAsia="Arial" w:hAnsi="Arial"/>
                <w:sz w:val="18"/>
                <w:szCs w:val="18"/>
                <w:color w:val="auto"/>
                <w:highlight w:val="white"/>
              </w:rPr>
              <w:t>)</w:t>
            </w:r>
          </w:p>
        </w:tc>
      </w:tr>
      <w:tr>
        <w:trPr>
          <w:trHeight w:val="209"/>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Asset Value, End of Period</w:t>
            </w:r>
          </w:p>
        </w:tc>
        <w:tc>
          <w:tcPr>
            <w:tcW w:w="40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360" w:type="dxa"/>
            <w:vAlign w:val="bottom"/>
            <w:tcBorders>
              <w:bottom w:val="single" w:sz="8" w:color="CFF0FC"/>
            </w:tcBorders>
            <w:shd w:val="clear" w:color="auto" w:fill="CFF0FC"/>
          </w:tcPr>
          <w:p>
            <w:pPr>
              <w:spacing w:after="0"/>
              <w:rPr>
                <w:sz w:val="18"/>
                <w:szCs w:val="18"/>
                <w:color w:val="auto"/>
              </w:rPr>
            </w:pPr>
          </w:p>
        </w:tc>
      </w:tr>
      <w:tr>
        <w:trPr>
          <w:trHeight w:val="156"/>
        </w:trPr>
        <w:tc>
          <w:tcPr>
            <w:tcW w:w="6040" w:type="dxa"/>
            <w:vAlign w:val="bottom"/>
          </w:tcPr>
          <w:p>
            <w:pPr>
              <w:spacing w:after="0" w:line="156" w:lineRule="exact"/>
              <w:rPr>
                <w:sz w:val="20"/>
                <w:szCs w:val="20"/>
                <w:color w:val="auto"/>
              </w:rPr>
            </w:pPr>
            <w:r>
              <w:rPr>
                <w:rFonts w:ascii="Arial" w:cs="Arial" w:eastAsia="Arial" w:hAnsi="Arial"/>
                <w:sz w:val="18"/>
                <w:szCs w:val="18"/>
                <w:color w:val="auto"/>
              </w:rPr>
              <w:t>Total return based on net asset</w:t>
            </w:r>
          </w:p>
        </w:tc>
        <w:tc>
          <w:tcPr>
            <w:tcW w:w="4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43"/>
        </w:trPr>
        <w:tc>
          <w:tcPr>
            <w:tcW w:w="604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value </w:t>
            </w:r>
            <w:r>
              <w:rPr>
                <w:rFonts w:ascii="Arial" w:cs="Arial" w:eastAsia="Arial" w:hAnsi="Arial"/>
                <w:sz w:val="24"/>
                <w:szCs w:val="24"/>
                <w:color w:val="auto"/>
                <w:vertAlign w:val="superscript"/>
              </w:rPr>
              <w:t>(2)</w:t>
            </w:r>
          </w:p>
        </w:tc>
        <w:tc>
          <w:tcPr>
            <w:tcW w:w="400" w:type="dxa"/>
            <w:vAlign w:val="bottom"/>
          </w:tcPr>
          <w:p>
            <w:pPr>
              <w:spacing w:after="0"/>
              <w:rPr>
                <w:sz w:val="21"/>
                <w:szCs w:val="21"/>
                <w:color w:val="auto"/>
              </w:rPr>
            </w:pPr>
          </w:p>
        </w:tc>
        <w:tc>
          <w:tcPr>
            <w:tcW w:w="2540" w:type="dxa"/>
            <w:vAlign w:val="bottom"/>
            <w:gridSpan w:val="2"/>
          </w:tcPr>
          <w:p>
            <w:pPr>
              <w:jc w:val="right"/>
              <w:ind w:right="200"/>
              <w:spacing w:after="0"/>
              <w:rPr>
                <w:sz w:val="20"/>
                <w:szCs w:val="20"/>
                <w:color w:val="auto"/>
              </w:rPr>
            </w:pPr>
            <w:r>
              <w:rPr>
                <w:rFonts w:ascii="Arial" w:cs="Arial" w:eastAsia="Arial" w:hAnsi="Arial"/>
                <w:sz w:val="18"/>
                <w:szCs w:val="18"/>
                <w:color w:val="auto"/>
              </w:rPr>
              <w:t>-1.56 %</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Common shares outstanding, end of period</w:t>
            </w:r>
          </w:p>
        </w:tc>
        <w:tc>
          <w:tcPr>
            <w:tcW w:w="4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7,287,800</w:t>
            </w:r>
          </w:p>
        </w:tc>
        <w:tc>
          <w:tcPr>
            <w:tcW w:w="36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24"/>
                <w:szCs w:val="24"/>
                <w:b w:val="1"/>
                <w:bCs w:val="1"/>
                <w:color w:val="auto"/>
                <w:vertAlign w:val="superscript"/>
              </w:rPr>
              <w:t>(3)</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75"/>
        </w:trPr>
        <w:tc>
          <w:tcPr>
            <w:tcW w:w="604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Ratio of gross expenses to average</w:t>
            </w:r>
          </w:p>
        </w:tc>
        <w:tc>
          <w:tcPr>
            <w:tcW w:w="40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r>
      <w:tr>
        <w:trPr>
          <w:trHeight w:val="230"/>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assets without management fee waiver</w:t>
            </w:r>
          </w:p>
        </w:tc>
        <w:tc>
          <w:tcPr>
            <w:tcW w:w="400" w:type="dxa"/>
            <w:vAlign w:val="bottom"/>
            <w:shd w:val="clear" w:color="auto" w:fill="CFF0FC"/>
          </w:tcPr>
          <w:p>
            <w:pPr>
              <w:spacing w:after="0"/>
              <w:rPr>
                <w:sz w:val="20"/>
                <w:szCs w:val="20"/>
                <w:color w:val="auto"/>
              </w:rPr>
            </w:pPr>
          </w:p>
        </w:tc>
        <w:tc>
          <w:tcPr>
            <w:tcW w:w="2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-13.13 %</w:t>
            </w:r>
          </w:p>
        </w:tc>
      </w:tr>
      <w:tr>
        <w:trPr>
          <w:trHeight w:val="175"/>
        </w:trPr>
        <w:tc>
          <w:tcPr>
            <w:tcW w:w="6040" w:type="dxa"/>
            <w:vAlign w:val="bottom"/>
          </w:tcPr>
          <w:p>
            <w:pPr>
              <w:spacing w:after="0" w:line="175" w:lineRule="exact"/>
              <w:rPr>
                <w:sz w:val="20"/>
                <w:szCs w:val="20"/>
                <w:color w:val="auto"/>
              </w:rPr>
            </w:pPr>
            <w:r>
              <w:rPr>
                <w:rFonts w:ascii="Arial" w:cs="Arial" w:eastAsia="Arial" w:hAnsi="Arial"/>
                <w:sz w:val="18"/>
                <w:szCs w:val="18"/>
                <w:color w:val="auto"/>
              </w:rPr>
              <w:t>Ratio of net expenses to average</w:t>
            </w:r>
          </w:p>
        </w:tc>
        <w:tc>
          <w:tcPr>
            <w:tcW w:w="4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net assets with management fee waiver</w:t>
            </w:r>
          </w:p>
        </w:tc>
        <w:tc>
          <w:tcPr>
            <w:tcW w:w="400" w:type="dxa"/>
            <w:vAlign w:val="bottom"/>
          </w:tcPr>
          <w:p>
            <w:pPr>
              <w:spacing w:after="0"/>
              <w:rPr>
                <w:sz w:val="20"/>
                <w:szCs w:val="20"/>
                <w:color w:val="auto"/>
              </w:rPr>
            </w:pPr>
          </w:p>
        </w:tc>
        <w:tc>
          <w:tcPr>
            <w:tcW w:w="2540" w:type="dxa"/>
            <w:vAlign w:val="bottom"/>
            <w:gridSpan w:val="2"/>
          </w:tcPr>
          <w:p>
            <w:pPr>
              <w:jc w:val="right"/>
              <w:ind w:right="200"/>
              <w:spacing w:after="0"/>
              <w:rPr>
                <w:sz w:val="20"/>
                <w:szCs w:val="20"/>
                <w:color w:val="auto"/>
              </w:rPr>
            </w:pPr>
            <w:r>
              <w:rPr>
                <w:rFonts w:ascii="Arial" w:cs="Arial" w:eastAsia="Arial" w:hAnsi="Arial"/>
                <w:sz w:val="18"/>
                <w:szCs w:val="18"/>
                <w:color w:val="auto"/>
              </w:rPr>
              <w:t>-9.18 %</w:t>
            </w:r>
          </w:p>
        </w:tc>
      </w:tr>
      <w:tr>
        <w:trPr>
          <w:trHeight w:val="175"/>
        </w:trPr>
        <w:tc>
          <w:tcPr>
            <w:tcW w:w="604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Ratio of net investment income</w:t>
            </w:r>
          </w:p>
        </w:tc>
        <w:tc>
          <w:tcPr>
            <w:tcW w:w="40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r>
      <w:tr>
        <w:trPr>
          <w:trHeight w:val="230"/>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 average net assets without management fee waiver</w:t>
            </w:r>
          </w:p>
        </w:tc>
        <w:tc>
          <w:tcPr>
            <w:tcW w:w="400" w:type="dxa"/>
            <w:vAlign w:val="bottom"/>
            <w:shd w:val="clear" w:color="auto" w:fill="CFF0FC"/>
          </w:tcPr>
          <w:p>
            <w:pPr>
              <w:spacing w:after="0"/>
              <w:rPr>
                <w:sz w:val="20"/>
                <w:szCs w:val="20"/>
                <w:color w:val="auto"/>
              </w:rPr>
            </w:pPr>
          </w:p>
        </w:tc>
        <w:tc>
          <w:tcPr>
            <w:tcW w:w="2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-3.11 %</w:t>
            </w:r>
          </w:p>
        </w:tc>
      </w:tr>
      <w:tr>
        <w:trPr>
          <w:trHeight w:val="175"/>
        </w:trPr>
        <w:tc>
          <w:tcPr>
            <w:tcW w:w="6040" w:type="dxa"/>
            <w:vAlign w:val="bottom"/>
          </w:tcPr>
          <w:p>
            <w:pPr>
              <w:spacing w:after="0" w:line="175" w:lineRule="exact"/>
              <w:rPr>
                <w:sz w:val="20"/>
                <w:szCs w:val="20"/>
                <w:color w:val="auto"/>
              </w:rPr>
            </w:pPr>
            <w:r>
              <w:rPr>
                <w:rFonts w:ascii="Arial" w:cs="Arial" w:eastAsia="Arial" w:hAnsi="Arial"/>
                <w:sz w:val="18"/>
                <w:szCs w:val="18"/>
                <w:color w:val="auto"/>
              </w:rPr>
              <w:t>Ratio of net investment income</w:t>
            </w:r>
          </w:p>
        </w:tc>
        <w:tc>
          <w:tcPr>
            <w:tcW w:w="4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6040" w:type="dxa"/>
            <w:vAlign w:val="bottom"/>
          </w:tcPr>
          <w:p>
            <w:pPr>
              <w:ind w:left="240"/>
              <w:spacing w:after="0"/>
              <w:rPr>
                <w:sz w:val="20"/>
                <w:szCs w:val="20"/>
                <w:color w:val="auto"/>
              </w:rPr>
            </w:pPr>
            <w:r>
              <w:rPr>
                <w:rFonts w:ascii="Arial" w:cs="Arial" w:eastAsia="Arial" w:hAnsi="Arial"/>
                <w:sz w:val="18"/>
                <w:szCs w:val="18"/>
                <w:color w:val="auto"/>
              </w:rPr>
              <w:t>to average net assets with management fee waiver</w:t>
            </w:r>
          </w:p>
        </w:tc>
        <w:tc>
          <w:tcPr>
            <w:tcW w:w="400" w:type="dxa"/>
            <w:vAlign w:val="bottom"/>
          </w:tcPr>
          <w:p>
            <w:pPr>
              <w:spacing w:after="0"/>
              <w:rPr>
                <w:sz w:val="20"/>
                <w:szCs w:val="20"/>
                <w:color w:val="auto"/>
              </w:rPr>
            </w:pPr>
          </w:p>
        </w:tc>
        <w:tc>
          <w:tcPr>
            <w:tcW w:w="2540" w:type="dxa"/>
            <w:vAlign w:val="bottom"/>
            <w:gridSpan w:val="2"/>
          </w:tcPr>
          <w:p>
            <w:pPr>
              <w:jc w:val="right"/>
              <w:ind w:right="200"/>
              <w:spacing w:after="0"/>
              <w:rPr>
                <w:sz w:val="20"/>
                <w:szCs w:val="20"/>
                <w:color w:val="auto"/>
              </w:rPr>
            </w:pPr>
            <w:r>
              <w:rPr>
                <w:rFonts w:ascii="Arial" w:cs="Arial" w:eastAsia="Arial" w:hAnsi="Arial"/>
                <w:sz w:val="18"/>
                <w:szCs w:val="18"/>
                <w:color w:val="auto"/>
              </w:rPr>
              <w:t>0.85 %</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Portfolio turnover</w:t>
            </w:r>
          </w:p>
        </w:tc>
        <w:tc>
          <w:tcPr>
            <w:tcW w:w="400" w:type="dxa"/>
            <w:vAlign w:val="bottom"/>
            <w:shd w:val="clear" w:color="auto" w:fill="CFF0FC"/>
          </w:tcPr>
          <w:p>
            <w:pPr>
              <w:spacing w:after="0"/>
              <w:rPr>
                <w:sz w:val="18"/>
                <w:szCs w:val="18"/>
                <w:color w:val="auto"/>
              </w:rPr>
            </w:pPr>
          </w:p>
        </w:tc>
        <w:tc>
          <w:tcPr>
            <w:tcW w:w="2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0.00 %</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400" w:type="dxa"/>
            <w:vAlign w:val="bottom"/>
          </w:tcPr>
          <w:p>
            <w:pPr>
              <w:jc w:val="right"/>
              <w:ind w:right="215"/>
              <w:spacing w:after="0"/>
              <w:rPr>
                <w:sz w:val="20"/>
                <w:szCs w:val="20"/>
                <w:color w:val="auto"/>
              </w:rPr>
            </w:pPr>
            <w:r>
              <w:rPr>
                <w:rFonts w:ascii="Arial" w:cs="Arial" w:eastAsia="Arial" w:hAnsi="Arial"/>
                <w:sz w:val="18"/>
                <w:szCs w:val="18"/>
                <w:color w:val="auto"/>
                <w:w w:val="7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179,328</w:t>
            </w:r>
          </w:p>
        </w:tc>
        <w:tc>
          <w:tcPr>
            <w:tcW w:w="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-1851660</wp:posOffset>
            </wp:positionV>
            <wp:extent cx="51435" cy="265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265430"/>
                    </a:xfrm>
                    <a:prstGeom prst="rect">
                      <a:avLst/>
                    </a:prstGeom>
                    <a:noFill/>
                  </pic:spPr>
                </pic:pic>
              </a:graphicData>
            </a:graphic>
          </wp:anchor>
        </w:drawing>
      </w:r>
    </w:p>
    <w:p>
      <w:pPr>
        <w:spacing w:after="0" w:line="167" w:lineRule="exact"/>
        <w:rPr>
          <w:sz w:val="20"/>
          <w:szCs w:val="20"/>
          <w:color w:val="auto"/>
        </w:rPr>
      </w:pPr>
    </w:p>
    <w:p>
      <w:pPr>
        <w:ind w:left="520" w:right="600" w:hanging="512"/>
        <w:spacing w:after="0" w:line="244"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Common Shares outstanding from the Commencement of Operations through September 30, 2022.</w:t>
      </w:r>
    </w:p>
    <w:p>
      <w:pPr>
        <w:ind w:left="520" w:right="640" w:hanging="512"/>
        <w:spacing w:after="0" w:line="242"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from the Commencement of Operations through September 30, 2022, and has not been annualized.</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ratios, excluding nonrecurring expenses, such as organization costs, are annualized.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08" w:lineRule="exact"/>
        <w:rPr>
          <w:sz w:val="20"/>
          <w:szCs w:val="20"/>
          <w:color w:val="auto"/>
        </w:rPr>
      </w:pPr>
    </w:p>
    <w:p>
      <w:pPr>
        <w:jc w:val="both"/>
        <w:ind w:right="300" w:firstLine="255"/>
        <w:spacing w:after="0" w:line="294" w:lineRule="auto"/>
        <w:rPr>
          <w:sz w:val="20"/>
          <w:szCs w:val="20"/>
          <w:color w:val="auto"/>
        </w:rPr>
      </w:pPr>
      <w:r>
        <w:rPr>
          <w:rFonts w:ascii="Arial" w:cs="Arial" w:eastAsia="Arial" w:hAnsi="Arial"/>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period ended September 30, 2022.</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80" w:firstLine="255"/>
        <w:spacing w:after="0"/>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right="240" w:firstLine="255"/>
        <w:spacing w:after="0" w:line="261" w:lineRule="auto"/>
        <w:rPr>
          <w:sz w:val="20"/>
          <w:szCs w:val="20"/>
          <w:color w:val="auto"/>
        </w:rPr>
      </w:pPr>
      <w:r>
        <w:rPr>
          <w:rFonts w:ascii="Arial" w:cs="Arial" w:eastAsia="Arial" w:hAnsi="Arial"/>
          <w:sz w:val="17"/>
          <w:szCs w:val="17"/>
          <w:color w:val="auto"/>
        </w:rPr>
        <w:t>Sixth Street Lending Partners (the “Company”) is a Delaware statutory trust formed on April 5, 2022. The Adviser is our external manager. We have two wholly owned subsidiaries, SSLP Lending, LLC, a Delaware limited liability company, which has applied for a California finance lender and broker license, and Sixth Street LP Holding, LLC, a Delaware limited liability company, in which we may hold certain investments.</w:t>
      </w:r>
    </w:p>
    <w:p>
      <w:pPr>
        <w:spacing w:after="0" w:line="172" w:lineRule="exact"/>
        <w:rPr>
          <w:sz w:val="20"/>
          <w:szCs w:val="20"/>
          <w:color w:val="auto"/>
        </w:rPr>
      </w:pPr>
    </w:p>
    <w:p>
      <w:pPr>
        <w:ind w:right="460" w:firstLine="255"/>
        <w:spacing w:after="0" w:line="261" w:lineRule="auto"/>
        <w:rPr>
          <w:sz w:val="20"/>
          <w:szCs w:val="20"/>
          <w:color w:val="auto"/>
        </w:rPr>
      </w:pPr>
      <w:r>
        <w:rPr>
          <w:rFonts w:ascii="Arial" w:cs="Arial" w:eastAsia="Arial" w:hAnsi="Arial"/>
          <w:sz w:val="18"/>
          <w:szCs w:val="18"/>
          <w:color w:val="auto"/>
        </w:rPr>
        <w:t>We have elected to be regulated as a BDC under the 1940 Act and intend to be treated as a RIC under the Code. As a result, we will be required to comply with various statutory and regulatory requirements, such as:</w:t>
      </w:r>
    </w:p>
    <w:p>
      <w:pPr>
        <w:spacing w:after="0" w:line="49" w:lineRule="exact"/>
        <w:rPr>
          <w:sz w:val="20"/>
          <w:szCs w:val="20"/>
          <w:color w:val="auto"/>
        </w:rPr>
      </w:pPr>
    </w:p>
    <w:p>
      <w:pPr>
        <w:ind w:left="520" w:hanging="257"/>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520" w:right="360" w:hanging="257"/>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4" w:lineRule="exact"/>
        <w:rPr>
          <w:sz w:val="20"/>
          <w:szCs w:val="20"/>
          <w:color w:val="auto"/>
        </w:rPr>
      </w:pPr>
    </w:p>
    <w:p>
      <w:pPr>
        <w:ind w:right="100" w:firstLine="255"/>
        <w:spacing w:after="0" w:line="261"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which are expected returns that are adjusted based on the levels of risk associated with the investments.</w:t>
      </w:r>
    </w:p>
    <w:p>
      <w:pPr>
        <w:spacing w:after="0" w:line="360" w:lineRule="exact"/>
        <w:rPr>
          <w:sz w:val="20"/>
          <w:szCs w:val="20"/>
          <w:color w:val="auto"/>
        </w:rPr>
      </w:pPr>
    </w:p>
    <w:p>
      <w:pPr>
        <w:ind w:right="440" w:firstLine="255"/>
        <w:spacing w:after="0" w:line="248" w:lineRule="auto"/>
        <w:rPr>
          <w:sz w:val="20"/>
          <w:szCs w:val="20"/>
          <w:color w:val="auto"/>
        </w:rPr>
      </w:pPr>
      <w:r>
        <w:rPr>
          <w:rFonts w:ascii="Arial" w:cs="Arial" w:eastAsia="Arial" w:hAnsi="Arial"/>
          <w:sz w:val="18"/>
          <w:szCs w:val="18"/>
          <w:color w:val="auto"/>
        </w:rPr>
        <w:t>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371" w:lineRule="exact"/>
        <w:rPr>
          <w:sz w:val="20"/>
          <w:szCs w:val="20"/>
          <w:color w:val="auto"/>
        </w:rPr>
      </w:pPr>
    </w:p>
    <w:p>
      <w:pPr>
        <w:ind w:firstLine="255"/>
        <w:spacing w:after="0" w:line="272" w:lineRule="auto"/>
        <w:rPr>
          <w:sz w:val="20"/>
          <w:szCs w:val="20"/>
          <w:color w:val="auto"/>
        </w:rPr>
      </w:pPr>
      <w:r>
        <w:rPr>
          <w:rFonts w:ascii="Arial" w:cs="Arial" w:eastAsia="Arial" w:hAnsi="Arial"/>
          <w:sz w:val="16"/>
          <w:szCs w:val="16"/>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corporate bonds, with a secondary priority behind first-lien debt.</w:t>
      </w:r>
    </w:p>
    <w:p>
      <w:pPr>
        <w:spacing w:after="0" w:line="200" w:lineRule="exact"/>
        <w:rPr>
          <w:sz w:val="20"/>
          <w:szCs w:val="20"/>
          <w:color w:val="auto"/>
        </w:rPr>
      </w:pPr>
    </w:p>
    <w:p>
      <w:pPr>
        <w:spacing w:after="0" w:line="214" w:lineRule="exact"/>
        <w:rPr>
          <w:sz w:val="20"/>
          <w:szCs w:val="20"/>
          <w:color w:val="auto"/>
        </w:rPr>
      </w:pPr>
    </w:p>
    <w:p>
      <w:pPr>
        <w:ind w:right="300" w:firstLine="255"/>
        <w:spacing w:after="0" w:line="246" w:lineRule="auto"/>
        <w:rPr>
          <w:sz w:val="20"/>
          <w:szCs w:val="20"/>
          <w:color w:val="auto"/>
        </w:rPr>
      </w:pPr>
      <w:r>
        <w:rPr>
          <w:rFonts w:ascii="Arial" w:cs="Arial" w:eastAsia="Arial" w:hAnsi="Arial"/>
          <w:sz w:val="18"/>
          <w:szCs w:val="18"/>
          <w:color w:val="auto"/>
        </w:rPr>
        <w:t>We seek to create a portfolio that includes primarily senior secured by primarily investing approximately $200 million to $500 million of capital, on average, in the securities of upper middle-market companies.</w:t>
      </w:r>
    </w:p>
    <w:p>
      <w:pPr>
        <w:spacing w:after="0" w:line="386" w:lineRule="exact"/>
        <w:rPr>
          <w:sz w:val="20"/>
          <w:szCs w:val="20"/>
          <w:color w:val="auto"/>
        </w:rPr>
      </w:pPr>
    </w:p>
    <w:p>
      <w:pPr>
        <w:ind w:right="120" w:firstLine="255"/>
        <w:spacing w:after="0" w:line="246"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83" w:lineRule="exact"/>
        <w:rPr>
          <w:sz w:val="20"/>
          <w:szCs w:val="20"/>
          <w:color w:val="auto"/>
        </w:rPr>
      </w:pPr>
    </w:p>
    <w:p>
      <w:pPr>
        <w:ind w:right="40" w:firstLine="255"/>
        <w:spacing w:after="0" w:line="324"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September 30, 2022, the largest single investment based on fair value represented 93.3% of our total investment portfolio.</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September 30, 2022, the average investment size in each of our portfolio companies was approximately $52.2 million based on fair value.</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160" w:firstLine="255"/>
        <w:spacing w:after="0" w:line="245"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will focus on companies with enterprise values above $750 million. When reviewing potential investments,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 We currently do not limit our focus to any specific industry and we may invest in larger or smaller companies.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2022, the largest industry represented 93.3% of our total investment portfolio based on fair value.</w:t>
      </w:r>
    </w:p>
    <w:p>
      <w:pPr>
        <w:spacing w:after="0" w:line="225" w:lineRule="exact"/>
        <w:rPr>
          <w:sz w:val="20"/>
          <w:szCs w:val="20"/>
          <w:color w:val="auto"/>
        </w:rPr>
      </w:pPr>
    </w:p>
    <w:p>
      <w:pPr>
        <w:ind w:right="120" w:firstLine="255"/>
        <w:spacing w:after="0" w:line="261"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September 30, 2022,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100.0% of our portfolio was invested in secured debt, including 100.0%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2022, the weighted average term on new investment commitments in new portfolio companies was 5.1 years.</w:t>
      </w:r>
    </w:p>
    <w:p>
      <w:pPr>
        <w:spacing w:after="0" w:line="172" w:lineRule="exact"/>
        <w:rPr>
          <w:sz w:val="20"/>
          <w:szCs w:val="20"/>
          <w:color w:val="auto"/>
        </w:rPr>
      </w:pPr>
    </w:p>
    <w:p>
      <w:pPr>
        <w:ind w:firstLine="255"/>
        <w:spacing w:after="0" w:line="256"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will focus on, among other deal dynamics, direct origination of investments, where we identify and lead the investment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175" w:lineRule="exact"/>
        <w:rPr>
          <w:sz w:val="20"/>
          <w:szCs w:val="20"/>
          <w:color w:val="auto"/>
        </w:rPr>
      </w:pPr>
    </w:p>
    <w:p>
      <w:pPr>
        <w:jc w:val="center"/>
        <w:ind w:right="380"/>
        <w:spacing w:after="0"/>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w:t>
      </w:r>
    </w:p>
    <w:p>
      <w:pPr>
        <w:spacing w:after="0" w:line="23"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payment income. As of September 30, 2022, we had call protection on 100.0% of our debt investments based on fair value, with weighted average call prices of 112.2% for the first year, 105.2% for the second year and 101.5% for the third year, in each case from the date of the initial investment. As of September 30, 2022, 100.0% of our debt investments based on fair value bore interest at floating rates, with 100.0% of these subject to interest rate floors, which we believe helps act as a portfolio-wide hedge against inflation.</w:t>
      </w:r>
    </w:p>
    <w:p>
      <w:pPr>
        <w:spacing w:after="0" w:line="189" w:lineRule="exact"/>
        <w:rPr>
          <w:sz w:val="20"/>
          <w:szCs w:val="20"/>
          <w:color w:val="auto"/>
        </w:rPr>
      </w:pPr>
    </w:p>
    <w:p>
      <w:pPr>
        <w:ind w:right="140" w:firstLine="255"/>
        <w:spacing w:after="0" w:line="342" w:lineRule="auto"/>
        <w:rPr>
          <w:sz w:val="20"/>
          <w:szCs w:val="20"/>
          <w:color w:val="auto"/>
        </w:rPr>
      </w:pPr>
      <w:r>
        <w:rPr>
          <w:rFonts w:ascii="Arial" w:cs="Arial" w:eastAsia="Arial" w:hAnsi="Arial"/>
          <w:sz w:val="16"/>
          <w:szCs w:val="16"/>
          <w:i w:val="1"/>
          <w:iCs w:val="1"/>
          <w:color w:val="auto"/>
        </w:rPr>
        <w:t xml:space="preserve">Robust mitigation. </w:t>
      </w:r>
      <w:r>
        <w:rPr>
          <w:rFonts w:ascii="Arial" w:cs="Arial" w:eastAsia="Arial" w:hAnsi="Arial"/>
          <w:sz w:val="16"/>
          <w:szCs w:val="16"/>
          <w:color w:val="auto"/>
        </w:rPr>
        <w:t>We will seek to mitigate non-credit-related risk on our returns in several ways, including call protection provisions to protect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income. In addition, most of our investments are floating rate in nature, which we believe helps act as a portfolio-wide hedge against inflation.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Relationship with our Adviser and Sixth Street</w:t>
      </w:r>
    </w:p>
    <w:p>
      <w:pPr>
        <w:spacing w:after="0" w:line="117" w:lineRule="exact"/>
        <w:rPr>
          <w:sz w:val="20"/>
          <w:szCs w:val="20"/>
          <w:color w:val="auto"/>
        </w:rPr>
      </w:pPr>
    </w:p>
    <w:p>
      <w:pPr>
        <w:ind w:right="280" w:firstLine="255"/>
        <w:spacing w:after="0" w:line="243"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201" w:lineRule="exact"/>
        <w:rPr>
          <w:sz w:val="20"/>
          <w:szCs w:val="20"/>
          <w:color w:val="auto"/>
        </w:rPr>
      </w:pPr>
    </w:p>
    <w:p>
      <w:pPr>
        <w:ind w:firstLine="255"/>
        <w:spacing w:after="0" w:line="274" w:lineRule="auto"/>
        <w:rPr>
          <w:sz w:val="20"/>
          <w:szCs w:val="20"/>
          <w:color w:val="auto"/>
        </w:rPr>
      </w:pPr>
      <w:r>
        <w:rPr>
          <w:rFonts w:ascii="Arial" w:cs="Arial" w:eastAsia="Arial" w:hAnsi="Arial"/>
          <w:sz w:val="16"/>
          <w:szCs w:val="16"/>
          <w:color w:val="auto"/>
        </w:rPr>
        <w:t>Sixth Street is a global investment business with over $60 billion of assets under management as of September 30, 2022.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460 investment and operating professionals. As of September 30, 2022, forty-one (41) of these personnel are dedicated to our business, including thirty-three (33) investment professionals.</w:t>
      </w:r>
    </w:p>
    <w:p>
      <w:pPr>
        <w:spacing w:after="0" w:line="181" w:lineRule="exact"/>
        <w:rPr>
          <w:sz w:val="20"/>
          <w:szCs w:val="20"/>
          <w:color w:val="auto"/>
        </w:rPr>
      </w:pPr>
    </w:p>
    <w:p>
      <w:pPr>
        <w:ind w:right="20" w:firstLine="255"/>
        <w:spacing w:after="0" w:line="260"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ind w:right="120" w:firstLine="255"/>
        <w:spacing w:after="0" w:line="284" w:lineRule="auto"/>
        <w:rPr>
          <w:sz w:val="20"/>
          <w:szCs w:val="20"/>
          <w:color w:val="auto"/>
        </w:rPr>
      </w:pPr>
      <w:r>
        <w:rPr>
          <w:rFonts w:ascii="Arial" w:cs="Arial" w:eastAsia="Arial" w:hAnsi="Arial"/>
          <w:sz w:val="16"/>
          <w:szCs w:val="16"/>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169" w:lineRule="exact"/>
        <w:rPr>
          <w:sz w:val="20"/>
          <w:szCs w:val="20"/>
          <w:color w:val="auto"/>
        </w:rPr>
      </w:pPr>
    </w:p>
    <w:p>
      <w:pPr>
        <w:ind w:firstLine="255"/>
        <w:spacing w:after="0" w:line="24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1" w:lineRule="exact"/>
        <w:rPr>
          <w:sz w:val="20"/>
          <w:szCs w:val="20"/>
          <w:color w:val="auto"/>
        </w:rPr>
      </w:pPr>
    </w:p>
    <w:p>
      <w:pPr>
        <w:jc w:val="both"/>
        <w:ind w:right="20" w:firstLine="255"/>
        <w:spacing w:after="0" w:line="303"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0" w:lineRule="exact"/>
        <w:rPr>
          <w:sz w:val="20"/>
          <w:szCs w:val="20"/>
          <w:color w:val="auto"/>
        </w:rPr>
      </w:pPr>
    </w:p>
    <w:p>
      <w:pPr>
        <w:ind w:right="340" w:firstLine="255"/>
        <w:spacing w:after="0" w:line="24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upper middle-market companies domiciled in the United States.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4" w:name="page25"/>
    <w:bookmarkEnd w:id="24"/>
    <w:p>
      <w:pPr>
        <w:ind w:right="60" w:firstLine="255"/>
        <w:spacing w:after="0" w:line="294"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34" w:lineRule="exact"/>
        <w:rPr>
          <w:sz w:val="20"/>
          <w:szCs w:val="20"/>
          <w:color w:val="auto"/>
        </w:rPr>
      </w:pPr>
    </w:p>
    <w:p>
      <w:pPr>
        <w:ind w:right="280" w:firstLine="255"/>
        <w:spacing w:after="0" w:line="261"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firstLine="255"/>
        <w:spacing w:after="0" w:line="262"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September 30, 2022, 100.0% of these investments based on fair value bore interest at a floating rate, with 100.0% of these subject to interest rate floors. Interest on debt investments is generally payable quarterly or semiannually.</w:t>
      </w:r>
    </w:p>
    <w:p>
      <w:pPr>
        <w:spacing w:after="0" w:line="172" w:lineRule="exact"/>
        <w:rPr>
          <w:sz w:val="20"/>
          <w:szCs w:val="20"/>
          <w:color w:val="auto"/>
        </w:rPr>
      </w:pPr>
    </w:p>
    <w:p>
      <w:pPr>
        <w:ind w:right="180" w:firstLine="255"/>
        <w:spacing w:after="0" w:line="255"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Revolving Credit Facility bears interest at floating rates. Macro trends in base interest rates like LIBOR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80" w:lineRule="exact"/>
        <w:rPr>
          <w:sz w:val="20"/>
          <w:szCs w:val="20"/>
          <w:color w:val="auto"/>
        </w:rPr>
      </w:pPr>
    </w:p>
    <w:p>
      <w:pPr>
        <w:ind w:right="40" w:firstLine="255"/>
        <w:spacing w:after="0" w:line="279" w:lineRule="auto"/>
        <w:rPr>
          <w:sz w:val="20"/>
          <w:szCs w:val="20"/>
          <w:color w:val="auto"/>
        </w:rPr>
      </w:pPr>
      <w:r>
        <w:rPr>
          <w:rFonts w:ascii="Arial" w:cs="Arial" w:eastAsia="Arial" w:hAnsi="Arial"/>
          <w:sz w:val="16"/>
          <w:szCs w:val="16"/>
          <w:color w:val="auto"/>
        </w:rPr>
        <w:t>In addition to interest income, our net investment income may also be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9" w:lineRule="exact"/>
        <w:rPr>
          <w:sz w:val="20"/>
          <w:szCs w:val="20"/>
          <w:color w:val="auto"/>
        </w:rPr>
      </w:pPr>
    </w:p>
    <w:p>
      <w:pPr>
        <w:ind w:firstLine="255"/>
        <w:spacing w:after="0" w:line="259" w:lineRule="auto"/>
        <w:rPr>
          <w:sz w:val="20"/>
          <w:szCs w:val="20"/>
          <w:color w:val="auto"/>
        </w:rPr>
      </w:pPr>
      <w:r>
        <w:rPr>
          <w:rFonts w:ascii="Arial" w:cs="Arial" w:eastAsia="Arial" w:hAnsi="Arial"/>
          <w:sz w:val="17"/>
          <w:szCs w:val="17"/>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74" w:lineRule="exact"/>
        <w:rPr>
          <w:sz w:val="20"/>
          <w:szCs w:val="20"/>
          <w:color w:val="auto"/>
        </w:rPr>
      </w:pPr>
    </w:p>
    <w:p>
      <w:pPr>
        <w:ind w:right="140" w:firstLine="255"/>
        <w:spacing w:after="0" w:line="261"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1" w:lineRule="exact"/>
        <w:rPr>
          <w:sz w:val="20"/>
          <w:szCs w:val="20"/>
          <w:color w:val="auto"/>
        </w:rPr>
      </w:pPr>
    </w:p>
    <w:p>
      <w:pPr>
        <w:ind w:right="260" w:firstLine="255"/>
        <w:spacing w:after="0" w:line="243" w:lineRule="auto"/>
        <w:rPr>
          <w:sz w:val="20"/>
          <w:szCs w:val="20"/>
          <w:color w:val="auto"/>
        </w:rPr>
      </w:pPr>
      <w:r>
        <w:rPr>
          <w:rFonts w:ascii="Arial" w:cs="Arial" w:eastAsia="Arial" w:hAnsi="Arial"/>
          <w:sz w:val="18"/>
          <w:szCs w:val="18"/>
          <w:color w:val="auto"/>
        </w:rPr>
        <w:t>Our portfolio activity may also reflect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04" w:lineRule="exact"/>
        <w:rPr>
          <w:sz w:val="20"/>
          <w:szCs w:val="20"/>
          <w:color w:val="auto"/>
        </w:rPr>
      </w:pPr>
    </w:p>
    <w:p>
      <w:pPr>
        <w:ind w:right="680" w:firstLine="255"/>
        <w:spacing w:after="0" w:line="324" w:lineRule="auto"/>
        <w:rPr>
          <w:sz w:val="20"/>
          <w:szCs w:val="20"/>
          <w:color w:val="auto"/>
        </w:rPr>
      </w:pPr>
      <w:r>
        <w:rPr>
          <w:rFonts w:ascii="Arial" w:cs="Arial" w:eastAsia="Arial" w:hAnsi="Arial"/>
          <w:sz w:val="16"/>
          <w:szCs w:val="16"/>
          <w:color w:val="auto"/>
        </w:rPr>
        <w:t>Our primary operating expenses include organizational fees and operating costs described below. Additionally, we pay interest expense on our outstanding debt. We bear all other costs and expenses of our operations, administration and transactions, including those relating to:</w:t>
      </w:r>
    </w:p>
    <w:p>
      <w:pPr>
        <w:spacing w:after="0" w:line="16" w:lineRule="exact"/>
        <w:rPr>
          <w:sz w:val="20"/>
          <w:szCs w:val="20"/>
          <w:color w:val="auto"/>
        </w:rPr>
      </w:pPr>
    </w:p>
    <w:p>
      <w:pPr>
        <w:jc w:val="both"/>
        <w:ind w:left="520" w:right="360" w:hanging="257"/>
        <w:spacing w:after="0" w:line="270"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55" w:lineRule="exact"/>
        <w:rPr>
          <w:rFonts w:ascii="Arial" w:cs="Arial" w:eastAsia="Arial" w:hAnsi="Arial"/>
          <w:sz w:val="17"/>
          <w:szCs w:val="17"/>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03" w:lineRule="exact"/>
        <w:rPr>
          <w:rFonts w:ascii="Arial" w:cs="Arial" w:eastAsia="Arial" w:hAnsi="Arial"/>
          <w:sz w:val="18"/>
          <w:szCs w:val="18"/>
          <w:color w:val="auto"/>
        </w:rPr>
      </w:pPr>
    </w:p>
    <w:p>
      <w:pPr>
        <w:ind w:left="520" w:right="240" w:hanging="257"/>
        <w:spacing w:after="0" w:line="248"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any public offerings of our Common Shares and other securities, including registration and listing fees;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Common Shares;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03" w:lineRule="exact"/>
        <w:rPr>
          <w:rFonts w:ascii="Arial" w:cs="Arial" w:eastAsia="Arial" w:hAnsi="Arial"/>
          <w:sz w:val="18"/>
          <w:szCs w:val="18"/>
          <w:color w:val="auto"/>
        </w:rPr>
      </w:pPr>
    </w:p>
    <w:p>
      <w:pPr>
        <w:ind w:left="520" w:hanging="257"/>
        <w:spacing w:after="0" w:line="241"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81"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15" w:lineRule="exact"/>
        <w:rPr>
          <w:rFonts w:ascii="Arial" w:cs="Arial" w:eastAsia="Arial" w:hAnsi="Arial"/>
          <w:sz w:val="17"/>
          <w:szCs w:val="17"/>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taxes;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independent trustees fees and expenses;</w:t>
      </w:r>
    </w:p>
    <w:p>
      <w:pPr>
        <w:spacing w:after="0" w:line="103" w:lineRule="exact"/>
        <w:rPr>
          <w:rFonts w:ascii="Arial" w:cs="Arial" w:eastAsia="Arial" w:hAnsi="Arial"/>
          <w:sz w:val="18"/>
          <w:szCs w:val="18"/>
          <w:color w:val="auto"/>
        </w:rPr>
      </w:pPr>
    </w:p>
    <w:p>
      <w:pPr>
        <w:ind w:left="520" w:right="100" w:hanging="257"/>
        <w:spacing w:after="0" w:line="324"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16" w:lineRule="exact"/>
        <w:rPr>
          <w:rFonts w:ascii="Arial" w:cs="Arial" w:eastAsia="Arial" w:hAnsi="Arial"/>
          <w:sz w:val="16"/>
          <w:szCs w:val="16"/>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trustees and officers/errors and omissions liability insurance, and any other insurance premiums;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12" w:lineRule="exact"/>
        <w:rPr>
          <w:sz w:val="20"/>
          <w:szCs w:val="20"/>
          <w:color w:val="auto"/>
        </w:rPr>
      </w:pPr>
    </w:p>
    <w:p>
      <w:pPr>
        <w:ind w:right="120" w:firstLine="255"/>
        <w:spacing w:after="0" w:line="261"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04" w:lineRule="exact"/>
        <w:rPr>
          <w:sz w:val="20"/>
          <w:szCs w:val="20"/>
          <w:color w:val="auto"/>
        </w:rPr>
      </w:pPr>
    </w:p>
    <w:p>
      <w:pPr>
        <w:ind w:right="100" w:firstLine="255"/>
        <w:spacing w:after="0"/>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04" w:lineRule="exact"/>
        <w:rPr>
          <w:sz w:val="20"/>
          <w:szCs w:val="20"/>
          <w:color w:val="auto"/>
        </w:rPr>
      </w:pPr>
    </w:p>
    <w:p>
      <w:pPr>
        <w:ind w:right="120" w:firstLine="255"/>
        <w:spacing w:after="0" w:line="24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82" w:lineRule="exact"/>
        <w:rPr>
          <w:sz w:val="20"/>
          <w:szCs w:val="20"/>
          <w:color w:val="auto"/>
        </w:rPr>
      </w:pPr>
    </w:p>
    <w:p>
      <w:pPr>
        <w:ind w:right="20" w:firstLine="255"/>
        <w:spacing w:after="0" w:line="262" w:lineRule="auto"/>
        <w:rPr>
          <w:sz w:val="20"/>
          <w:szCs w:val="20"/>
          <w:color w:val="auto"/>
        </w:rPr>
      </w:pPr>
      <w:r>
        <w:rPr>
          <w:rFonts w:ascii="Arial" w:cs="Arial" w:eastAsia="Arial" w:hAnsi="Arial"/>
          <w:sz w:val="17"/>
          <w:szCs w:val="17"/>
          <w:color w:val="auto"/>
        </w:rPr>
        <w:t>Subsequent to the global financial crisis, the implementation of regulatory changes such as Basel III requirements, Leverage Lending Guidance, and the Volker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72" w:lineRule="exact"/>
        <w:rPr>
          <w:sz w:val="20"/>
          <w:szCs w:val="20"/>
          <w:color w:val="auto"/>
        </w:rPr>
      </w:pPr>
    </w:p>
    <w:p>
      <w:pPr>
        <w:jc w:val="both"/>
        <w:ind w:right="200" w:firstLine="255"/>
        <w:spacing w:after="0" w:line="243" w:lineRule="auto"/>
        <w:rPr>
          <w:sz w:val="20"/>
          <w:szCs w:val="20"/>
          <w:color w:val="auto"/>
        </w:rPr>
      </w:pPr>
      <w:r>
        <w:rPr>
          <w:rFonts w:ascii="Arial" w:cs="Arial" w:eastAsia="Arial" w:hAnsi="Arial"/>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88" w:lineRule="exact"/>
        <w:rPr>
          <w:sz w:val="20"/>
          <w:szCs w:val="20"/>
          <w:color w:val="auto"/>
        </w:rPr>
      </w:pPr>
    </w:p>
    <w:p>
      <w:pPr>
        <w:ind w:right="20" w:firstLine="255"/>
        <w:spacing w:after="0" w:line="290"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64" w:lineRule="exact"/>
        <w:rPr>
          <w:sz w:val="20"/>
          <w:szCs w:val="20"/>
          <w:color w:val="auto"/>
        </w:rPr>
      </w:pPr>
    </w:p>
    <w:p>
      <w:pPr>
        <w:ind w:firstLine="255"/>
        <w:spacing w:after="0" w:line="259"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2022, our portfolio based on fair value consisted of 100.0% first-lien debt investments.</w:t>
      </w:r>
    </w:p>
    <w:p>
      <w:pPr>
        <w:spacing w:after="0" w:line="212" w:lineRule="exact"/>
        <w:rPr>
          <w:sz w:val="20"/>
          <w:szCs w:val="20"/>
          <w:color w:val="auto"/>
        </w:rPr>
      </w:pPr>
    </w:p>
    <w:p>
      <w:pPr>
        <w:ind w:right="180" w:firstLine="255"/>
        <w:spacing w:after="0" w:line="256" w:lineRule="auto"/>
        <w:rPr>
          <w:sz w:val="20"/>
          <w:szCs w:val="20"/>
          <w:color w:val="auto"/>
        </w:rPr>
      </w:pPr>
      <w:r>
        <w:rPr>
          <w:rFonts w:ascii="Arial" w:cs="Arial" w:eastAsia="Arial" w:hAnsi="Arial"/>
          <w:sz w:val="18"/>
          <w:szCs w:val="18"/>
          <w:color w:val="auto"/>
        </w:rPr>
        <w:t>As of September 30, 2022, our weighted average total yield of debt and income-producing securities at fair value (which includes interest income and amortization of fees and discounts) was 11.6%, and our weighted average total yield of debt and income-producing securities at amortized cost (which includes interest income and amortization of fees and discounts) was 11.6%.</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2022, we had investments in 2 portfolio companies, with an aggregate fair value of $104.5 million.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7" w:name="page28"/>
    <w:bookmarkEnd w:id="27"/>
    <w:p>
      <w:pPr>
        <w:ind w:left="260"/>
        <w:spacing w:after="0"/>
        <w:rPr>
          <w:sz w:val="20"/>
          <w:szCs w:val="20"/>
          <w:color w:val="auto"/>
        </w:rPr>
      </w:pPr>
      <w:r>
        <w:rPr>
          <w:rFonts w:ascii="Arial" w:cs="Arial" w:eastAsia="Arial" w:hAnsi="Arial"/>
          <w:sz w:val="16"/>
          <w:szCs w:val="16"/>
          <w:color w:val="auto"/>
        </w:rPr>
        <w:t>For the three months ended September 30, 2022, the principal amount of new investments funded was $106.9 million in two new portfolio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exits or repayments.</w:t>
      </w:r>
    </w:p>
    <w:p>
      <w:pPr>
        <w:spacing w:after="0" w:line="197" w:lineRule="exact"/>
        <w:rPr>
          <w:sz w:val="20"/>
          <w:szCs w:val="20"/>
          <w:color w:val="auto"/>
        </w:rPr>
      </w:pPr>
    </w:p>
    <w:p>
      <w:pPr>
        <w:ind w:right="560" w:firstLine="255"/>
        <w:spacing w:after="0" w:line="261" w:lineRule="auto"/>
        <w:rPr>
          <w:sz w:val="20"/>
          <w:szCs w:val="20"/>
          <w:color w:val="auto"/>
        </w:rPr>
      </w:pPr>
      <w:r>
        <w:rPr>
          <w:rFonts w:ascii="Arial" w:cs="Arial" w:eastAsia="Arial" w:hAnsi="Arial"/>
          <w:sz w:val="18"/>
          <w:szCs w:val="18"/>
          <w:color w:val="auto"/>
        </w:rPr>
        <w:t>Our investment activity for the three months ended September 30, 2022 is presented below (information presented herein is at par value unless otherwise indicated).</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5"/>
                <w:szCs w:val="15"/>
                <w:color w:val="auto"/>
              </w:rPr>
            </w:pPr>
          </w:p>
        </w:tc>
      </w:tr>
      <w:tr>
        <w:trPr>
          <w:trHeight w:val="185"/>
        </w:trPr>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6"/>
              </w:rPr>
              <w:t>September 30, 2022</w:t>
            </w:r>
          </w:p>
        </w:tc>
        <w:tc>
          <w:tcPr>
            <w:tcW w:w="300" w:type="dxa"/>
            <w:vAlign w:val="bottom"/>
          </w:tcPr>
          <w:p>
            <w:pPr>
              <w:spacing w:after="0"/>
              <w:rPr>
                <w:sz w:val="16"/>
                <w:szCs w:val="16"/>
                <w:color w:val="auto"/>
              </w:rPr>
            </w:pPr>
          </w:p>
        </w:tc>
      </w:tr>
      <w:tr>
        <w:trPr>
          <w:trHeight w:val="209"/>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00" w:type="dxa"/>
            <w:vAlign w:val="bottom"/>
          </w:tcPr>
          <w:p>
            <w:pPr>
              <w:ind w:left="180"/>
              <w:spacing w:after="0"/>
              <w:rPr>
                <w:sz w:val="20"/>
                <w:szCs w:val="20"/>
                <w:color w:val="auto"/>
              </w:rPr>
            </w:pPr>
            <w:r>
              <w:rPr>
                <w:rFonts w:ascii="Arial" w:cs="Arial" w:eastAsia="Arial" w:hAnsi="Arial"/>
                <w:sz w:val="18"/>
                <w:szCs w:val="18"/>
                <w:color w:val="auto"/>
              </w:rPr>
              <w:t>Gross originations</w:t>
            </w:r>
          </w:p>
        </w:tc>
        <w:tc>
          <w:tcPr>
            <w:tcW w:w="3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00" w:type="dxa"/>
            <w:vAlign w:val="bottom"/>
          </w:tcPr>
          <w:p>
            <w:pPr>
              <w:ind w:left="180"/>
              <w:spacing w:after="0"/>
              <w:rPr>
                <w:sz w:val="20"/>
                <w:szCs w:val="20"/>
                <w:color w:val="auto"/>
              </w:rPr>
            </w:pPr>
            <w:r>
              <w:rPr>
                <w:rFonts w:ascii="Arial" w:cs="Arial" w:eastAsia="Arial" w:hAnsi="Arial"/>
                <w:sz w:val="18"/>
                <w:szCs w:val="18"/>
                <w:color w:val="auto"/>
              </w:rPr>
              <w:t>First-lien</w:t>
            </w:r>
          </w:p>
        </w:tc>
        <w:tc>
          <w:tcPr>
            <w:tcW w:w="3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00" w:type="dxa"/>
            <w:vAlign w:val="bottom"/>
          </w:tcPr>
          <w:p>
            <w:pPr>
              <w:ind w:left="180"/>
              <w:spacing w:after="0"/>
              <w:rPr>
                <w:sz w:val="20"/>
                <w:szCs w:val="20"/>
                <w:color w:val="auto"/>
              </w:rPr>
            </w:pPr>
            <w:r>
              <w:rPr>
                <w:rFonts w:ascii="Arial" w:cs="Arial" w:eastAsia="Arial" w:hAnsi="Arial"/>
                <w:sz w:val="18"/>
                <w:szCs w:val="18"/>
                <w:color w:val="auto"/>
              </w:rPr>
              <w:t>First-lien</w:t>
            </w:r>
          </w:p>
        </w:tc>
        <w:tc>
          <w:tcPr>
            <w:tcW w:w="3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71"/>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Number of new investment commitments in</w:t>
            </w:r>
          </w:p>
        </w:tc>
        <w:tc>
          <w:tcPr>
            <w:tcW w:w="3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71"/>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tcPr>
          <w:p>
            <w:pPr>
              <w:spacing w:after="0" w:line="170" w:lineRule="exact"/>
              <w:rPr>
                <w:sz w:val="20"/>
                <w:szCs w:val="20"/>
                <w:color w:val="auto"/>
              </w:rPr>
            </w:pPr>
            <w:r>
              <w:rPr>
                <w:rFonts w:ascii="Arial" w:cs="Arial" w:eastAsia="Arial" w:hAnsi="Arial"/>
                <w:sz w:val="18"/>
                <w:szCs w:val="18"/>
                <w:b w:val="1"/>
                <w:bCs w:val="1"/>
                <w:color w:val="auto"/>
              </w:rPr>
              <w:t>Average new investment commitment amount in</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71"/>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Weighted average term for new investment</w:t>
            </w:r>
          </w:p>
        </w:tc>
        <w:tc>
          <w:tcPr>
            <w:tcW w:w="3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500" w:type="dxa"/>
            <w:vAlign w:val="bottom"/>
            <w:shd w:val="clear" w:color="auto" w:fill="CFF0FC"/>
          </w:tcPr>
          <w:p>
            <w:pPr>
              <w:ind w:left="140"/>
              <w:spacing w:after="0" w:line="189" w:lineRule="exact"/>
              <w:rPr>
                <w:sz w:val="20"/>
                <w:szCs w:val="20"/>
                <w:color w:val="auto"/>
              </w:rPr>
            </w:pPr>
            <w:r>
              <w:rPr>
                <w:rFonts w:ascii="Arial" w:cs="Arial" w:eastAsia="Arial" w:hAnsi="Arial"/>
                <w:sz w:val="18"/>
                <w:szCs w:val="18"/>
                <w:b w:val="1"/>
                <w:bCs w:val="1"/>
                <w:color w:val="auto"/>
              </w:rPr>
              <w:t>commitments in new portfolio companies</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3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71"/>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tcPr>
          <w:p>
            <w:pPr>
              <w:spacing w:after="0" w:line="170" w:lineRule="exact"/>
              <w:rPr>
                <w:sz w:val="20"/>
                <w:szCs w:val="20"/>
                <w:color w:val="auto"/>
              </w:rPr>
            </w:pPr>
            <w:r>
              <w:rPr>
                <w:rFonts w:ascii="Arial" w:cs="Arial" w:eastAsia="Arial" w:hAnsi="Arial"/>
                <w:sz w:val="18"/>
                <w:szCs w:val="18"/>
                <w:b w:val="1"/>
                <w:bCs w:val="1"/>
                <w:color w:val="auto"/>
              </w:rPr>
              <w:t>Percentage of new debt investment commitments</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100.0 %</w:t>
            </w:r>
          </w:p>
        </w:tc>
        <w:tc>
          <w:tcPr>
            <w:tcW w:w="300" w:type="dxa"/>
            <w:vAlign w:val="bottom"/>
          </w:tcPr>
          <w:p>
            <w:pPr>
              <w:spacing w:after="0"/>
              <w:rPr>
                <w:sz w:val="20"/>
                <w:szCs w:val="20"/>
                <w:color w:val="auto"/>
              </w:rPr>
            </w:pPr>
          </w:p>
        </w:tc>
      </w:tr>
      <w:tr>
        <w:trPr>
          <w:trHeight w:val="171"/>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Percentage of new debt investment commitments</w:t>
            </w:r>
          </w:p>
        </w:tc>
        <w:tc>
          <w:tcPr>
            <w:tcW w:w="3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3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71"/>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tcPr>
          <w:p>
            <w:pPr>
              <w:spacing w:after="0" w:line="170" w:lineRule="exact"/>
              <w:rPr>
                <w:sz w:val="20"/>
                <w:szCs w:val="20"/>
                <w:color w:val="auto"/>
              </w:rPr>
            </w:pPr>
            <w:r>
              <w:rPr>
                <w:rFonts w:ascii="Arial" w:cs="Arial" w:eastAsia="Arial" w:hAnsi="Arial"/>
                <w:sz w:val="18"/>
                <w:szCs w:val="18"/>
                <w:b w:val="1"/>
                <w:bCs w:val="1"/>
                <w:color w:val="auto"/>
              </w:rPr>
              <w:t>Weighted average interest rate of new</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11.3 %</w:t>
            </w:r>
          </w:p>
        </w:tc>
        <w:tc>
          <w:tcPr>
            <w:tcW w:w="300" w:type="dxa"/>
            <w:vAlign w:val="bottom"/>
          </w:tcPr>
          <w:p>
            <w:pPr>
              <w:spacing w:after="0"/>
              <w:rPr>
                <w:sz w:val="20"/>
                <w:szCs w:val="20"/>
                <w:color w:val="auto"/>
              </w:rPr>
            </w:pPr>
          </w:p>
        </w:tc>
      </w:tr>
      <w:tr>
        <w:trPr>
          <w:trHeight w:val="171"/>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tcPr>
          <w:p>
            <w:pPr>
              <w:spacing w:after="0" w:line="170" w:lineRule="exact"/>
              <w:rPr>
                <w:sz w:val="20"/>
                <w:szCs w:val="20"/>
                <w:color w:val="auto"/>
              </w:rPr>
            </w:pPr>
            <w:r>
              <w:rPr>
                <w:rFonts w:ascii="Arial" w:cs="Arial" w:eastAsia="Arial" w:hAnsi="Arial"/>
                <w:sz w:val="18"/>
                <w:szCs w:val="18"/>
                <w:b w:val="1"/>
                <w:bCs w:val="1"/>
                <w:color w:val="auto"/>
              </w:rPr>
              <w:t>Weighted average spread over reference rate of</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new floating rate investment commitments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7.7 %</w:t>
            </w:r>
          </w:p>
        </w:tc>
        <w:tc>
          <w:tcPr>
            <w:tcW w:w="300" w:type="dxa"/>
            <w:vAlign w:val="bottom"/>
          </w:tcPr>
          <w:p>
            <w:pPr>
              <w:spacing w:after="0"/>
              <w:rPr>
                <w:sz w:val="20"/>
                <w:szCs w:val="20"/>
                <w:color w:val="auto"/>
              </w:rPr>
            </w:pPr>
          </w:p>
        </w:tc>
      </w:tr>
      <w:tr>
        <w:trPr>
          <w:trHeight w:val="171"/>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tcPr>
          <w:p>
            <w:pPr>
              <w:spacing w:after="0" w:line="170" w:lineRule="exact"/>
              <w:rPr>
                <w:sz w:val="20"/>
                <w:szCs w:val="20"/>
                <w:color w:val="auto"/>
              </w:rPr>
            </w:pPr>
            <w:r>
              <w:rPr>
                <w:rFonts w:ascii="Arial" w:cs="Arial" w:eastAsia="Arial" w:hAnsi="Arial"/>
                <w:sz w:val="18"/>
                <w:szCs w:val="18"/>
                <w:b w:val="1"/>
                <w:bCs w:val="1"/>
                <w:color w:val="auto"/>
              </w:rPr>
              <w:t>Weighted average interest rate on investments</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ind w:left="82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0"/>
                <w:szCs w:val="20"/>
                <w:color w:val="auto"/>
              </w:rPr>
            </w:pPr>
          </w:p>
        </w:tc>
      </w:tr>
      <w:tr>
        <w:trPr>
          <w:trHeight w:val="459"/>
        </w:trPr>
        <w:tc>
          <w:tcPr>
            <w:tcW w:w="6380" w:type="dxa"/>
            <w:vAlign w:val="bottom"/>
            <w:gridSpan w:val="3"/>
          </w:tcPr>
          <w:p>
            <w:pPr>
              <w:spacing w:after="0"/>
              <w:rPr>
                <w:sz w:val="20"/>
                <w:szCs w:val="20"/>
                <w:color w:val="auto"/>
              </w:rPr>
            </w:pPr>
            <w:r>
              <w:rPr>
                <w:rFonts w:ascii="Arial" w:cs="Arial" w:eastAsia="Arial" w:hAnsi="Arial"/>
                <w:sz w:val="18"/>
                <w:szCs w:val="18"/>
                <w:color w:val="auto"/>
              </w:rPr>
              <w:t>As of September 30, 2022, our investments consisted of the following:</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64"/>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ind w:right="1260"/>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24"/>
                <w:szCs w:val="24"/>
                <w:color w:val="auto"/>
              </w:rPr>
            </w:pPr>
          </w:p>
        </w:tc>
      </w:tr>
      <w:tr>
        <w:trPr>
          <w:trHeight w:val="169"/>
        </w:trPr>
        <w:tc>
          <w:tcPr>
            <w:tcW w:w="3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4"/>
                <w:szCs w:val="14"/>
                <w:color w:val="auto"/>
              </w:rPr>
            </w:pPr>
          </w:p>
        </w:tc>
        <w:tc>
          <w:tcPr>
            <w:tcW w:w="15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4"/>
                <w:szCs w:val="14"/>
                <w:color w:val="auto"/>
              </w:rPr>
            </w:pPr>
          </w:p>
        </w:tc>
      </w:tr>
      <w:tr>
        <w:trPr>
          <w:trHeight w:val="210"/>
        </w:trPr>
        <w:tc>
          <w:tcPr>
            <w:tcW w:w="320" w:type="dxa"/>
            <w:vAlign w:val="bottom"/>
          </w:tcPr>
          <w:p>
            <w:pPr>
              <w:spacing w:after="0"/>
              <w:rPr>
                <w:sz w:val="18"/>
                <w:szCs w:val="18"/>
                <w:color w:val="auto"/>
              </w:rPr>
            </w:pPr>
          </w:p>
        </w:tc>
        <w:tc>
          <w:tcPr>
            <w:tcW w:w="60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60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104.2</w:t>
            </w:r>
          </w:p>
        </w:tc>
        <w:tc>
          <w:tcPr>
            <w:tcW w:w="30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-1473835</wp:posOffset>
            </wp:positionV>
            <wp:extent cx="5700395" cy="2571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00395" cy="25717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-170815</wp:posOffset>
            </wp:positionV>
            <wp:extent cx="6032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no non-accrual investments as of September 30, 2022</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weighted average yields and interest rates of our performing debt investments at fair value as of September 30, 2022 were as follows:</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2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September 30, 2022</w:t>
            </w:r>
          </w:p>
        </w:tc>
      </w:tr>
      <w:tr>
        <w:trPr>
          <w:trHeight w:val="155"/>
        </w:trPr>
        <w:tc>
          <w:tcPr>
            <w:tcW w:w="654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Weighted average total yield of debt and income</w:t>
            </w:r>
          </w:p>
        </w:tc>
        <w:tc>
          <w:tcPr>
            <w:tcW w:w="216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r>
      <w:tr>
        <w:trPr>
          <w:trHeight w:val="243"/>
        </w:trPr>
        <w:tc>
          <w:tcPr>
            <w:tcW w:w="6540" w:type="dxa"/>
            <w:vAlign w:val="bottom"/>
            <w:shd w:val="clear" w:color="auto" w:fill="CFF0FC"/>
          </w:tcPr>
          <w:p>
            <w:pPr>
              <w:ind w:left="140"/>
              <w:spacing w:after="0" w:line="243" w:lineRule="exact"/>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24"/>
                <w:szCs w:val="24"/>
                <w:color w:val="auto"/>
                <w:vertAlign w:val="superscript"/>
              </w:rPr>
              <w:t>(1)</w:t>
            </w:r>
          </w:p>
        </w:tc>
        <w:tc>
          <w:tcPr>
            <w:tcW w:w="2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11.6 %</w:t>
            </w:r>
          </w:p>
        </w:tc>
      </w:tr>
      <w:tr>
        <w:trPr>
          <w:trHeight w:val="175"/>
        </w:trPr>
        <w:tc>
          <w:tcPr>
            <w:tcW w:w="6540" w:type="dxa"/>
            <w:vAlign w:val="bottom"/>
          </w:tcPr>
          <w:p>
            <w:pPr>
              <w:spacing w:after="0" w:line="175" w:lineRule="exact"/>
              <w:rPr>
                <w:sz w:val="20"/>
                <w:szCs w:val="20"/>
                <w:color w:val="auto"/>
              </w:rPr>
            </w:pPr>
            <w:r>
              <w:rPr>
                <w:rFonts w:ascii="Arial" w:cs="Arial" w:eastAsia="Arial" w:hAnsi="Arial"/>
                <w:sz w:val="18"/>
                <w:szCs w:val="18"/>
                <w:color w:val="auto"/>
              </w:rPr>
              <w:t>Weighted average interest rate of debt and income</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10.7 %</w:t>
            </w:r>
          </w:p>
        </w:tc>
      </w:tr>
      <w:tr>
        <w:trPr>
          <w:trHeight w:val="175"/>
        </w:trPr>
        <w:tc>
          <w:tcPr>
            <w:tcW w:w="654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Weighted average spread over reference rate of all</w:t>
            </w:r>
          </w:p>
        </w:tc>
        <w:tc>
          <w:tcPr>
            <w:tcW w:w="2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r>
      <w:tr>
        <w:trPr>
          <w:trHeight w:val="230"/>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floating rate investments</w:t>
            </w:r>
          </w:p>
        </w:tc>
        <w:tc>
          <w:tcPr>
            <w:tcW w:w="2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7.8 %</w:t>
            </w:r>
          </w:p>
        </w:tc>
      </w:tr>
    </w:tbl>
    <w:p>
      <w:pPr>
        <w:spacing w:after="0" w:line="229"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11.6% at September 30, 2022.</w:t>
      </w:r>
    </w:p>
    <w:p>
      <w:pPr>
        <w:spacing w:after="0" w:line="225" w:lineRule="exact"/>
        <w:rPr>
          <w:sz w:val="20"/>
          <w:szCs w:val="20"/>
          <w:color w:val="auto"/>
        </w:rPr>
      </w:pPr>
    </w:p>
    <w:p>
      <w:pPr>
        <w:ind w:right="20" w:firstLine="255"/>
        <w:spacing w:after="0" w:line="261"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44"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has a number of methods of evaluating and monitoring the performance and fair value of our investments, which may include the following:</w:t>
      </w:r>
    </w:p>
    <w:p>
      <w:pPr>
        <w:spacing w:after="0" w:line="117" w:lineRule="exact"/>
        <w:rPr>
          <w:sz w:val="20"/>
          <w:szCs w:val="20"/>
          <w:color w:val="auto"/>
        </w:rPr>
      </w:pPr>
    </w:p>
    <w:p>
      <w:pPr>
        <w:ind w:left="520" w:hanging="257"/>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03" w:lineRule="exact"/>
        <w:rPr>
          <w:rFonts w:ascii="Arial" w:cs="Arial" w:eastAsia="Arial" w:hAnsi="Arial"/>
          <w:sz w:val="18"/>
          <w:szCs w:val="18"/>
          <w:color w:val="auto"/>
        </w:rPr>
      </w:pPr>
    </w:p>
    <w:p>
      <w:pPr>
        <w:ind w:left="520" w:right="60" w:hanging="257"/>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6" w:lineRule="exact"/>
        <w:rPr>
          <w:rFonts w:ascii="Arial" w:cs="Arial" w:eastAsia="Arial" w:hAnsi="Arial"/>
          <w:sz w:val="18"/>
          <w:szCs w:val="18"/>
          <w:color w:val="auto"/>
        </w:rPr>
      </w:pPr>
    </w:p>
    <w:p>
      <w:pPr>
        <w:ind w:left="520" w:hanging="257"/>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12" w:lineRule="exact"/>
        <w:rPr>
          <w:sz w:val="20"/>
          <w:szCs w:val="20"/>
          <w:color w:val="auto"/>
        </w:rPr>
      </w:pPr>
    </w:p>
    <w:p>
      <w:pPr>
        <w:ind w:right="40" w:firstLine="255"/>
        <w:spacing w:after="0"/>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1" w:lineRule="exact"/>
        <w:rPr>
          <w:sz w:val="20"/>
          <w:szCs w:val="20"/>
          <w:color w:val="auto"/>
        </w:rPr>
      </w:pPr>
    </w:p>
    <w:p>
      <w:pPr>
        <w:jc w:val="both"/>
        <w:ind w:left="520" w:right="64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1" w:lineRule="exact"/>
        <w:rPr>
          <w:rFonts w:ascii="Arial" w:cs="Arial" w:eastAsia="Arial" w:hAnsi="Arial"/>
          <w:sz w:val="18"/>
          <w:szCs w:val="18"/>
          <w:color w:val="auto"/>
        </w:rPr>
      </w:pPr>
    </w:p>
    <w:p>
      <w:pPr>
        <w:ind w:left="520" w:right="1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81" w:lineRule="exact"/>
        <w:rPr>
          <w:rFonts w:ascii="Arial" w:cs="Arial" w:eastAsia="Arial" w:hAnsi="Arial"/>
          <w:sz w:val="18"/>
          <w:szCs w:val="18"/>
          <w:color w:val="auto"/>
        </w:rPr>
      </w:pPr>
    </w:p>
    <w:p>
      <w:pPr>
        <w:ind w:left="520" w:right="18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81" w:lineRule="exact"/>
        <w:rPr>
          <w:rFonts w:ascii="Arial" w:cs="Arial" w:eastAsia="Arial" w:hAnsi="Arial"/>
          <w:sz w:val="18"/>
          <w:szCs w:val="18"/>
          <w:color w:val="auto"/>
        </w:rPr>
      </w:pPr>
    </w:p>
    <w:p>
      <w:pPr>
        <w:ind w:left="520" w:right="80" w:hanging="257"/>
        <w:spacing w:after="0" w:line="23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5" w:lineRule="exact"/>
        <w:rPr>
          <w:rFonts w:ascii="Arial" w:cs="Arial" w:eastAsia="Arial" w:hAnsi="Arial"/>
          <w:sz w:val="18"/>
          <w:szCs w:val="18"/>
          <w:color w:val="auto"/>
        </w:rPr>
      </w:pPr>
    </w:p>
    <w:p>
      <w:pPr>
        <w:ind w:left="520" w:right="280" w:hanging="257"/>
        <w:spacing w:after="0" w:line="257"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5" w:lineRule="exact"/>
        <w:rPr>
          <w:sz w:val="20"/>
          <w:szCs w:val="20"/>
          <w:color w:val="auto"/>
        </w:rPr>
      </w:pPr>
    </w:p>
    <w:p>
      <w:pPr>
        <w:ind w:right="100" w:firstLine="255"/>
        <w:spacing w:after="0"/>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September 30, 2022. Investment performance ratings are accurate only as of those dates and may change due to subsequent developments relating to a portfolio company’s business or financial condition, market conditions or developments, and other factors.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rPr>
              <w:t>September 30, 2022</w:t>
            </w:r>
          </w:p>
        </w:tc>
        <w:tc>
          <w:tcPr>
            <w:tcW w:w="250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r>
      <w:tr>
        <w:trPr>
          <w:trHeight w:val="160"/>
        </w:trPr>
        <w:tc>
          <w:tcPr>
            <w:tcW w:w="378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1"/>
              </w:rPr>
              <w:t>Investment</w:t>
            </w:r>
          </w:p>
        </w:tc>
        <w:tc>
          <w:tcPr>
            <w:tcW w:w="4480" w:type="dxa"/>
            <w:vAlign w:val="bottom"/>
            <w:gridSpan w:val="4"/>
          </w:tcPr>
          <w:p>
            <w:pPr>
              <w:jc w:val="center"/>
              <w:ind w:right="1220"/>
              <w:spacing w:after="0" w:line="160" w:lineRule="exact"/>
              <w:rPr>
                <w:sz w:val="20"/>
                <w:szCs w:val="20"/>
                <w:color w:val="auto"/>
              </w:rPr>
            </w:pPr>
            <w:r>
              <w:rPr>
                <w:rFonts w:ascii="Arial" w:cs="Arial" w:eastAsia="Arial" w:hAnsi="Arial"/>
                <w:sz w:val="14"/>
                <w:szCs w:val="14"/>
                <w:b w:val="1"/>
                <w:bCs w:val="1"/>
                <w:color w:val="auto"/>
                <w:w w:val="91"/>
              </w:rPr>
              <w:t>Investments at</w:t>
            </w:r>
          </w:p>
        </w:tc>
        <w:tc>
          <w:tcPr>
            <w:tcW w:w="25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6"/>
        </w:trPr>
        <w:tc>
          <w:tcPr>
            <w:tcW w:w="3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Performance</w:t>
            </w:r>
          </w:p>
        </w:tc>
        <w:tc>
          <w:tcPr>
            <w:tcW w:w="448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95"/>
              </w:rPr>
              <w:t>Fair Value</w:t>
            </w:r>
          </w:p>
        </w:tc>
        <w:tc>
          <w:tcPr>
            <w:tcW w:w="2980" w:type="dxa"/>
            <w:vAlign w:val="bottom"/>
            <w:gridSpan w:val="2"/>
          </w:tcPr>
          <w:p>
            <w:pPr>
              <w:jc w:val="right"/>
              <w:ind w:right="1630"/>
              <w:spacing w:after="0"/>
              <w:rPr>
                <w:sz w:val="20"/>
                <w:szCs w:val="20"/>
                <w:color w:val="auto"/>
              </w:rPr>
            </w:pPr>
            <w:r>
              <w:rPr>
                <w:rFonts w:ascii="Arial" w:cs="Arial" w:eastAsia="Arial" w:hAnsi="Arial"/>
                <w:sz w:val="14"/>
                <w:szCs w:val="14"/>
                <w:b w:val="1"/>
                <w:bCs w:val="1"/>
                <w:color w:val="auto"/>
              </w:rPr>
              <w:t>Percentage of</w:t>
            </w:r>
          </w:p>
        </w:tc>
      </w:tr>
      <w:tr>
        <w:trPr>
          <w:trHeight w:val="185"/>
        </w:trPr>
        <w:tc>
          <w:tcPr>
            <w:tcW w:w="3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Rating</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980" w:type="dxa"/>
            <w:vAlign w:val="bottom"/>
            <w:gridSpan w:val="2"/>
          </w:tcPr>
          <w:p>
            <w:pPr>
              <w:jc w:val="right"/>
              <w:ind w:right="1590"/>
              <w:spacing w:after="0"/>
              <w:rPr>
                <w:sz w:val="20"/>
                <w:szCs w:val="20"/>
                <w:color w:val="auto"/>
              </w:rPr>
            </w:pPr>
            <w:r>
              <w:rPr>
                <w:rFonts w:ascii="Arial" w:cs="Arial" w:eastAsia="Arial" w:hAnsi="Arial"/>
                <w:sz w:val="14"/>
                <w:szCs w:val="14"/>
                <w:b w:val="1"/>
                <w:bCs w:val="1"/>
                <w:color w:val="auto"/>
              </w:rPr>
              <w:t>Total Portfolio</w:t>
            </w:r>
          </w:p>
        </w:tc>
      </w:tr>
      <w:tr>
        <w:trPr>
          <w:trHeight w:val="209"/>
        </w:trPr>
        <w:tc>
          <w:tcPr>
            <w:tcW w:w="3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38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ind w:right="1161"/>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4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4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29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140" w:type="dxa"/>
            <w:vAlign w:val="bottom"/>
            <w:gridSpan w:val="3"/>
            <w:shd w:val="clear" w:color="auto" w:fill="CFF0FC"/>
          </w:tcPr>
          <w:p>
            <w:pPr>
              <w:jc w:val="right"/>
              <w:ind w:right="1240"/>
              <w:spacing w:after="0"/>
              <w:rPr>
                <w:sz w:val="20"/>
                <w:szCs w:val="20"/>
                <w:color w:val="auto"/>
              </w:rPr>
            </w:pPr>
            <w:r>
              <w:rPr>
                <w:rFonts w:ascii="Arial" w:cs="Arial" w:eastAsia="Arial" w:hAnsi="Arial"/>
                <w:sz w:val="18"/>
                <w:szCs w:val="18"/>
                <w:color w:val="auto"/>
              </w:rPr>
              <w:t>—</w:t>
            </w:r>
          </w:p>
        </w:tc>
        <w:tc>
          <w:tcPr>
            <w:tcW w:w="29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4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29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5</w:t>
            </w: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140" w:type="dxa"/>
            <w:vAlign w:val="bottom"/>
            <w:gridSpan w:val="3"/>
            <w:shd w:val="clear" w:color="auto" w:fill="CFF0FC"/>
          </w:tcPr>
          <w:p>
            <w:pPr>
              <w:jc w:val="right"/>
              <w:ind w:right="1240"/>
              <w:spacing w:after="0"/>
              <w:rPr>
                <w:sz w:val="20"/>
                <w:szCs w:val="20"/>
                <w:color w:val="auto"/>
              </w:rPr>
            </w:pPr>
            <w:r>
              <w:rPr>
                <w:rFonts w:ascii="Arial" w:cs="Arial" w:eastAsia="Arial" w:hAnsi="Arial"/>
                <w:sz w:val="18"/>
                <w:szCs w:val="18"/>
                <w:color w:val="auto"/>
              </w:rPr>
              <w:t>—</w:t>
            </w:r>
          </w:p>
        </w:tc>
        <w:tc>
          <w:tcPr>
            <w:tcW w:w="29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r>
      <w:tr>
        <w:trPr>
          <w:trHeight w:val="210"/>
        </w:trPr>
        <w:tc>
          <w:tcPr>
            <w:tcW w:w="3780" w:type="dxa"/>
            <w:vAlign w:val="bottom"/>
            <w:tcBorders>
              <w:top w:val="single" w:sz="8" w:color="CFF0FC"/>
            </w:tcBorders>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340" w:type="dxa"/>
            <w:vAlign w:val="bottom"/>
            <w:tcBorders>
              <w:top w:val="single" w:sz="8" w:color="auto"/>
            </w:tcBorders>
          </w:tcPr>
          <w:p>
            <w:pPr>
              <w:jc w:val="right"/>
              <w:ind w:right="1161"/>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420" w:type="dxa"/>
            <w:vAlign w:val="bottom"/>
            <w:tcBorders>
              <w:top w:val="single" w:sz="8" w:color="CFF0FC"/>
            </w:tcBorders>
          </w:tcPr>
          <w:p>
            <w:pPr>
              <w:spacing w:after="0"/>
              <w:rPr>
                <w:sz w:val="18"/>
                <w:szCs w:val="18"/>
                <w:color w:val="auto"/>
              </w:rPr>
            </w:pPr>
          </w:p>
        </w:tc>
        <w:tc>
          <w:tcPr>
            <w:tcW w:w="820" w:type="dxa"/>
            <w:vAlign w:val="bottom"/>
            <w:tcBorders>
              <w:top w:val="single" w:sz="8" w:color="CFF0FC"/>
            </w:tcBorders>
          </w:tcPr>
          <w:p>
            <w:pPr>
              <w:spacing w:after="0"/>
              <w:rPr>
                <w:sz w:val="18"/>
                <w:szCs w:val="18"/>
                <w:color w:val="auto"/>
              </w:rPr>
            </w:pPr>
          </w:p>
        </w:tc>
        <w:tc>
          <w:tcPr>
            <w:tcW w:w="2980" w:type="dxa"/>
            <w:vAlign w:val="bottom"/>
            <w:tcBorders>
              <w:top w:val="single" w:sz="8" w:color="CFF0FC"/>
            </w:tcBorders>
            <w:gridSpan w:val="2"/>
          </w:tcPr>
          <w:p>
            <w:pPr>
              <w:jc w:val="right"/>
              <w:ind w:right="210"/>
              <w:spacing w:after="0"/>
              <w:rPr>
                <w:sz w:val="20"/>
                <w:szCs w:val="20"/>
                <w:color w:val="auto"/>
              </w:rPr>
            </w:pPr>
            <w:r>
              <w:rPr>
                <w:rFonts w:ascii="Arial" w:cs="Arial" w:eastAsia="Arial" w:hAnsi="Arial"/>
                <w:sz w:val="18"/>
                <w:szCs w:val="18"/>
                <w:color w:val="auto"/>
              </w:rPr>
              <w:t>100.0 %</w:t>
            </w:r>
          </w:p>
        </w:tc>
      </w:tr>
      <w:tr>
        <w:trPr>
          <w:trHeight w:val="20"/>
        </w:trPr>
        <w:tc>
          <w:tcPr>
            <w:tcW w:w="3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15"/>
        </w:trPr>
        <w:tc>
          <w:tcPr>
            <w:tcW w:w="3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jc w:val="right"/>
              <w:ind w:right="1214"/>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-659130</wp:posOffset>
            </wp:positionV>
            <wp:extent cx="685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255"/>
        <w:spacing w:after="0" w:line="324" w:lineRule="auto"/>
        <w:rPr>
          <w:sz w:val="20"/>
          <w:szCs w:val="20"/>
          <w:color w:val="auto"/>
        </w:rPr>
      </w:pPr>
      <w:r>
        <w:rPr>
          <w:rFonts w:ascii="Arial" w:cs="Arial" w:eastAsia="Arial" w:hAnsi="Arial"/>
          <w:sz w:val="16"/>
          <w:szCs w:val="16"/>
          <w:color w:val="auto"/>
        </w:rPr>
        <w:t>Comparative financial statements are not presented as we had neither incurred expenses nor generated revenues for the year ago period. Operating results for the three months ended September 30, 2022 and from April 5, 2022 (Inception) through September 30, 2022 were as follows: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820" w:type="dxa"/>
            <w:vAlign w:val="bottom"/>
            <w:gridSpan w:val="2"/>
          </w:tcPr>
          <w:p>
            <w:pPr>
              <w:ind w:left="60"/>
              <w:spacing w:after="0"/>
              <w:rPr>
                <w:sz w:val="20"/>
                <w:szCs w:val="20"/>
                <w:color w:val="auto"/>
              </w:rPr>
            </w:pPr>
            <w:r>
              <w:rPr>
                <w:rFonts w:ascii="Arial" w:cs="Arial" w:eastAsia="Arial" w:hAnsi="Arial"/>
                <w:sz w:val="14"/>
                <w:szCs w:val="14"/>
                <w:b w:val="1"/>
                <w:bCs w:val="1"/>
                <w:color w:val="auto"/>
              </w:rPr>
              <w:t>From April 5, 2022</w:t>
            </w:r>
          </w:p>
        </w:tc>
        <w:tc>
          <w:tcPr>
            <w:tcW w:w="0" w:type="dxa"/>
            <w:vAlign w:val="bottom"/>
          </w:tcPr>
          <w:p>
            <w:pPr>
              <w:spacing w:after="0"/>
              <w:rPr>
                <w:sz w:val="1"/>
                <w:szCs w:val="1"/>
                <w:color w:val="auto"/>
              </w:rPr>
            </w:pPr>
          </w:p>
        </w:tc>
      </w:tr>
      <w:tr>
        <w:trPr>
          <w:trHeight w:val="175"/>
        </w:trPr>
        <w:tc>
          <w:tcPr>
            <w:tcW w:w="6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85"/>
        </w:trPr>
        <w:tc>
          <w:tcPr>
            <w:tcW w:w="6220" w:type="dxa"/>
            <w:vAlign w:val="bottom"/>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6"/>
                <w:szCs w:val="16"/>
                <w:color w:val="auto"/>
              </w:rPr>
            </w:pPr>
          </w:p>
        </w:tc>
        <w:tc>
          <w:tcPr>
            <w:tcW w:w="176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w w:val="94"/>
              </w:rPr>
              <w:t>September 30, 2022</w:t>
            </w:r>
          </w:p>
        </w:tc>
        <w:tc>
          <w:tcPr>
            <w:tcW w:w="180" w:type="dxa"/>
            <w:vAlign w:val="bottom"/>
          </w:tcPr>
          <w:p>
            <w:pPr>
              <w:spacing w:after="0"/>
              <w:rPr>
                <w:sz w:val="16"/>
                <w:szCs w:val="16"/>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Less: Net expenses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investment income before income taxes</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Less: Income taxes, including excise taxes</w:t>
            </w:r>
          </w:p>
        </w:tc>
        <w:tc>
          <w:tcPr>
            <w:tcW w:w="120" w:type="dxa"/>
            <w:vAlign w:val="bottom"/>
          </w:tcPr>
          <w:p>
            <w:pPr>
              <w:spacing w:after="0"/>
              <w:rPr>
                <w:sz w:val="18"/>
                <w:szCs w:val="18"/>
                <w:color w:val="auto"/>
              </w:rPr>
            </w:pPr>
          </w:p>
        </w:tc>
        <w:tc>
          <w:tcPr>
            <w:tcW w:w="17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investment loss</w:t>
            </w: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realized losses</w:t>
            </w:r>
          </w:p>
        </w:tc>
        <w:tc>
          <w:tcPr>
            <w:tcW w:w="120" w:type="dxa"/>
            <w:vAlign w:val="bottom"/>
          </w:tcPr>
          <w:p>
            <w:pPr>
              <w:spacing w:after="0"/>
              <w:rPr>
                <w:sz w:val="18"/>
                <w:szCs w:val="18"/>
                <w:color w:val="auto"/>
              </w:rPr>
            </w:pP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18"/>
                <w:szCs w:val="18"/>
                <w:color w:val="auto"/>
              </w:rPr>
            </w:pPr>
          </w:p>
        </w:tc>
        <w:tc>
          <w:tcPr>
            <w:tcW w:w="1820" w:type="dxa"/>
            <w:vAlign w:val="bottom"/>
            <w:gridSpan w:val="2"/>
          </w:tcPr>
          <w:p>
            <w:pPr>
              <w:jc w:val="right"/>
              <w:ind w:right="161"/>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(0.3 )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161"/>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-170815</wp:posOffset>
            </wp:positionV>
            <wp:extent cx="6032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486" w:right="7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b w:val="1"/>
                <w:bCs w:val="1"/>
                <w:color w:val="auto"/>
              </w:rPr>
              <w:t>From April 5, 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4"/>
                <w:szCs w:val="14"/>
                <w:b w:val="1"/>
                <w:bCs w:val="1"/>
                <w:color w:val="auto"/>
              </w:rPr>
              <w:t>(Inception) through</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20" w:type="dxa"/>
            <w:vAlign w:val="bottom"/>
          </w:tcPr>
          <w:p>
            <w:pPr>
              <w:spacing w:after="0"/>
              <w:rPr>
                <w:sz w:val="20"/>
                <w:szCs w:val="20"/>
                <w:color w:val="auto"/>
              </w:rPr>
            </w:pPr>
            <w:r>
              <w:rPr>
                <w:rFonts w:ascii="Arial" w:cs="Arial" w:eastAsia="Arial" w:hAnsi="Arial"/>
                <w:sz w:val="14"/>
                <w:szCs w:val="14"/>
                <w:color w:val="auto"/>
              </w:rPr>
              <w:t>($ in millions)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September 30, 2022</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520" w:type="dxa"/>
            <w:vAlign w:val="bottom"/>
          </w:tcPr>
          <w:p>
            <w:pPr>
              <w:spacing w:after="0" w:line="160" w:lineRule="exact"/>
              <w:rPr>
                <w:sz w:val="20"/>
                <w:szCs w:val="20"/>
                <w:color w:val="auto"/>
              </w:rPr>
            </w:pPr>
            <w:r>
              <w:rPr>
                <w:rFonts w:ascii="Arial" w:cs="Arial" w:eastAsia="Arial" w:hAnsi="Arial"/>
                <w:sz w:val="18"/>
                <w:szCs w:val="18"/>
                <w:color w:val="auto"/>
              </w:rPr>
              <w:t>Interest from investments</w:t>
            </w:r>
          </w:p>
        </w:tc>
        <w:tc>
          <w:tcPr>
            <w:tcW w:w="120" w:type="dxa"/>
            <w:vAlign w:val="bottom"/>
          </w:tcPr>
          <w:p>
            <w:pPr>
              <w:jc w:val="right"/>
              <w:spacing w:after="0" w:line="160"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60"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3"/>
                <w:szCs w:val="13"/>
                <w:color w:val="auto"/>
              </w:rPr>
            </w:pPr>
          </w:p>
        </w:tc>
        <w:tc>
          <w:tcPr>
            <w:tcW w:w="120" w:type="dxa"/>
            <w:vAlign w:val="bottom"/>
          </w:tcPr>
          <w:p>
            <w:pPr>
              <w:jc w:val="right"/>
              <w:spacing w:after="0" w:line="160"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60"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6520" w:type="dxa"/>
            <w:vAlign w:val="bottom"/>
          </w:tcPr>
          <w:p>
            <w:pPr>
              <w:spacing w:after="0" w:line="26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4"/>
                <w:szCs w:val="24"/>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-24765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-7620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round to less than $0.1 million</w:t>
      </w:r>
    </w:p>
    <w:p>
      <w:pPr>
        <w:spacing w:after="0" w:line="104" w:lineRule="exact"/>
        <w:rPr>
          <w:sz w:val="20"/>
          <w:szCs w:val="20"/>
          <w:color w:val="auto"/>
        </w:rPr>
      </w:pPr>
    </w:p>
    <w:p>
      <w:pPr>
        <w:jc w:val="both"/>
        <w:ind w:right="120" w:firstLine="255"/>
        <w:spacing w:after="0" w:line="256" w:lineRule="auto"/>
        <w:rPr>
          <w:sz w:val="20"/>
          <w:szCs w:val="20"/>
          <w:color w:val="auto"/>
        </w:rPr>
      </w:pPr>
      <w:r>
        <w:rPr>
          <w:rFonts w:ascii="Arial" w:cs="Arial" w:eastAsia="Arial" w:hAnsi="Arial"/>
          <w:sz w:val="18"/>
          <w:szCs w:val="18"/>
          <w:color w:val="auto"/>
        </w:rPr>
        <w:t>For the three months ended September 30, 2022 and from April 5, 2022 (Inception) through September 30, 2022, total investment income was driven by our deployment of capital and increased invested balance of investments. The size of our investment portfolio increased to $104.5 million at fair value at September 30,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Operating expenses for the three months ended September 30, 2022 and from April 5, 2022 (Inception) through September 30, 2022,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2"/>
              </w:rPr>
              <w:t>Three Months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From April 5, 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(Inception) through</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 in millions)</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September 30, 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spacing w:after="0" w:line="216" w:lineRule="exact"/>
              <w:rPr>
                <w:sz w:val="20"/>
                <w:szCs w:val="20"/>
                <w:color w:val="auto"/>
              </w:rPr>
            </w:pPr>
            <w:r>
              <w:rPr>
                <w:rFonts w:ascii="Arial" w:cs="Arial" w:eastAsia="Arial" w:hAnsi="Arial"/>
                <w:sz w:val="18"/>
                <w:szCs w:val="18"/>
                <w:color w:val="auto"/>
              </w:rPr>
              <w:t xml:space="preserve">Management fees (net of waivers) </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shd w:val="clear" w:color="auto" w:fill="CFF0FC"/>
          </w:tcPr>
          <w:p>
            <w:pPr>
              <w:spacing w:after="0" w:line="216" w:lineRule="exact"/>
              <w:rPr>
                <w:sz w:val="20"/>
                <w:szCs w:val="20"/>
                <w:color w:val="auto"/>
              </w:rPr>
            </w:pPr>
            <w:r>
              <w:rPr>
                <w:rFonts w:ascii="Arial" w:cs="Arial" w:eastAsia="Arial" w:hAnsi="Arial"/>
                <w:sz w:val="18"/>
                <w:szCs w:val="18"/>
                <w:color w:val="auto"/>
              </w:rPr>
              <w:t xml:space="preserve">Incentive fees related to realized/unrealized capital gains </w:t>
            </w:r>
            <w:r>
              <w:rPr>
                <w:rFonts w:ascii="Arial" w:cs="Arial" w:eastAsia="Arial" w:hAnsi="Arial"/>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Organizational</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Trustees fees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6920" w:type="dxa"/>
            <w:vAlign w:val="bottom"/>
            <w:gridSpan w:val="2"/>
            <w:vMerge w:val="restart"/>
          </w:tcPr>
          <w:p>
            <w:pPr>
              <w:ind w:left="160"/>
              <w:spacing w:after="0"/>
              <w:rPr>
                <w:sz w:val="20"/>
                <w:szCs w:val="20"/>
                <w:color w:val="auto"/>
              </w:rPr>
            </w:pPr>
            <w:r>
              <w:rPr>
                <w:rFonts w:ascii="Arial" w:cs="Arial" w:eastAsia="Arial" w:hAnsi="Arial"/>
                <w:sz w:val="18"/>
                <w:szCs w:val="18"/>
                <w:color w:val="auto"/>
              </w:rPr>
              <w:t>Amounts round to less than $0.1 million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0" w:type="dxa"/>
            <w:vAlign w:val="bottom"/>
            <w:vMerge w:val="continue"/>
          </w:tcPr>
          <w:p>
            <w:pPr>
              <w:spacing w:after="0"/>
              <w:rPr>
                <w:sz w:val="24"/>
                <w:szCs w:val="24"/>
                <w:color w:val="auto"/>
              </w:rPr>
            </w:pPr>
          </w:p>
        </w:tc>
        <w:tc>
          <w:tcPr>
            <w:tcW w:w="6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-427990</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-427990</wp:posOffset>
            </wp:positionV>
            <wp:extent cx="6032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04" w:lineRule="exact"/>
        <w:rPr>
          <w:sz w:val="20"/>
          <w:szCs w:val="20"/>
          <w:color w:val="auto"/>
        </w:rPr>
      </w:pPr>
    </w:p>
    <w:p>
      <w:pPr>
        <w:ind w:right="20" w:firstLine="255"/>
        <w:spacing w:after="0" w:line="256" w:lineRule="auto"/>
        <w:rPr>
          <w:sz w:val="20"/>
          <w:szCs w:val="20"/>
          <w:color w:val="auto"/>
        </w:rPr>
      </w:pPr>
      <w:r>
        <w:rPr>
          <w:rFonts w:ascii="Arial" w:cs="Arial" w:eastAsia="Arial" w:hAnsi="Arial"/>
          <w:sz w:val="18"/>
          <w:szCs w:val="18"/>
          <w:color w:val="auto"/>
        </w:rPr>
        <w:t>Interest expense for the three months ended September 30, 2022 and from April 5, 2022 (Inception) through September 30, 2022 was driven by average borrowings of $71.2 million from the period we closed our Revolving Credit Facility through September 30, 2022. The average interest rate during that period was 5.00%.</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jc w:val="both"/>
        <w:ind w:right="180" w:firstLine="255"/>
        <w:spacing w:after="0" w:line="248" w:lineRule="auto"/>
        <w:rPr>
          <w:sz w:val="20"/>
          <w:szCs w:val="20"/>
          <w:color w:val="auto"/>
        </w:rPr>
      </w:pPr>
      <w:r>
        <w:rPr>
          <w:rFonts w:ascii="Arial" w:cs="Arial" w:eastAsia="Arial" w:hAnsi="Arial"/>
          <w:sz w:val="18"/>
          <w:szCs w:val="18"/>
          <w:color w:val="auto"/>
        </w:rPr>
        <w:t>Management Fees (gross of waivers) for the three months ended September 30, 2022 and from April 5, 2022 (Inception) through September 30, 2022 were driven by our deployment of capital. The Adviser waived Management Fees of $0.4 million from April 5, 2022 (Inception) through September 30, 2022.</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04" w:lineRule="exact"/>
        <w:rPr>
          <w:sz w:val="20"/>
          <w:szCs w:val="20"/>
          <w:color w:val="auto"/>
        </w:rPr>
      </w:pPr>
    </w:p>
    <w:p>
      <w:pPr>
        <w:ind w:right="180" w:firstLine="255"/>
        <w:spacing w:after="0" w:line="256" w:lineRule="auto"/>
        <w:rPr>
          <w:sz w:val="20"/>
          <w:szCs w:val="20"/>
          <w:color w:val="auto"/>
        </w:rPr>
      </w:pPr>
      <w:r>
        <w:rPr>
          <w:rFonts w:ascii="Arial" w:cs="Arial" w:eastAsia="Arial" w:hAnsi="Arial"/>
          <w:sz w:val="18"/>
          <w:szCs w:val="18"/>
          <w:color w:val="auto"/>
        </w:rPr>
        <w:t>There were no Incentive Fees related to pre-Incentive Fee net investment income from April 5, 2022 (Inception) through September 30, 2022. For the period from April 5, 2022 (Inception) through September 30, 2022 $47 thousand of Incentive Fees were accrued related to Capital Gains Fees. As of September 30, 2022, these accrued Incentive Fees are not contractually payable to the Adviser.</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Organizational Fees</w:t>
      </w:r>
    </w:p>
    <w:p>
      <w:pPr>
        <w:spacing w:after="0" w:line="104" w:lineRule="exact"/>
        <w:rPr>
          <w:sz w:val="20"/>
          <w:szCs w:val="20"/>
          <w:color w:val="auto"/>
        </w:rPr>
      </w:pPr>
    </w:p>
    <w:p>
      <w:pPr>
        <w:ind w:firstLine="255"/>
        <w:spacing w:after="0" w:line="249" w:lineRule="auto"/>
        <w:rPr>
          <w:sz w:val="20"/>
          <w:szCs w:val="20"/>
          <w:color w:val="auto"/>
        </w:rPr>
      </w:pPr>
      <w:r>
        <w:rPr>
          <w:rFonts w:ascii="Arial" w:cs="Arial" w:eastAsia="Arial" w:hAnsi="Arial"/>
          <w:sz w:val="18"/>
          <w:szCs w:val="18"/>
          <w:color w:val="auto"/>
        </w:rPr>
        <w:t>Organizational fees for three months ended September 30, 2022 and from April 5, 2022 (Inception) through September 30, 2022 were driven by our private offering. We will not bear more than an amount equal to 0.10% of the aggregate Commitments for organization and offering expenses in connection with the offering of our Common Shares. As of September 30, 2022, we have incurred $0.3 million of organization and offering costs in excess of the 0.10% of aggregate Commitments, all of which have been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1" w:name="page32"/>
    <w:bookmarkEnd w:id="31"/>
    <w:p>
      <w:pPr>
        <w:ind w:right="60"/>
        <w:spacing w:after="0" w:line="277" w:lineRule="auto"/>
        <w:rPr>
          <w:sz w:val="20"/>
          <w:szCs w:val="20"/>
          <w:color w:val="auto"/>
        </w:rPr>
      </w:pPr>
      <w:r>
        <w:rPr>
          <w:rFonts w:ascii="Arial" w:cs="Arial" w:eastAsia="Arial" w:hAnsi="Arial"/>
          <w:sz w:val="18"/>
          <w:szCs w:val="18"/>
          <w:color w:val="auto"/>
        </w:rPr>
        <w:t>bore by the Adviser. To the extent that our Capital Commitments later increase, the Adviser or its affiliates may be reimbursed for past payments of excess organization and offering costs.</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Trustees Fees, and Other General and Administrative Expenses</w:t>
      </w:r>
    </w:p>
    <w:p>
      <w:pPr>
        <w:spacing w:after="0" w:line="104"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Professional fees, trustees fees, and other general and administrative expenses from April 5, 2022 (Inception) through September 30, 2022 were $0.3 million, $0.1 million, $0.4 million.</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Expense Support Agreement</w:t>
      </w:r>
    </w:p>
    <w:p>
      <w:pPr>
        <w:spacing w:after="0" w:line="104" w:lineRule="exact"/>
        <w:rPr>
          <w:sz w:val="20"/>
          <w:szCs w:val="20"/>
          <w:color w:val="auto"/>
        </w:rPr>
      </w:pPr>
    </w:p>
    <w:p>
      <w:pPr>
        <w:ind w:firstLine="255"/>
        <w:spacing w:after="0" w:line="257" w:lineRule="auto"/>
        <w:rPr>
          <w:sz w:val="20"/>
          <w:szCs w:val="20"/>
          <w:color w:val="auto"/>
        </w:rPr>
      </w:pPr>
      <w:r>
        <w:rPr>
          <w:rFonts w:ascii="Arial" w:cs="Arial" w:eastAsia="Arial" w:hAnsi="Arial"/>
          <w:sz w:val="17"/>
          <w:szCs w:val="17"/>
          <w:color w:val="auto"/>
        </w:rPr>
        <w:t>On June 28, 2022, the we entered into an expense support and conditional reimbursement agreement (the “Expense Support Agreement”) with the Adviser. The Expense Support Agreement provides that, at such times as the Adviser determines, the Adviser a may pay certain expenses of ours,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we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81" w:lineRule="exact"/>
        <w:rPr>
          <w:sz w:val="20"/>
          <w:szCs w:val="20"/>
          <w:color w:val="auto"/>
        </w:rPr>
      </w:pPr>
    </w:p>
    <w:p>
      <w:pPr>
        <w:ind w:right="440" w:firstLine="255"/>
        <w:spacing w:after="0" w:line="277" w:lineRule="auto"/>
        <w:rPr>
          <w:sz w:val="20"/>
          <w:szCs w:val="20"/>
          <w:color w:val="auto"/>
        </w:rPr>
      </w:pPr>
      <w:r>
        <w:rPr>
          <w:rFonts w:ascii="Arial" w:cs="Arial" w:eastAsia="Arial" w:hAnsi="Arial"/>
          <w:sz w:val="18"/>
          <w:szCs w:val="18"/>
          <w:color w:val="auto"/>
        </w:rPr>
        <w:t>As of September 30, 2022, the Adviser has not provided any written commitments for Expense Payments. We have not made any Reimbursement Payments to the Adviser. We may or may not reimburse remaining expense support in the future.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04" w:lineRule="exact"/>
        <w:rPr>
          <w:sz w:val="20"/>
          <w:szCs w:val="20"/>
          <w:color w:val="auto"/>
        </w:rPr>
      </w:pPr>
    </w:p>
    <w:p>
      <w:pPr>
        <w:jc w:val="both"/>
        <w:ind w:right="120" w:firstLine="255"/>
        <w:spacing w:after="0" w:line="290" w:lineRule="auto"/>
        <w:rPr>
          <w:sz w:val="20"/>
          <w:szCs w:val="20"/>
          <w:color w:val="auto"/>
        </w:rPr>
      </w:pPr>
      <w:r>
        <w:rPr>
          <w:rFonts w:ascii="Arial" w:cs="Arial" w:eastAsia="Arial" w:hAnsi="Arial"/>
          <w:sz w:val="16"/>
          <w:szCs w:val="16"/>
          <w:color w:val="auto"/>
        </w:rPr>
        <w:t>We intend to elect to be treated as a RIC under Subchapter M of the Code, and we intend to operate in a manner so as to continue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RIC status, we, among other things, intend to make the requisite distributions to our shareholders, which generally relieve us from corporate-level U.S. federal income taxes.</w:t>
      </w:r>
    </w:p>
    <w:p>
      <w:pPr>
        <w:spacing w:after="0" w:line="150" w:lineRule="exact"/>
        <w:rPr>
          <w:sz w:val="20"/>
          <w:szCs w:val="20"/>
          <w:color w:val="auto"/>
        </w:rPr>
      </w:pPr>
    </w:p>
    <w:p>
      <w:pPr>
        <w:ind w:right="60" w:firstLine="255"/>
        <w:spacing w:after="0" w:line="268"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right="140" w:firstLine="255"/>
        <w:spacing w:after="0" w:line="261" w:lineRule="auto"/>
        <w:rPr>
          <w:sz w:val="20"/>
          <w:szCs w:val="20"/>
          <w:color w:val="auto"/>
        </w:rPr>
      </w:pPr>
      <w:r>
        <w:rPr>
          <w:rFonts w:ascii="Arial" w:cs="Arial" w:eastAsia="Arial" w:hAnsi="Arial"/>
          <w:sz w:val="18"/>
          <w:szCs w:val="18"/>
          <w:color w:val="auto"/>
        </w:rPr>
        <w:t>The following table summarizes our net realized and unrealized gains (losses) for the three months ended September 30, 2022 and from April 5, 2022 (Inception) through September 30, 2022:</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72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From April 5, 2022</w:t>
            </w:r>
          </w:p>
        </w:tc>
        <w:tc>
          <w:tcPr>
            <w:tcW w:w="0" w:type="dxa"/>
            <w:vAlign w:val="bottom"/>
          </w:tcPr>
          <w:p>
            <w:pPr>
              <w:spacing w:after="0"/>
              <w:rPr>
                <w:sz w:val="1"/>
                <w:szCs w:val="1"/>
                <w:color w:val="auto"/>
              </w:rPr>
            </w:pPr>
          </w:p>
        </w:tc>
      </w:tr>
      <w:tr>
        <w:trPr>
          <w:trHeight w:val="176"/>
        </w:trPr>
        <w:tc>
          <w:tcPr>
            <w:tcW w:w="654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85"/>
        </w:trPr>
        <w:tc>
          <w:tcPr>
            <w:tcW w:w="6540" w:type="dxa"/>
            <w:vAlign w:val="bottom"/>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6"/>
                <w:szCs w:val="16"/>
                <w:color w:val="auto"/>
              </w:rPr>
            </w:pPr>
          </w:p>
        </w:tc>
        <w:tc>
          <w:tcPr>
            <w:tcW w:w="16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91"/>
              </w:rPr>
              <w:t>September 30, 2022</w:t>
            </w: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realized losses on foreign currency transactions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8"/>
                <w:szCs w:val="18"/>
                <w:b w:val="1"/>
                <w:bCs w:val="1"/>
                <w:color w:val="auto"/>
              </w:rPr>
              <w:t>Net Realized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(0.1 )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Change in unrealized gains on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losses on investments</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(0.2 )</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164"/>
        </w:trPr>
        <w:tc>
          <w:tcPr>
            <w:tcW w:w="654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b w:val="1"/>
                <w:bCs w:val="1"/>
                <w:color w:val="auto"/>
              </w:rPr>
              <w:t>Net Change in Unrealized Gains on</w:t>
            </w: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140"/>
              <w:spacing w:after="0"/>
              <w:rPr>
                <w:sz w:val="20"/>
                <w:szCs w:val="20"/>
                <w:color w:val="auto"/>
              </w:rPr>
            </w:pPr>
            <w:r>
              <w:rPr>
                <w:rFonts w:ascii="Arial" w:cs="Arial" w:eastAsia="Arial" w:hAnsi="Arial"/>
                <w:sz w:val="18"/>
                <w:szCs w:val="18"/>
                <w:b w:val="1"/>
                <w:bCs w:val="1"/>
                <w:color w:val="auto"/>
              </w:rPr>
              <w:t>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foreign currency borrowings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line="170" w:lineRule="exact"/>
              <w:rPr>
                <w:sz w:val="20"/>
                <w:szCs w:val="20"/>
                <w:color w:val="auto"/>
              </w:rPr>
            </w:pPr>
            <w:r>
              <w:rPr>
                <w:rFonts w:ascii="Arial" w:cs="Arial" w:eastAsia="Arial" w:hAnsi="Arial"/>
                <w:sz w:val="18"/>
                <w:szCs w:val="18"/>
                <w:b w:val="1"/>
                <w:bCs w:val="1"/>
                <w:color w:val="auto"/>
              </w:rPr>
              <w:t>Net Change in Unrealized Gains on Foreign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140"/>
              <w:spacing w:after="0"/>
              <w:rPr>
                <w:sz w:val="20"/>
                <w:szCs w:val="20"/>
                <w:color w:val="auto"/>
              </w:rPr>
            </w:pPr>
            <w:r>
              <w:rPr>
                <w:rFonts w:ascii="Arial" w:cs="Arial" w:eastAsia="Arial" w:hAnsi="Arial"/>
                <w:sz w:val="18"/>
                <w:szCs w:val="18"/>
                <w:b w:val="1"/>
                <w:bCs w:val="1"/>
                <w:color w:val="auto"/>
              </w:rPr>
              <w:t>Currency Transactions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8"/>
                <w:szCs w:val="18"/>
                <w:b w:val="1"/>
                <w:bCs w:val="1"/>
                <w:color w:val="auto"/>
              </w:rPr>
              <w:t>Net Change in Unrealized Gains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-1550670</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-1550670</wp:posOffset>
            </wp:positionV>
            <wp:extent cx="6032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-967740</wp:posOffset>
            </wp:positionV>
            <wp:extent cx="68580" cy="265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-967740</wp:posOffset>
            </wp:positionV>
            <wp:extent cx="60325" cy="265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09" w:lineRule="exact"/>
        <w:rPr>
          <w:sz w:val="20"/>
          <w:szCs w:val="20"/>
          <w:color w:val="auto"/>
        </w:rPr>
      </w:pPr>
    </w:p>
    <w:p>
      <w:pPr>
        <w:jc w:val="both"/>
        <w:ind w:right="280" w:firstLine="255"/>
        <w:spacing w:after="0" w:line="294" w:lineRule="auto"/>
        <w:rPr>
          <w:sz w:val="20"/>
          <w:szCs w:val="20"/>
          <w:color w:val="auto"/>
        </w:rPr>
      </w:pPr>
      <w:r>
        <w:rPr>
          <w:rFonts w:ascii="Arial" w:cs="Arial" w:eastAsia="Arial" w:hAnsi="Arial"/>
          <w:sz w:val="16"/>
          <w:szCs w:val="16"/>
          <w:color w:val="auto"/>
        </w:rPr>
        <w:t>For the three months ended September 30, 2022 and from April 5, 2022 (Inception) through September 30, 2022 we had $0.5 million in unrealized gains on investments, which were offset by $0.2 million in unrealized losses on investments. Unrealized gains were driven by an increase in fair value, primarily due to positive portfolio company specific developments. Unrealized losses were driven by fluctuations in the GBP and EUR exchange rates.</w:t>
      </w:r>
    </w:p>
    <w:p>
      <w:pPr>
        <w:spacing w:after="0" w:line="147" w:lineRule="exact"/>
        <w:rPr>
          <w:sz w:val="20"/>
          <w:szCs w:val="20"/>
          <w:color w:val="auto"/>
        </w:rPr>
      </w:pPr>
    </w:p>
    <w:p>
      <w:pPr>
        <w:ind w:right="80" w:firstLine="300"/>
        <w:spacing w:after="0" w:line="277" w:lineRule="auto"/>
        <w:rPr>
          <w:sz w:val="20"/>
          <w:szCs w:val="20"/>
          <w:color w:val="auto"/>
        </w:rPr>
      </w:pPr>
      <w:r>
        <w:rPr>
          <w:rFonts w:ascii="Arial" w:cs="Arial" w:eastAsia="Arial" w:hAnsi="Arial"/>
          <w:sz w:val="18"/>
          <w:szCs w:val="18"/>
          <w:color w:val="auto"/>
        </w:rPr>
        <w:t>For the three months ended September 30, 2022 and from April 5, 2022 (Inception) through September 30, 2022 unrealized gains on foreign currency borrowings were driven by fluctuations in the GBP and EUR exchange rates.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104" w:lineRule="exact"/>
        <w:rPr>
          <w:sz w:val="20"/>
          <w:szCs w:val="20"/>
          <w:color w:val="auto"/>
        </w:rPr>
      </w:pPr>
    </w:p>
    <w:p>
      <w:pPr>
        <w:ind w:firstLine="255"/>
        <w:spacing w:after="0" w:line="249" w:lineRule="auto"/>
        <w:rPr>
          <w:sz w:val="20"/>
          <w:szCs w:val="20"/>
          <w:color w:val="auto"/>
        </w:rPr>
      </w:pPr>
      <w:r>
        <w:rPr>
          <w:rFonts w:ascii="Arial" w:cs="Arial" w:eastAsia="Arial" w:hAnsi="Arial"/>
          <w:sz w:val="18"/>
          <w:szCs w:val="18"/>
          <w:color w:val="auto"/>
        </w:rPr>
        <w:t>For the three months ended September 30, 2022 and from April 5, 2022 (Inception) through September 30, 2022 we incurred $0.2 million of unrealized gains on the translation of our non-U.S. dollar denominated debt into U.S. dollars; such amounts approximate the corresponding unrealized losses on the translation of our non-U.S. dollar denominated investments into U.S. dollars for the three months ended September 30, 2022 and from April 5, 2022 (Inception) through September 30, 2022.</w:t>
      </w:r>
    </w:p>
    <w:p>
      <w:pPr>
        <w:spacing w:after="0" w:line="194" w:lineRule="exact"/>
        <w:rPr>
          <w:sz w:val="20"/>
          <w:szCs w:val="20"/>
          <w:color w:val="auto"/>
        </w:rPr>
      </w:pPr>
    </w:p>
    <w:p>
      <w:pPr>
        <w:jc w:val="both"/>
        <w:ind w:right="380" w:firstLine="255"/>
        <w:spacing w:after="0" w:line="270" w:lineRule="auto"/>
        <w:rPr>
          <w:sz w:val="20"/>
          <w:szCs w:val="20"/>
          <w:color w:val="auto"/>
        </w:rPr>
      </w:pPr>
      <w:r>
        <w:rPr>
          <w:rFonts w:ascii="Arial" w:cs="Arial" w:eastAsia="Arial" w:hAnsi="Arial"/>
          <w:sz w:val="17"/>
          <w:szCs w:val="17"/>
          <w:color w:val="auto"/>
        </w:rPr>
        <w:t>See Note 2 for additional disclosure regarding our accounting for foreign currency. See Note 6 for additional disclosure regarding the amounts of outstanding debt denominated in each foreign currency at September 30, 2022. See our consolidated schedule of investments for additional disclosure regarding the foreign currency amounts (in both par and fair value) of our non-U.S. dollar denominated investments.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80" w:firstLine="255"/>
        <w:spacing w:after="0" w:line="261"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3" w:lineRule="exact"/>
        <w:rPr>
          <w:sz w:val="20"/>
          <w:szCs w:val="20"/>
          <w:color w:val="auto"/>
        </w:rPr>
      </w:pPr>
    </w:p>
    <w:p>
      <w:pPr>
        <w:ind w:left="520" w:hanging="257"/>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12" w:lineRule="exact"/>
        <w:rPr>
          <w:sz w:val="20"/>
          <w:szCs w:val="20"/>
          <w:color w:val="auto"/>
        </w:rPr>
      </w:pPr>
    </w:p>
    <w:p>
      <w:pPr>
        <w:ind w:right="120" w:firstLine="255"/>
        <w:spacing w:after="0" w:line="249" w:lineRule="auto"/>
        <w:rPr>
          <w:sz w:val="20"/>
          <w:szCs w:val="20"/>
          <w:color w:val="auto"/>
        </w:rPr>
      </w:pPr>
      <w:r>
        <w:rPr>
          <w:rFonts w:ascii="Arial" w:cs="Arial" w:eastAsia="Arial" w:hAnsi="Arial"/>
          <w:sz w:val="18"/>
          <w:szCs w:val="18"/>
          <w:color w:val="auto"/>
        </w:rPr>
        <w:t>We intend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33" w:name="page34"/>
    <w:bookmarkEnd w:id="33"/>
    <w:p>
      <w:pPr>
        <w:ind w:right="300"/>
        <w:spacing w:after="0" w:line="277" w:lineRule="auto"/>
        <w:rPr>
          <w:sz w:val="20"/>
          <w:szCs w:val="20"/>
          <w:color w:val="auto"/>
        </w:rPr>
      </w:pPr>
      <w:r>
        <w:rPr>
          <w:rFonts w:ascii="Arial" w:cs="Arial" w:eastAsia="Arial" w:hAnsi="Arial"/>
          <w:sz w:val="18"/>
          <w:szCs w:val="18"/>
          <w:color w:val="auto"/>
        </w:rPr>
        <w:t>total liabilities other than indebtedness) to total indebtedness plus preferred stock, is at least 150%. For more information, see “Key Components of Our Results of Operations — Leverage” above.</w:t>
      </w:r>
    </w:p>
    <w:p>
      <w:pPr>
        <w:spacing w:after="0" w:line="157" w:lineRule="exact"/>
        <w:rPr>
          <w:sz w:val="20"/>
          <w:szCs w:val="20"/>
          <w:color w:val="auto"/>
        </w:rPr>
      </w:pPr>
    </w:p>
    <w:p>
      <w:pPr>
        <w:ind w:right="60" w:firstLine="255"/>
        <w:spacing w:after="0" w:line="249" w:lineRule="auto"/>
        <w:rPr>
          <w:sz w:val="20"/>
          <w:szCs w:val="20"/>
          <w:color w:val="auto"/>
        </w:rPr>
      </w:pPr>
      <w:r>
        <w:rPr>
          <w:rFonts w:ascii="Arial" w:cs="Arial" w:eastAsia="Arial" w:hAnsi="Arial"/>
          <w:sz w:val="18"/>
          <w:szCs w:val="18"/>
          <w:color w:val="auto"/>
        </w:rPr>
        <w:t>As of September 30, 2022, our asset coverage ratio was 182.6%.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81" w:lineRule="exact"/>
        <w:rPr>
          <w:sz w:val="20"/>
          <w:szCs w:val="20"/>
          <w:color w:val="auto"/>
        </w:rPr>
      </w:pPr>
    </w:p>
    <w:p>
      <w:pPr>
        <w:ind w:right="20" w:firstLine="255"/>
        <w:spacing w:after="0" w:line="278" w:lineRule="auto"/>
        <w:rPr>
          <w:sz w:val="20"/>
          <w:szCs w:val="20"/>
          <w:color w:val="auto"/>
        </w:rPr>
      </w:pPr>
      <w:r>
        <w:rPr>
          <w:rFonts w:ascii="Arial" w:cs="Arial" w:eastAsia="Arial" w:hAnsi="Arial"/>
          <w:sz w:val="17"/>
          <w:szCs w:val="17"/>
          <w:color w:val="auto"/>
        </w:rPr>
        <w:t>Cash and cash equivalents as of September 30, 2022, taken together with cash available under our credit facilities, and cash available from undrawn Capital Commitments, is expected to be sufficient for our investing activities and to conduct our operations in the near term. As of September 30, 2022, we had approximately $182.8 million of availability on our Revolving Credit Facility, subject to asset coverage limitations.</w:t>
      </w:r>
    </w:p>
    <w:p>
      <w:pPr>
        <w:spacing w:after="0" w:line="158" w:lineRule="exact"/>
        <w:rPr>
          <w:sz w:val="20"/>
          <w:szCs w:val="20"/>
          <w:color w:val="auto"/>
        </w:rPr>
      </w:pPr>
    </w:p>
    <w:p>
      <w:pPr>
        <w:ind w:right="60" w:firstLine="255"/>
        <w:spacing w:after="0" w:line="263" w:lineRule="auto"/>
        <w:rPr>
          <w:sz w:val="20"/>
          <w:szCs w:val="20"/>
          <w:color w:val="auto"/>
        </w:rPr>
      </w:pPr>
      <w:r>
        <w:rPr>
          <w:rFonts w:ascii="Arial" w:cs="Arial" w:eastAsia="Arial" w:hAnsi="Arial"/>
          <w:sz w:val="17"/>
          <w:szCs w:val="17"/>
          <w:color w:val="auto"/>
        </w:rPr>
        <w:t>As of September 30, 2022, we had $291.4 million in cash and cash equivalents. From April 5, 2022 (Inception) through September 30, 2022, cash used in operating activities was $104.0 million, primarily attributable to funding portfolio investments of $104.1 million, other operating activity of $1.3 million and a decrease in net assets resulting from operations of $1.1 million, which were partially offset by an increase in other liabilities of $2.5 million. Cash provided by financing activities was $395.4 million during the period due to borrowings of $217.4 million and proceeds from issuance of Common Shares of $180.6 million, which were partially offset by deferred financing costs of $2.6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90" w:lineRule="exact"/>
        <w:rPr>
          <w:sz w:val="20"/>
          <w:szCs w:val="20"/>
          <w:color w:val="auto"/>
        </w:rPr>
      </w:pPr>
    </w:p>
    <w:p>
      <w:pPr>
        <w:ind w:left="60" w:right="1720" w:firstLine="210"/>
        <w:spacing w:after="0" w:line="307" w:lineRule="auto"/>
        <w:rPr>
          <w:sz w:val="20"/>
          <w:szCs w:val="20"/>
          <w:color w:val="auto"/>
        </w:rPr>
      </w:pPr>
      <w:r>
        <w:rPr>
          <w:rFonts w:ascii="Arial" w:cs="Arial" w:eastAsia="Arial" w:hAnsi="Arial"/>
          <w:sz w:val="16"/>
          <w:szCs w:val="16"/>
          <w:color w:val="auto"/>
        </w:rPr>
        <w:t>The following table summarizes the total Shares issued and proceeds received related to the Company’s initial capitalization and capital drawdowns delivered pursuant to the Subscription Agreements for the period ended September 30, 2022:</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Common Share Issuance Date</w:t>
            </w:r>
          </w:p>
        </w:tc>
        <w:tc>
          <w:tcPr>
            <w:tcW w:w="720" w:type="dxa"/>
            <w:vAlign w:val="bottom"/>
          </w:tcPr>
          <w:p>
            <w:pPr>
              <w:spacing w:after="0"/>
              <w:rPr>
                <w:sz w:val="14"/>
                <w:szCs w:val="14"/>
                <w:color w:val="auto"/>
              </w:rPr>
            </w:pPr>
          </w:p>
        </w:tc>
        <w:tc>
          <w:tcPr>
            <w:tcW w:w="1660" w:type="dxa"/>
            <w:vAlign w:val="bottom"/>
          </w:tcPr>
          <w:p>
            <w:pPr>
              <w:jc w:val="right"/>
              <w:ind w:right="139"/>
              <w:spacing w:after="0"/>
              <w:rPr>
                <w:sz w:val="20"/>
                <w:szCs w:val="20"/>
                <w:color w:val="auto"/>
              </w:rPr>
            </w:pPr>
            <w:r>
              <w:rPr>
                <w:rFonts w:ascii="Arial" w:cs="Arial" w:eastAsia="Arial" w:hAnsi="Arial"/>
                <w:sz w:val="14"/>
                <w:szCs w:val="14"/>
                <w:b w:val="1"/>
                <w:bCs w:val="1"/>
                <w:color w:val="auto"/>
              </w:rPr>
              <w:t>Number of Common</w:t>
            </w: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3"/>
              </w:rPr>
              <w:t>Proceeds Received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Shares Issued</w:t>
            </w:r>
          </w:p>
        </w:tc>
        <w:tc>
          <w:tcPr>
            <w:tcW w:w="1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line="210" w:lineRule="exact"/>
              <w:rPr>
                <w:sz w:val="20"/>
                <w:szCs w:val="20"/>
                <w:color w:val="auto"/>
              </w:rPr>
            </w:pPr>
            <w:r>
              <w:rPr>
                <w:rFonts w:ascii="Arial" w:cs="Arial" w:eastAsia="Arial" w:hAnsi="Arial"/>
                <w:sz w:val="18"/>
                <w:szCs w:val="18"/>
                <w:color w:val="auto"/>
              </w:rPr>
              <w:t xml:space="preserve">June 24, 2022 </w:t>
            </w:r>
            <w:r>
              <w:rPr>
                <w:rFonts w:ascii="Arial" w:cs="Arial" w:eastAsia="Arial" w:hAnsi="Arial"/>
                <w:sz w:val="24"/>
                <w:szCs w:val="24"/>
                <w:color w:val="auto"/>
                <w:vertAlign w:val="superscript"/>
              </w:rPr>
              <w:t>(1)</w:t>
            </w:r>
          </w:p>
        </w:tc>
        <w:tc>
          <w:tcPr>
            <w:tcW w:w="7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8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August 31, 2022</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2,205,694</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September 28, 2022</w:t>
            </w:r>
          </w:p>
        </w:tc>
        <w:tc>
          <w:tcPr>
            <w:tcW w:w="7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5,080,906</w:t>
            </w:r>
          </w:p>
        </w:tc>
        <w:tc>
          <w:tcPr>
            <w:tcW w:w="18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7,287,800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-170815</wp:posOffset>
            </wp:positionV>
            <wp:extent cx="6032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74"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round to less than $0.1 million</w:t>
      </w:r>
    </w:p>
    <w:p>
      <w:pPr>
        <w:spacing w:after="0" w:line="212" w:lineRule="exact"/>
        <w:rPr>
          <w:sz w:val="20"/>
          <w:szCs w:val="20"/>
          <w:color w:val="auto"/>
        </w:rPr>
      </w:pPr>
    </w:p>
    <w:p>
      <w:pPr>
        <w:ind w:right="380" w:firstLine="255"/>
        <w:spacing w:after="0" w:line="228" w:lineRule="auto"/>
        <w:rPr>
          <w:sz w:val="20"/>
          <w:szCs w:val="20"/>
          <w:color w:val="auto"/>
        </w:rPr>
      </w:pPr>
      <w:r>
        <w:rPr>
          <w:rFonts w:ascii="Arial" w:cs="Arial" w:eastAsia="Arial" w:hAnsi="Arial"/>
          <w:sz w:val="18"/>
          <w:szCs w:val="18"/>
          <w:color w:val="auto"/>
        </w:rPr>
        <w:t>During the period ended September 30, 2022, we entered into Subscription Agreements with investors providing for the private placement of our Shares. Under the terms of the Subscription Agreements, investors are required to fund drawdowns to purchase our Shares up to the amount of their respective Capital Commitment on an as-needed basis each time we deliver a drawdown notice to our investors. As of September 30, 2022, the we had received Capital Commitments totaling $1,556.4 million ($1,375.8 million remaining undrawn). On October 7, 2022, we received additional Capital Commitments of $620 million.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September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41"/>
        </w:trPr>
        <w:tc>
          <w:tcPr>
            <w:tcW w:w="5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137"/>
              <w:spacing w:after="0" w:line="141" w:lineRule="exact"/>
              <w:rPr>
                <w:sz w:val="20"/>
                <w:szCs w:val="20"/>
                <w:color w:val="auto"/>
              </w:rPr>
            </w:pPr>
            <w:r>
              <w:rPr>
                <w:rFonts w:ascii="Arial" w:cs="Arial" w:eastAsia="Arial" w:hAnsi="Arial"/>
                <w:sz w:val="14"/>
                <w:szCs w:val="14"/>
                <w:b w:val="1"/>
                <w:bCs w:val="1"/>
                <w:color w:val="auto"/>
                <w:w w:val="95"/>
              </w:rPr>
              <w:t>Aggregate Principal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201"/>
              <w:spacing w:after="0" w:line="141" w:lineRule="exact"/>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299"/>
              <w:spacing w:after="0" w:line="141"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279"/>
              <w:spacing w:after="0" w:line="141"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4"/>
        </w:trPr>
        <w:tc>
          <w:tcPr>
            <w:tcW w:w="58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 in millions)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Amount Committed</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9"/>
              <w:spacing w:after="0" w:line="204" w:lineRule="exact"/>
              <w:rPr>
                <w:sz w:val="20"/>
                <w:szCs w:val="20"/>
                <w:color w:val="auto"/>
              </w:rPr>
            </w:pPr>
            <w:r>
              <w:rPr>
                <w:rFonts w:ascii="Arial" w:cs="Arial" w:eastAsia="Arial" w:hAnsi="Arial"/>
                <w:sz w:val="14"/>
                <w:szCs w:val="14"/>
                <w:b w:val="1"/>
                <w:bCs w:val="1"/>
                <w:color w:val="auto"/>
                <w:w w:val="96"/>
              </w:rPr>
              <w:t xml:space="preserve">Available </w:t>
            </w:r>
            <w:r>
              <w:rPr>
                <w:rFonts w:ascii="Arial" w:cs="Arial" w:eastAsia="Arial" w:hAnsi="Arial"/>
                <w:sz w:val="19"/>
                <w:szCs w:val="19"/>
                <w:b w:val="1"/>
                <w:bCs w:val="1"/>
                <w:color w:val="auto"/>
                <w:w w:val="96"/>
                <w:vertAlign w:val="superscript"/>
              </w:rPr>
              <w:t>(1)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9"/>
              <w:spacing w:after="0" w:line="204"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9"/>
                <w:szCs w:val="19"/>
                <w:b w:val="1"/>
                <w:bCs w:val="1"/>
                <w:color w:val="auto"/>
                <w:vertAlign w:val="superscript"/>
              </w:rPr>
              <w:t>(2)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0"/>
        </w:trPr>
        <w:tc>
          <w:tcPr>
            <w:tcW w:w="580" w:type="dxa"/>
            <w:vAlign w:val="bottom"/>
          </w:tcPr>
          <w:p>
            <w:pPr>
              <w:spacing w:after="0"/>
              <w:rPr>
                <w:sz w:val="18"/>
                <w:szCs w:val="18"/>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Total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400.0</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217.2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182.8</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69"/>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257"/>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-685165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-685165</wp:posOffset>
            </wp:positionV>
            <wp:extent cx="6032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-685165</wp:posOffset>
            </wp:positionV>
            <wp:extent cx="6032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ind w:left="520" w:right="900" w:hanging="512"/>
        <w:spacing w:after="0" w:line="250"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is presented net of deferred financing costs of $2.5 million.</w:t>
      </w:r>
    </w:p>
    <w:p>
      <w:pPr>
        <w:spacing w:after="0" w:line="200" w:lineRule="exact"/>
        <w:rPr>
          <w:sz w:val="20"/>
          <w:szCs w:val="20"/>
          <w:color w:val="auto"/>
        </w:rPr>
      </w:pPr>
    </w:p>
    <w:p>
      <w:pPr>
        <w:spacing w:after="0" w:line="213" w:lineRule="exact"/>
        <w:rPr>
          <w:sz w:val="20"/>
          <w:szCs w:val="20"/>
          <w:color w:val="auto"/>
        </w:rPr>
      </w:pPr>
    </w:p>
    <w:p>
      <w:pPr>
        <w:ind w:right="220" w:firstLine="255"/>
        <w:spacing w:after="0" w:line="261" w:lineRule="auto"/>
        <w:rPr>
          <w:sz w:val="20"/>
          <w:szCs w:val="20"/>
          <w:color w:val="auto"/>
        </w:rPr>
      </w:pPr>
      <w:r>
        <w:rPr>
          <w:rFonts w:ascii="Arial" w:cs="Arial" w:eastAsia="Arial" w:hAnsi="Arial"/>
          <w:sz w:val="18"/>
          <w:szCs w:val="18"/>
          <w:color w:val="auto"/>
        </w:rPr>
        <w:t>As of September 30, 2022, we were in compliance with the terms of our debt arrangements. We intend to continue to utilize our credit facility to fund investments and for other general corporate purposes.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04" w:lineRule="exact"/>
        <w:rPr>
          <w:sz w:val="20"/>
          <w:szCs w:val="20"/>
          <w:color w:val="auto"/>
        </w:rPr>
      </w:pPr>
    </w:p>
    <w:p>
      <w:pPr>
        <w:ind w:firstLine="255"/>
        <w:spacing w:after="0" w:line="261" w:lineRule="auto"/>
        <w:rPr>
          <w:sz w:val="20"/>
          <w:szCs w:val="20"/>
          <w:color w:val="auto"/>
        </w:rPr>
      </w:pPr>
      <w:r>
        <w:rPr>
          <w:rFonts w:ascii="Arial" w:cs="Arial" w:eastAsia="Arial" w:hAnsi="Arial"/>
          <w:sz w:val="18"/>
          <w:szCs w:val="18"/>
          <w:color w:val="auto"/>
        </w:rPr>
        <w:t>On September 1, 2022, the we entered into a revolving credit agreement (the “Revolving Credit Facility”) with Wells Fargo Bank, National Association, as administrative agent.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2022, aggregate commitments under the facility were $400 million.</w:t>
      </w:r>
    </w:p>
    <w:p>
      <w:pPr>
        <w:spacing w:after="0" w:line="225" w:lineRule="exact"/>
        <w:rPr>
          <w:sz w:val="20"/>
          <w:szCs w:val="20"/>
          <w:color w:val="auto"/>
        </w:rPr>
      </w:pPr>
    </w:p>
    <w:p>
      <w:pPr>
        <w:ind w:right="260" w:firstLine="255"/>
        <w:spacing w:after="0" w:line="324" w:lineRule="auto"/>
        <w:rPr>
          <w:sz w:val="20"/>
          <w:szCs w:val="20"/>
          <w:color w:val="auto"/>
        </w:rPr>
      </w:pPr>
      <w:r>
        <w:rPr>
          <w:rFonts w:ascii="Arial" w:cs="Arial" w:eastAsia="Arial" w:hAnsi="Arial"/>
          <w:sz w:val="16"/>
          <w:szCs w:val="16"/>
          <w:color w:val="auto"/>
        </w:rPr>
        <w:t>We may borrow amounts in U.S. dollars or certain other permitted currencies. As of September 30, 2022, we had outstanding debt denominated in British pounds of 3.2 million, and Euro of 3.7 million on our Revolving Credit Facility, included in the Outstanding Principal amount in the table above.</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Revolving Credit Facility also provides for the issuance of letters of credit up to an aggregate amount of 10% of the Maximum</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Commitment. As of September 30, 2022 we had no outstanding letters of credit issued through the Revolving Credit Facility. The amount available for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borrowing under the Revolving Credit Facility is reduced by any letters of credit issued through the Revolving Credit Facility.</w:t>
      </w:r>
    </w:p>
    <w:p>
      <w:pPr>
        <w:spacing w:after="0" w:line="196"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Borrowings under the Revolving Credit Facility bear interest, at our election at the time of drawdown, at a rate per annum equal to (i) in the case of</w:t>
      </w:r>
    </w:p>
    <w:p>
      <w:pPr>
        <w:spacing w:after="0" w:line="3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loans denominated in dollars, at our option (a) an adjusted Daily Simple SOFR rate plus 1.70%, (b) an adjusted Term SOFR rate for the applicable interest period plus 1.70% and (c) in the case of reference rate loans, 0.70%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1.70% or (iii) in the case of loans denominated in sterling, the adjusted SONIA rate plus 1.70%.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p>
    <w:p>
      <w:pPr>
        <w:spacing w:after="0" w:line="162" w:lineRule="exact"/>
        <w:rPr>
          <w:sz w:val="20"/>
          <w:szCs w:val="20"/>
          <w:color w:val="auto"/>
        </w:rPr>
      </w:pPr>
    </w:p>
    <w:p>
      <w:pPr>
        <w:ind w:right="160" w:firstLine="255"/>
        <w:spacing w:after="0" w:line="246"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90" w:lineRule="exact"/>
        <w:rPr>
          <w:sz w:val="20"/>
          <w:szCs w:val="20"/>
          <w:color w:val="auto"/>
        </w:rPr>
      </w:pPr>
    </w:p>
    <w:p>
      <w:pPr>
        <w:ind w:right="140" w:firstLine="255"/>
        <w:spacing w:after="0" w:line="234"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September 30, 2022 we had the following commitments to fund investments in current portfolio companies: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640" w:type="dxa"/>
            <w:vAlign w:val="bottom"/>
          </w:tcPr>
          <w:p>
            <w:pPr>
              <w:spacing w:after="0"/>
              <w:rPr>
                <w:sz w:val="20"/>
                <w:szCs w:val="20"/>
                <w:color w:val="auto"/>
              </w:rPr>
            </w:pPr>
            <w:r>
              <w:rPr>
                <w:rFonts w:ascii="Arial" w:cs="Arial" w:eastAsia="Arial" w:hAnsi="Arial"/>
                <w:sz w:val="14"/>
                <w:szCs w:val="14"/>
                <w:color w:val="auto"/>
              </w:rPr>
              <w:t>($ in millions)</w:t>
            </w: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6"/>
                <w:szCs w:val="16"/>
                <w:color w:val="auto"/>
              </w:rPr>
            </w:pPr>
          </w:p>
        </w:tc>
      </w:tr>
      <w:tr>
        <w:trPr>
          <w:trHeight w:val="210"/>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Erling Lux Bidco SARL - Delayed Draw &amp; Revolver</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180"/>
              <w:spacing w:after="0" w:line="210" w:lineRule="exact"/>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24"/>
                <w:szCs w:val="24"/>
                <w:b w:val="1"/>
                <w:bCs w:val="1"/>
                <w:color w:val="auto"/>
                <w:vertAlign w:val="superscript"/>
              </w:rPr>
              <w:t>(1)(2)</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-170815</wp:posOffset>
            </wp:positionV>
            <wp:extent cx="5143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82" w:lineRule="exact"/>
        <w:rPr>
          <w:sz w:val="20"/>
          <w:szCs w:val="20"/>
          <w:color w:val="auto"/>
        </w:rPr>
      </w:pPr>
    </w:p>
    <w:p>
      <w:pPr>
        <w:jc w:val="both"/>
        <w:ind w:left="520" w:right="30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3" w:lineRule="exact"/>
        <w:rPr>
          <w:rFonts w:ascii="Arial" w:cs="Arial" w:eastAsia="Arial" w:hAnsi="Arial"/>
          <w:sz w:val="18"/>
          <w:szCs w:val="18"/>
          <w:color w:val="auto"/>
        </w:rPr>
      </w:pPr>
    </w:p>
    <w:p>
      <w:pPr>
        <w:ind w:left="520" w:right="700" w:hanging="512"/>
        <w:spacing w:after="0" w:line="246"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estimate of the fair value of the current investments in these portfolio companies includes an analysis of the fair value of any unfunded commitments.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480" w:firstLine="255"/>
        <w:spacing w:after="0" w:line="261" w:lineRule="auto"/>
        <w:rPr>
          <w:sz w:val="20"/>
          <w:szCs w:val="20"/>
          <w:color w:val="auto"/>
        </w:rPr>
      </w:pPr>
      <w:r>
        <w:rPr>
          <w:rFonts w:ascii="Arial" w:cs="Arial" w:eastAsia="Arial" w:hAnsi="Arial"/>
          <w:sz w:val="18"/>
          <w:szCs w:val="18"/>
          <w:color w:val="auto"/>
        </w:rPr>
        <w:t>As of September 30, 2022, we did not have any unfunded commitments to fund new investments to new borrowers that were not current portfolio companies as of such date.</w:t>
      </w:r>
    </w:p>
    <w:p>
      <w:pPr>
        <w:spacing w:after="0" w:line="171"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57" w:lineRule="exact"/>
        <w:rPr>
          <w:sz w:val="20"/>
          <w:szCs w:val="20"/>
          <w:color w:val="auto"/>
        </w:rPr>
      </w:pPr>
    </w:p>
    <w:p>
      <w:pPr>
        <w:ind w:right="40" w:firstLine="255"/>
        <w:spacing w:after="0" w:line="258"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September 30, 2022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99"/>
              </w:rPr>
              <w:t>Payments Due by Period</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81"/>
              <w:spacing w:after="0" w:line="160" w:lineRule="exact"/>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518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1 year</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1-3 years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After 5 years</w:t>
            </w:r>
          </w:p>
        </w:tc>
        <w:tc>
          <w:tcPr>
            <w:tcW w:w="100" w:type="dxa"/>
            <w:vAlign w:val="bottom"/>
          </w:tcPr>
          <w:p>
            <w:pPr>
              <w:spacing w:after="0"/>
              <w:rPr>
                <w:sz w:val="16"/>
                <w:szCs w:val="16"/>
                <w:color w:val="auto"/>
              </w:rPr>
            </w:pPr>
          </w:p>
        </w:tc>
      </w:tr>
      <w:tr>
        <w:trPr>
          <w:trHeight w:val="20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80" w:type="dxa"/>
            <w:vAlign w:val="bottom"/>
          </w:tcPr>
          <w:p>
            <w:pPr>
              <w:ind w:left="20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-170815</wp:posOffset>
            </wp:positionV>
            <wp:extent cx="7683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7683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04" w:lineRule="exact"/>
        <w:rPr>
          <w:sz w:val="20"/>
          <w:szCs w:val="20"/>
          <w:color w:val="auto"/>
        </w:rPr>
      </w:pPr>
    </w:p>
    <w:p>
      <w:pPr>
        <w:ind w:right="180" w:firstLine="255"/>
        <w:spacing w:after="0" w:line="342" w:lineRule="auto"/>
        <w:rPr>
          <w:sz w:val="20"/>
          <w:szCs w:val="20"/>
          <w:color w:val="auto"/>
        </w:rPr>
      </w:pPr>
      <w:r>
        <w:rPr>
          <w:rFonts w:ascii="Arial" w:cs="Arial" w:eastAsia="Arial" w:hAnsi="Arial"/>
          <w:sz w:val="16"/>
          <w:szCs w:val="16"/>
          <w:color w:val="auto"/>
        </w:rPr>
        <w:t>We intend to elect to be regulated and qualify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2" w:lineRule="exact"/>
        <w:rPr>
          <w:sz w:val="20"/>
          <w:szCs w:val="20"/>
          <w:color w:val="auto"/>
        </w:rPr>
      </w:pPr>
    </w:p>
    <w:p>
      <w:pPr>
        <w:ind w:left="520" w:right="240" w:hanging="257"/>
        <w:spacing w:after="0" w:line="291"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2" w:lineRule="exact"/>
        <w:rPr>
          <w:rFonts w:ascii="Arial" w:cs="Arial" w:eastAsia="Arial" w:hAnsi="Arial"/>
          <w:sz w:val="17"/>
          <w:szCs w:val="17"/>
          <w:color w:val="auto"/>
        </w:rPr>
      </w:pPr>
    </w:p>
    <w:p>
      <w:pPr>
        <w:ind w:left="520" w:right="300" w:hanging="257"/>
        <w:spacing w:after="0" w:line="261"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1" w:lineRule="exact"/>
        <w:rPr>
          <w:sz w:val="20"/>
          <w:szCs w:val="20"/>
          <w:color w:val="auto"/>
        </w:rPr>
      </w:pPr>
    </w:p>
    <w:p>
      <w:pPr>
        <w:ind w:right="80" w:firstLine="255"/>
        <w:spacing w:after="0" w:line="261" w:lineRule="auto"/>
        <w:rPr>
          <w:sz w:val="20"/>
          <w:szCs w:val="20"/>
          <w:color w:val="auto"/>
        </w:rPr>
      </w:pPr>
      <w:r>
        <w:rPr>
          <w:rFonts w:ascii="Arial" w:cs="Arial" w:eastAsia="Arial" w:hAnsi="Arial"/>
          <w:sz w:val="18"/>
          <w:szCs w:val="18"/>
          <w:color w:val="auto"/>
        </w:rPr>
        <w:t>As a RIC, we (but not our shareholders) generally will not be subject to U.S. federal income tax on investment company taxable income and net capital gains that we distribute to our shareholders.</w:t>
      </w:r>
    </w:p>
    <w:p>
      <w:pPr>
        <w:spacing w:after="0" w:line="184" w:lineRule="exact"/>
        <w:rPr>
          <w:sz w:val="20"/>
          <w:szCs w:val="20"/>
          <w:color w:val="auto"/>
        </w:rPr>
      </w:pPr>
    </w:p>
    <w:p>
      <w:pPr>
        <w:jc w:val="both"/>
        <w:ind w:right="260" w:firstLine="255"/>
        <w:spacing w:after="0" w:line="248"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95" w:lineRule="exact"/>
        <w:rPr>
          <w:sz w:val="20"/>
          <w:szCs w:val="20"/>
          <w:color w:val="auto"/>
        </w:rPr>
      </w:pPr>
    </w:p>
    <w:p>
      <w:pPr>
        <w:jc w:val="both"/>
        <w:ind w:right="160" w:firstLine="255"/>
        <w:spacing w:after="0" w:line="248"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87" w:lineRule="exact"/>
        <w:rPr>
          <w:sz w:val="20"/>
          <w:szCs w:val="20"/>
          <w:color w:val="auto"/>
        </w:rPr>
      </w:pPr>
    </w:p>
    <w:p>
      <w:pPr>
        <w:ind w:left="520" w:hanging="257"/>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03" w:lineRule="exact"/>
        <w:rPr>
          <w:rFonts w:ascii="Arial" w:cs="Arial" w:eastAsia="Arial" w:hAnsi="Arial"/>
          <w:sz w:val="18"/>
          <w:szCs w:val="18"/>
          <w:color w:val="auto"/>
        </w:rPr>
      </w:pPr>
    </w:p>
    <w:p>
      <w:pPr>
        <w:ind w:left="520" w:right="160" w:hanging="257"/>
        <w:spacing w:after="0" w:line="261"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76" w:lineRule="exact"/>
        <w:rPr>
          <w:rFonts w:ascii="Arial" w:cs="Arial" w:eastAsia="Arial" w:hAnsi="Arial"/>
          <w:sz w:val="18"/>
          <w:szCs w:val="18"/>
          <w:color w:val="auto"/>
        </w:rPr>
      </w:pPr>
    </w:p>
    <w:p>
      <w:pPr>
        <w:ind w:left="520" w:hanging="257"/>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6" w:name="page37"/>
    <w:bookmarkEnd w:id="36"/>
    <w:p>
      <w:pPr>
        <w:ind w:right="40" w:firstLine="255"/>
        <w:spacing w:after="0" w:line="256"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5" w:lineRule="exact"/>
        <w:rPr>
          <w:sz w:val="20"/>
          <w:szCs w:val="20"/>
          <w:color w:val="auto"/>
        </w:rPr>
      </w:pPr>
    </w:p>
    <w:p>
      <w:pPr>
        <w:jc w:val="both"/>
        <w:ind w:right="240" w:firstLine="255"/>
        <w:spacing w:after="0" w:line="256" w:lineRule="auto"/>
        <w:rPr>
          <w:sz w:val="20"/>
          <w:szCs w:val="20"/>
          <w:color w:val="auto"/>
        </w:rPr>
      </w:pPr>
      <w:r>
        <w:rPr>
          <w:rFonts w:ascii="Arial" w:cs="Arial" w:eastAsia="Arial" w:hAnsi="Arial"/>
          <w:sz w:val="18"/>
          <w:szCs w:val="18"/>
          <w:color w:val="auto"/>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175" w:lineRule="exact"/>
        <w:rPr>
          <w:sz w:val="20"/>
          <w:szCs w:val="20"/>
          <w:color w:val="auto"/>
        </w:rPr>
      </w:pPr>
    </w:p>
    <w:p>
      <w:pPr>
        <w:ind w:right="40" w:firstLine="255"/>
        <w:spacing w:after="0" w:line="24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stockholder rather than our income or gains. Shareholders should read any written disclosure carefully and should not assume that the source of any distribution is our ordinary income or gains.</w:t>
      </w:r>
    </w:p>
    <w:p>
      <w:pPr>
        <w:spacing w:after="0" w:line="181" w:lineRule="exact"/>
        <w:rPr>
          <w:sz w:val="20"/>
          <w:szCs w:val="20"/>
          <w:color w:val="auto"/>
        </w:rPr>
      </w:pPr>
    </w:p>
    <w:p>
      <w:pPr>
        <w:jc w:val="both"/>
        <w:ind w:firstLine="255"/>
        <w:spacing w:after="0" w:line="268" w:lineRule="auto"/>
        <w:rPr>
          <w:sz w:val="20"/>
          <w:szCs w:val="20"/>
          <w:color w:val="auto"/>
        </w:rPr>
      </w:pPr>
      <w:r>
        <w:rPr>
          <w:rFonts w:ascii="Arial" w:cs="Arial" w:eastAsia="Arial" w:hAnsi="Arial"/>
          <w:sz w:val="17"/>
          <w:szCs w:val="17"/>
          <w:color w:val="auto"/>
        </w:rPr>
        <w:t>We have adopted an “opt out” dividend reinvestment plan for our common shareholders. As a result, if we declare a cash dividend or other distribution, each stockholder that has not “opted out” of our dividend reinvestment plan will have their dividends or distributions automatically reinvested in additional shares of our Common Shares rather than receiving cash dividends. Shareholders who receive distributions in the form of shares of Common Shares will be subject to the same U.S. federal, state and local tax consequences as if they received cash distributions.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04" w:lineRule="exact"/>
        <w:rPr>
          <w:sz w:val="20"/>
          <w:szCs w:val="20"/>
          <w:color w:val="auto"/>
        </w:rPr>
      </w:pPr>
    </w:p>
    <w:p>
      <w:pPr>
        <w:ind w:left="520" w:hanging="257"/>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Investment Advisory Agreement;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Administration Agreement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100" w:firstLine="255"/>
        <w:spacing w:after="0" w:line="268" w:lineRule="auto"/>
        <w:rPr>
          <w:sz w:val="20"/>
          <w:szCs w:val="20"/>
          <w:color w:val="auto"/>
        </w:rPr>
      </w:pPr>
      <w:r>
        <w:rPr>
          <w:rFonts w:ascii="Arial" w:cs="Arial" w:eastAsia="Arial" w:hAnsi="Arial"/>
          <w:sz w:val="17"/>
          <w:szCs w:val="17"/>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Registration Statement on Form 10, filed with the SEC on August 23, 2022, and elsewhere in our filings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Valuation Risk</w:t>
      </w:r>
    </w:p>
    <w:p>
      <w:pPr>
        <w:spacing w:after="0" w:line="104" w:lineRule="exact"/>
        <w:rPr>
          <w:sz w:val="20"/>
          <w:szCs w:val="20"/>
          <w:color w:val="auto"/>
        </w:rPr>
      </w:pPr>
    </w:p>
    <w:p>
      <w:pPr>
        <w:ind w:right="60" w:firstLine="255"/>
        <w:spacing w:after="0" w:line="246"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0" w:right="1680" w:firstLine="210"/>
        <w:spacing w:after="0" w:line="249"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73" w:lineRule="exact"/>
        <w:rPr>
          <w:sz w:val="20"/>
          <w:szCs w:val="20"/>
          <w:color w:val="auto"/>
        </w:rPr>
      </w:pPr>
    </w:p>
    <w:p>
      <w:pPr>
        <w:ind w:left="60" w:right="1780" w:firstLine="210"/>
        <w:spacing w:after="0" w:line="276" w:lineRule="auto"/>
        <w:rPr>
          <w:sz w:val="20"/>
          <w:szCs w:val="20"/>
          <w:color w:val="auto"/>
        </w:rPr>
      </w:pPr>
      <w:r>
        <w:rPr>
          <w:rFonts w:ascii="Arial" w:cs="Arial" w:eastAsia="Arial" w:hAnsi="Arial"/>
          <w:sz w:val="16"/>
          <w:szCs w:val="16"/>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2" w:lineRule="exact"/>
        <w:rPr>
          <w:sz w:val="20"/>
          <w:szCs w:val="20"/>
          <w:color w:val="auto"/>
        </w:rPr>
      </w:pPr>
    </w:p>
    <w:p>
      <w:pPr>
        <w:ind w:right="60" w:firstLine="45"/>
        <w:spacing w:after="0" w:line="243" w:lineRule="auto"/>
        <w:rPr>
          <w:sz w:val="20"/>
          <w:szCs w:val="20"/>
          <w:color w:val="auto"/>
        </w:rPr>
      </w:pPr>
      <w:r>
        <w:rPr>
          <w:rFonts w:ascii="Arial" w:cs="Arial" w:eastAsia="Arial" w:hAnsi="Arial"/>
          <w:sz w:val="18"/>
          <w:szCs w:val="18"/>
          <w:color w:val="auto"/>
        </w:rPr>
        <w:t>As of September 30, 2022, 100.0% of our debt investments based on fair value in our portfolio bore interest at floating rates, with 100.0% of these subject to interest rate floors. Our credit facility also bears interest at floating rates.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7" w:name="page38"/>
    <w:bookmarkEnd w:id="37"/>
    <w:p>
      <w:pPr>
        <w:ind w:left="60" w:right="1540" w:firstLine="210"/>
        <w:spacing w:after="0" w:line="256" w:lineRule="auto"/>
        <w:rPr>
          <w:sz w:val="20"/>
          <w:szCs w:val="20"/>
          <w:color w:val="auto"/>
        </w:rPr>
      </w:pPr>
      <w:r>
        <w:rPr>
          <w:rFonts w:ascii="Arial" w:cs="Arial" w:eastAsia="Arial" w:hAnsi="Arial"/>
          <w:sz w:val="18"/>
          <w:szCs w:val="18"/>
          <w:color w:val="auto"/>
        </w:rPr>
        <w:t>Assuming that our consolidated balance sheet as of September 30, 2022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92"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Interest Income</w:t>
            </w:r>
          </w:p>
        </w:tc>
        <w:tc>
          <w:tcPr>
            <w:tcW w:w="10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Interest Expense</w:t>
            </w:r>
          </w:p>
        </w:tc>
        <w:tc>
          <w:tcPr>
            <w:tcW w:w="240" w:type="dxa"/>
            <w:vAlign w:val="bottom"/>
          </w:tcPr>
          <w:p>
            <w:pPr>
              <w:spacing w:after="0"/>
              <w:rPr>
                <w:sz w:val="16"/>
                <w:szCs w:val="16"/>
                <w:color w:val="auto"/>
              </w:rPr>
            </w:pPr>
          </w:p>
        </w:tc>
        <w:tc>
          <w:tcPr>
            <w:tcW w:w="18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Net Interest Income</w:t>
            </w:r>
          </w:p>
        </w:tc>
      </w:tr>
      <w:tr>
        <w:trPr>
          <w:trHeight w:val="209"/>
        </w:trPr>
        <w:tc>
          <w:tcPr>
            <w:tcW w:w="4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Up 300 basis points</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16"/>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 100 basis points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Down 25 basis points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(0.3 )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(0.5 )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Down 50 basis points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60" w:right="1540" w:firstLine="210"/>
        <w:spacing w:after="0" w:line="303" w:lineRule="auto"/>
        <w:rPr>
          <w:sz w:val="20"/>
          <w:szCs w:val="20"/>
          <w:color w:val="auto"/>
        </w:rPr>
      </w:pPr>
      <w:r>
        <w:rPr>
          <w:rFonts w:ascii="Arial" w:cs="Arial" w:eastAsia="Arial" w:hAnsi="Arial"/>
          <w:sz w:val="16"/>
          <w:szCs w:val="16"/>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235" w:lineRule="exact"/>
        <w:rPr>
          <w:sz w:val="20"/>
          <w:szCs w:val="20"/>
          <w:color w:val="auto"/>
        </w:rPr>
      </w:pPr>
    </w:p>
    <w:p>
      <w:pPr>
        <w:jc w:val="both"/>
        <w:ind w:left="60" w:right="1720" w:firstLine="210"/>
        <w:spacing w:after="0" w:line="268" w:lineRule="auto"/>
        <w:rPr>
          <w:sz w:val="20"/>
          <w:szCs w:val="20"/>
          <w:color w:val="auto"/>
        </w:rPr>
      </w:pPr>
      <w:r>
        <w:rPr>
          <w:rFonts w:ascii="Arial" w:cs="Arial" w:eastAsia="Arial" w:hAnsi="Arial"/>
          <w:sz w:val="17"/>
          <w:szCs w:val="17"/>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Risk</w:t>
      </w:r>
    </w:p>
    <w:p>
      <w:pPr>
        <w:spacing w:after="0" w:line="225" w:lineRule="exact"/>
        <w:rPr>
          <w:sz w:val="20"/>
          <w:szCs w:val="20"/>
          <w:color w:val="auto"/>
        </w:rPr>
      </w:pPr>
    </w:p>
    <w:p>
      <w:pPr>
        <w:ind w:firstLine="255"/>
        <w:spacing w:after="0" w:line="259"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5"/>
        <w:spacing w:after="0" w:line="283"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57" w:lineRule="exact"/>
        <w:rPr>
          <w:sz w:val="20"/>
          <w:szCs w:val="20"/>
          <w:color w:val="auto"/>
        </w:rPr>
      </w:pPr>
    </w:p>
    <w:p>
      <w:pPr>
        <w:jc w:val="both"/>
        <w:ind w:right="200" w:firstLine="255"/>
        <w:spacing w:after="0" w:line="256"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17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24" w:right="5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firstLine="255"/>
        <w:spacing w:after="0" w:line="248"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from the risk factors previously disclosed in our Registration Statement on Form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4"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580" w:firstLine="255"/>
        <w:spacing w:after="0" w:line="261" w:lineRule="auto"/>
        <w:rPr>
          <w:sz w:val="20"/>
          <w:szCs w:val="20"/>
          <w:color w:val="auto"/>
        </w:rPr>
      </w:pPr>
      <w:r>
        <w:rPr>
          <w:rFonts w:ascii="Arial" w:cs="Arial" w:eastAsia="Arial" w:hAnsi="Arial"/>
          <w:sz w:val="18"/>
          <w:szCs w:val="18"/>
          <w:color w:val="auto"/>
        </w:rPr>
        <w:t>Refer to our Current Reports on Form 8-K filed with SEC on September 6, 2022, October 4, 2022, and November 1, 2022 for information about unregistered sales of our equity securities during the quarter.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4" w:lineRule="exact"/>
        <w:rPr>
          <w:sz w:val="20"/>
          <w:szCs w:val="20"/>
          <w:color w:val="auto"/>
        </w:rPr>
      </w:pPr>
    </w:p>
    <w:p>
      <w:pPr>
        <w:ind w:left="780" w:hanging="517"/>
        <w:spacing w:after="0"/>
        <w:tabs>
          <w:tab w:leader="none" w:pos="7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280" w:type="dxa"/>
            <w:vAlign w:val="bottom"/>
            <w:gridSpan w:val="14"/>
          </w:tcPr>
          <w:p>
            <w:pPr>
              <w:spacing w:after="0"/>
              <w:rPr>
                <w:rFonts w:ascii="Arial" w:cs="Arial" w:eastAsia="Arial" w:hAnsi="Arial"/>
                <w:sz w:val="18"/>
                <w:szCs w:val="18"/>
                <w:color w:val="0000FF"/>
              </w:rPr>
            </w:pPr>
            <w:hyperlink r:id="rId146">
              <w:r>
                <w:rPr>
                  <w:rFonts w:ascii="Arial" w:cs="Arial" w:eastAsia="Arial" w:hAnsi="Arial"/>
                  <w:sz w:val="18"/>
                  <w:szCs w:val="18"/>
                  <w:color w:val="0000FF"/>
                </w:rPr>
                <w:t xml:space="preserve">Second Amended and Restated Declaration of Trust </w:t>
              </w:r>
            </w:hyperlink>
            <w:r>
              <w:rPr>
                <w:rFonts w:ascii="Arial" w:cs="Arial" w:eastAsia="Arial" w:hAnsi="Arial"/>
                <w:sz w:val="24"/>
                <w:szCs w:val="24"/>
                <w:color w:val="000000"/>
                <w:vertAlign w:val="superscript"/>
              </w:rPr>
              <w:t>(1)</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280" w:type="dxa"/>
            <w:vAlign w:val="bottom"/>
            <w:gridSpan w:val="14"/>
          </w:tcPr>
          <w:p>
            <w:pPr>
              <w:spacing w:after="0"/>
              <w:rPr>
                <w:rFonts w:ascii="Arial" w:cs="Arial" w:eastAsia="Arial" w:hAnsi="Arial"/>
                <w:sz w:val="18"/>
                <w:szCs w:val="18"/>
                <w:color w:val="0000FF"/>
              </w:rPr>
            </w:pPr>
            <w:hyperlink r:id="rId147">
              <w:r>
                <w:rPr>
                  <w:rFonts w:ascii="Arial" w:cs="Arial" w:eastAsia="Arial" w:hAnsi="Arial"/>
                  <w:sz w:val="18"/>
                  <w:szCs w:val="18"/>
                  <w:color w:val="0000FF"/>
                </w:rPr>
                <w:t xml:space="preserve">Bylaws </w:t>
              </w:r>
            </w:hyperlink>
            <w:r>
              <w:rPr>
                <w:rFonts w:ascii="Arial" w:cs="Arial" w:eastAsia="Arial" w:hAnsi="Arial"/>
                <w:sz w:val="24"/>
                <w:szCs w:val="24"/>
                <w:color w:val="000000"/>
                <w:vertAlign w:val="superscript"/>
              </w:rPr>
              <w:t>(2)</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280" w:type="dxa"/>
            <w:vAlign w:val="bottom"/>
            <w:gridSpan w:val="14"/>
          </w:tcPr>
          <w:p>
            <w:pPr>
              <w:spacing w:after="0"/>
              <w:rPr>
                <w:rFonts w:ascii="Arial" w:cs="Arial" w:eastAsia="Arial" w:hAnsi="Arial"/>
                <w:sz w:val="18"/>
                <w:szCs w:val="18"/>
                <w:color w:val="0000FF"/>
              </w:rPr>
            </w:pPr>
            <w:hyperlink r:id="rId148">
              <w:r>
                <w:rPr>
                  <w:rFonts w:ascii="Arial" w:cs="Arial" w:eastAsia="Arial" w:hAnsi="Arial"/>
                  <w:sz w:val="18"/>
                  <w:szCs w:val="18"/>
                  <w:color w:val="0000FF"/>
                </w:rPr>
                <w:t xml:space="preserve">Form of Subscription Agreement </w:t>
              </w:r>
            </w:hyperlink>
            <w:r>
              <w:rPr>
                <w:rFonts w:ascii="Arial" w:cs="Arial" w:eastAsia="Arial" w:hAnsi="Arial"/>
                <w:sz w:val="24"/>
                <w:szCs w:val="24"/>
                <w:color w:val="000000"/>
                <w:vertAlign w:val="superscript"/>
              </w:rPr>
              <w:t>(3)</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280" w:type="dxa"/>
            <w:vAlign w:val="bottom"/>
            <w:gridSpan w:val="14"/>
          </w:tcPr>
          <w:p>
            <w:pPr>
              <w:spacing w:after="0"/>
              <w:rPr>
                <w:rFonts w:ascii="Arial" w:cs="Arial" w:eastAsia="Arial" w:hAnsi="Arial"/>
                <w:sz w:val="18"/>
                <w:szCs w:val="18"/>
                <w:color w:val="0000FF"/>
              </w:rPr>
            </w:pPr>
            <w:hyperlink r:id="rId149">
              <w:r>
                <w:rPr>
                  <w:rFonts w:ascii="Arial" w:cs="Arial" w:eastAsia="Arial" w:hAnsi="Arial"/>
                  <w:sz w:val="18"/>
                  <w:szCs w:val="18"/>
                  <w:color w:val="0000FF"/>
                </w:rPr>
                <w:t xml:space="preserve">Advisory Agreement </w:t>
              </w:r>
            </w:hyperlink>
            <w:r>
              <w:rPr>
                <w:rFonts w:ascii="Arial" w:cs="Arial" w:eastAsia="Arial" w:hAnsi="Arial"/>
                <w:sz w:val="24"/>
                <w:szCs w:val="24"/>
                <w:color w:val="000000"/>
                <w:vertAlign w:val="superscript"/>
              </w:rPr>
              <w:t>(4)</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vMerge w:val="restart"/>
          </w:tcPr>
          <w:p>
            <w:pPr>
              <w:jc w:val="right"/>
              <w:spacing w:after="0"/>
              <w:rPr>
                <w:rFonts w:ascii="Arial" w:cs="Arial" w:eastAsia="Arial" w:hAnsi="Arial"/>
                <w:sz w:val="12"/>
                <w:szCs w:val="12"/>
                <w:color w:val="auto"/>
                <w:w w:val="81"/>
              </w:rPr>
            </w:pPr>
            <w:hyperlink r:id="rId150">
              <w:r>
                <w:rPr>
                  <w:rFonts w:ascii="Arial" w:cs="Arial" w:eastAsia="Arial" w:hAnsi="Arial"/>
                  <w:sz w:val="12"/>
                  <w:szCs w:val="12"/>
                  <w:color w:val="auto"/>
                  <w:w w:val="81"/>
                </w:rPr>
                <w:t>(5)</w:t>
              </w:r>
            </w:hyperlink>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92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960" w:type="dxa"/>
            <w:vAlign w:val="bottom"/>
            <w:gridSpan w:val="5"/>
            <w:vMerge w:val="restart"/>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Administration Agreement</w:t>
              </w:r>
            </w:hyperlink>
          </w:p>
        </w:tc>
        <w:tc>
          <w:tcPr>
            <w:tcW w:w="140" w:type="dxa"/>
            <w:vAlign w:val="bottom"/>
            <w:tcBorders>
              <w:bottom w:val="single" w:sz="8" w:color="0000EE"/>
            </w:tcBorders>
            <w:vMerge w:val="continue"/>
          </w:tcPr>
          <w:p>
            <w:pPr>
              <w:spacing w:after="0"/>
              <w:rPr>
                <w:sz w:val="24"/>
                <w:szCs w:val="24"/>
                <w:color w:val="auto"/>
              </w:rPr>
            </w:pPr>
          </w:p>
        </w:tc>
        <w:tc>
          <w:tcPr>
            <w:tcW w:w="600" w:type="dxa"/>
            <w:vAlign w:val="bottom"/>
            <w:gridSpan w:val="3"/>
            <w:vMerge w:val="restart"/>
          </w:tcPr>
          <w:p>
            <w:pPr>
              <w:spacing w:after="0"/>
              <w:rPr>
                <w:sz w:val="24"/>
                <w:szCs w:val="24"/>
                <w:color w:val="auto"/>
              </w:rPr>
            </w:pPr>
          </w:p>
        </w:tc>
        <w:tc>
          <w:tcPr>
            <w:tcW w:w="758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96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7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vMerge w:val="restart"/>
          </w:tcPr>
          <w:p>
            <w:pPr>
              <w:jc w:val="right"/>
              <w:spacing w:after="0"/>
              <w:rPr>
                <w:rFonts w:ascii="Arial" w:cs="Arial" w:eastAsia="Arial" w:hAnsi="Arial"/>
                <w:sz w:val="12"/>
                <w:szCs w:val="12"/>
                <w:color w:val="auto"/>
                <w:w w:val="81"/>
              </w:rPr>
            </w:pPr>
            <w:hyperlink r:id="rId151">
              <w:r>
                <w:rPr>
                  <w:rFonts w:ascii="Arial" w:cs="Arial" w:eastAsia="Arial" w:hAnsi="Arial"/>
                  <w:sz w:val="12"/>
                  <w:szCs w:val="12"/>
                  <w:color w:val="auto"/>
                  <w:w w:val="81"/>
                </w:rPr>
                <w:t>(6)</w:t>
              </w:r>
            </w:hyperlink>
          </w:p>
        </w:tc>
        <w:tc>
          <w:tcPr>
            <w:tcW w:w="174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92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2560" w:type="dxa"/>
            <w:vAlign w:val="bottom"/>
            <w:gridSpan w:val="8"/>
            <w:vMerge w:val="restart"/>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Trademark and License Agreement</w:t>
              </w:r>
            </w:hyperlink>
          </w:p>
        </w:tc>
        <w:tc>
          <w:tcPr>
            <w:tcW w:w="140" w:type="dxa"/>
            <w:vAlign w:val="bottom"/>
            <w:tcBorders>
              <w:bottom w:val="single" w:sz="8" w:color="0000EE"/>
            </w:tcBorders>
            <w:vMerge w:val="continue"/>
          </w:tcPr>
          <w:p>
            <w:pPr>
              <w:spacing w:after="0"/>
              <w:rPr>
                <w:sz w:val="24"/>
                <w:szCs w:val="24"/>
                <w:color w:val="auto"/>
              </w:rPr>
            </w:pPr>
          </w:p>
        </w:tc>
        <w:tc>
          <w:tcPr>
            <w:tcW w:w="758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2560" w:type="dxa"/>
            <w:vAlign w:val="bottom"/>
            <w:gridSpan w:val="8"/>
            <w:vMerge w:val="continue"/>
          </w:tcPr>
          <w:p>
            <w:pPr>
              <w:spacing w:after="0"/>
              <w:rPr>
                <w:sz w:val="5"/>
                <w:szCs w:val="5"/>
                <w:color w:val="auto"/>
              </w:rPr>
            </w:pPr>
          </w:p>
        </w:tc>
        <w:tc>
          <w:tcPr>
            <w:tcW w:w="140" w:type="dxa"/>
            <w:vAlign w:val="bottom"/>
          </w:tcPr>
          <w:p>
            <w:pPr>
              <w:spacing w:after="0"/>
              <w:rPr>
                <w:sz w:val="5"/>
                <w:szCs w:val="5"/>
                <w:color w:val="auto"/>
              </w:rPr>
            </w:pPr>
          </w:p>
        </w:tc>
        <w:tc>
          <w:tcPr>
            <w:tcW w:w="7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280" w:type="dxa"/>
            <w:vAlign w:val="bottom"/>
            <w:gridSpan w:val="14"/>
          </w:tcPr>
          <w:p>
            <w:pPr>
              <w:spacing w:after="0"/>
              <w:rPr>
                <w:rFonts w:ascii="Arial" w:cs="Arial" w:eastAsia="Arial" w:hAnsi="Arial"/>
                <w:sz w:val="18"/>
                <w:szCs w:val="18"/>
                <w:color w:val="0000FF"/>
              </w:rPr>
            </w:pPr>
            <w:hyperlink r:id="rId152">
              <w:r>
                <w:rPr>
                  <w:rFonts w:ascii="Arial" w:cs="Arial" w:eastAsia="Arial" w:hAnsi="Arial"/>
                  <w:sz w:val="18"/>
                  <w:szCs w:val="18"/>
                  <w:color w:val="0000FF"/>
                </w:rPr>
                <w:t xml:space="preserve">Expense Support and Conditional Reimbursement Agreement </w:t>
              </w:r>
            </w:hyperlink>
            <w:r>
              <w:rPr>
                <w:rFonts w:ascii="Arial" w:cs="Arial" w:eastAsia="Arial" w:hAnsi="Arial"/>
                <w:sz w:val="24"/>
                <w:szCs w:val="24"/>
                <w:color w:val="000000"/>
                <w:vertAlign w:val="superscript"/>
              </w:rPr>
              <w:t>(7)</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740" w:type="dxa"/>
            <w:vAlign w:val="bottom"/>
            <w:tcBorders>
              <w:right w:val="single" w:sz="8" w:color="0000EE"/>
            </w:tcBorders>
            <w:gridSpan w:val="2"/>
            <w:shd w:val="clear" w:color="auto" w:fill="0000FF"/>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280" w:type="dxa"/>
            <w:vAlign w:val="bottom"/>
            <w:gridSpan w:val="14"/>
          </w:tcPr>
          <w:p>
            <w:pPr>
              <w:spacing w:after="0"/>
              <w:rPr>
                <w:rFonts w:ascii="Arial" w:cs="Arial" w:eastAsia="Arial" w:hAnsi="Arial"/>
                <w:sz w:val="18"/>
                <w:szCs w:val="18"/>
                <w:color w:val="0000FF"/>
                <w:w w:val="93"/>
              </w:rPr>
            </w:pPr>
            <w:hyperlink r:id="rId153">
              <w:r>
                <w:rPr>
                  <w:rFonts w:ascii="Arial" w:cs="Arial" w:eastAsia="Arial" w:hAnsi="Arial"/>
                  <w:sz w:val="18"/>
                  <w:szCs w:val="18"/>
                  <w:color w:val="0000FF"/>
                  <w:w w:val="93"/>
                </w:rPr>
                <w:t xml:space="preserve">Revolving Credit Agreement, dated as of September 1, 2022, by and among Sixth Street Lending Partners and Wells Fargo Bank, N.A. </w:t>
              </w:r>
            </w:hyperlink>
            <w:r>
              <w:rPr>
                <w:rFonts w:ascii="Arial" w:cs="Arial" w:eastAsia="Arial" w:hAnsi="Arial"/>
                <w:sz w:val="24"/>
                <w:szCs w:val="24"/>
                <w:color w:val="000000"/>
                <w:w w:val="93"/>
                <w:vertAlign w:val="superscript"/>
              </w:rPr>
              <w:t>(8)</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0" w:type="dxa"/>
            <w:vAlign w:val="bottom"/>
            <w:tcBorders>
              <w:right w:val="single" w:sz="8" w:color="0000EE"/>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280" w:type="dxa"/>
            <w:vAlign w:val="bottom"/>
            <w:gridSpan w:val="14"/>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 Adopted Pursuant to Section 302 of the Sarbanes-Oxley Act of</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79"/>
              </w:rPr>
              <w:t>2002</w:t>
            </w:r>
          </w:p>
        </w:tc>
        <w:tc>
          <w:tcPr>
            <w:tcW w:w="20" w:type="dxa"/>
            <w:vAlign w:val="bottom"/>
            <w:tcBorders>
              <w:top w:val="single" w:sz="8" w:color="0000FF"/>
              <w:bottom w:val="single" w:sz="8" w:color="0000EE"/>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52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280" w:type="dxa"/>
            <w:vAlign w:val="bottom"/>
            <w:gridSpan w:val="14"/>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302 of the Sarbanes-Oxley Act of</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79"/>
              </w:rPr>
              <w:t>2002</w:t>
            </w:r>
          </w:p>
        </w:tc>
        <w:tc>
          <w:tcPr>
            <w:tcW w:w="20" w:type="dxa"/>
            <w:vAlign w:val="bottom"/>
            <w:tcBorders>
              <w:top w:val="single" w:sz="8" w:color="0000FF"/>
              <w:bottom w:val="single" w:sz="8" w:color="0000EE"/>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52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hanging="899"/>
        <w:spacing w:after="0"/>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0000FF"/>
        </w:rPr>
        <w:t>Certification of CEO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3810</wp:posOffset>
            </wp:positionV>
            <wp:extent cx="63722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6372225" cy="8890"/>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16"/>
        </w:trPr>
        <w:tc>
          <w:tcPr>
            <w:tcW w:w="78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tcPr>
          <w:p>
            <w:pPr>
              <w:ind w:left="1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920" w:hanging="899"/>
        <w:spacing w:after="0"/>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documentt</w:t>
      </w:r>
    </w:p>
    <w:p>
      <w:pPr>
        <w:spacing w:after="0" w:line="197" w:lineRule="exact"/>
        <w:rPr>
          <w:rFonts w:ascii="Arial" w:cs="Arial" w:eastAsia="Arial" w:hAnsi="Arial"/>
          <w:sz w:val="18"/>
          <w:szCs w:val="18"/>
          <w:color w:val="auto"/>
        </w:rPr>
      </w:pPr>
    </w:p>
    <w:p>
      <w:pPr>
        <w:jc w:val="center"/>
        <w:ind w:left="5540" w:right="680" w:hanging="5532"/>
        <w:spacing w:after="0" w:line="527" w:lineRule="auto"/>
        <w:tabs>
          <w:tab w:leader="none" w:pos="2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Registration Statement on Form 10 (File No. 000-56455), filed on August 22, 2022.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1" w:name="page42"/>
    <w:bookmarkEnd w:id="41"/>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Incorporated by reference to Exhibit 3.2 to the Company’s Registration Statement on Form 10 (File No. 000-56455), filed on June 28, 2022.</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Incorporated by reference to Exhibit 4.1 to the Company’s Registration Statement on Form 10 (File No. 000-56455), filed on June 28, 2022.</w:t>
      </w:r>
    </w:p>
    <w:p>
      <w:pPr>
        <w:spacing w:after="0" w:line="8" w:lineRule="exact"/>
        <w:rPr>
          <w:rFonts w:ascii="Arial" w:cs="Arial" w:eastAsia="Arial" w:hAnsi="Arial"/>
          <w:sz w:val="17"/>
          <w:szCs w:val="17"/>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10 (File No. 000-56455), filed on June 28, 2022.</w:t>
      </w:r>
    </w:p>
    <w:p>
      <w:pPr>
        <w:spacing w:after="0" w:line="7" w:lineRule="exact"/>
        <w:rPr>
          <w:rFonts w:ascii="Arial" w:cs="Arial" w:eastAsia="Arial" w:hAnsi="Arial"/>
          <w:sz w:val="17"/>
          <w:szCs w:val="17"/>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Registration Statement on Form 10 (File No. 000-56455), filed on June 28, 2022.</w:t>
      </w:r>
    </w:p>
    <w:p>
      <w:pPr>
        <w:spacing w:after="0" w:line="18" w:lineRule="exact"/>
        <w:rPr>
          <w:rFonts w:ascii="Arial" w:cs="Arial" w:eastAsia="Arial" w:hAnsi="Arial"/>
          <w:sz w:val="17"/>
          <w:szCs w:val="17"/>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Incorporated by reference to Exhibit 10.3 to the Company’s Registration Statement on Form 10 (File No. 000-56455), filed on June 28, 2022.</w:t>
      </w:r>
    </w:p>
    <w:p>
      <w:pPr>
        <w:spacing w:after="0" w:line="8" w:lineRule="exact"/>
        <w:rPr>
          <w:rFonts w:ascii="Arial" w:cs="Arial" w:eastAsia="Arial" w:hAnsi="Arial"/>
          <w:sz w:val="17"/>
          <w:szCs w:val="17"/>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Incorporated by reference to Exhibit 10.5 to the Company’s Registration Statement on Form 10 (File No. 000-56455), filed on June 28, 2022.</w:t>
      </w:r>
    </w:p>
    <w:p>
      <w:pPr>
        <w:spacing w:after="0" w:line="7" w:lineRule="exact"/>
        <w:rPr>
          <w:rFonts w:ascii="Arial" w:cs="Arial" w:eastAsia="Arial" w:hAnsi="Arial"/>
          <w:sz w:val="17"/>
          <w:szCs w:val="17"/>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 No. 814-01543), filed on September 6, 2022.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Sixth Street Lending Partners</w:t>
      </w:r>
    </w:p>
    <w:p>
      <w:pPr>
        <w:spacing w:after="0" w:line="266" w:lineRule="exact"/>
        <w:rPr>
          <w:sz w:val="20"/>
          <w:szCs w:val="20"/>
          <w:color w:val="auto"/>
        </w:rPr>
      </w:pPr>
    </w:p>
    <w:p>
      <w:pPr>
        <w:ind w:left="20"/>
        <w:spacing w:after="0"/>
        <w:tabs>
          <w:tab w:leader="none" w:pos="6640" w:val="left"/>
          <w:tab w:leader="none" w:pos="712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26060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Joshua Easterly</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ind w:left="20"/>
        <w:spacing w:after="0"/>
        <w:tabs>
          <w:tab w:leader="none" w:pos="6640" w:val="left"/>
          <w:tab w:leader="none" w:pos="712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26060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42" w:name="page43"/>
    <w:bookmarkEnd w:id="42"/>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04" w:lineRule="exact"/>
        <w:rPr>
          <w:sz w:val="20"/>
          <w:szCs w:val="20"/>
          <w:color w:val="auto"/>
        </w:rPr>
      </w:pPr>
    </w:p>
    <w:p>
      <w:pPr>
        <w:ind w:left="620" w:hanging="357"/>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Lending Partners;</w:t>
      </w:r>
    </w:p>
    <w:p>
      <w:pPr>
        <w:spacing w:after="0" w:line="117" w:lineRule="exact"/>
        <w:rPr>
          <w:rFonts w:ascii="Arial" w:cs="Arial" w:eastAsia="Arial" w:hAnsi="Arial"/>
          <w:sz w:val="18"/>
          <w:szCs w:val="18"/>
          <w:color w:val="auto"/>
        </w:rPr>
      </w:pPr>
    </w:p>
    <w:p>
      <w:pPr>
        <w:ind w:left="780" w:hanging="517"/>
        <w:spacing w:after="0" w:line="248" w:lineRule="auto"/>
        <w:tabs>
          <w:tab w:leader="none" w:pos="6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780" w:right="100" w:hanging="517"/>
        <w:spacing w:after="0" w:line="291" w:lineRule="auto"/>
        <w:tabs>
          <w:tab w:leader="none" w:pos="631"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right"/>
        <w:ind w:left="780" w:right="320" w:hanging="517"/>
        <w:spacing w:after="0" w:line="282" w:lineRule="auto"/>
        <w:tabs>
          <w:tab w:leader="none" w:pos="63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280" w:right="60" w:hanging="509"/>
        <w:spacing w:after="0" w:line="256" w:lineRule="auto"/>
        <w:tabs>
          <w:tab w:leader="none" w:pos="113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280" w:right="40" w:hanging="509"/>
        <w:spacing w:after="0" w:line="256" w:lineRule="auto"/>
        <w:tabs>
          <w:tab w:leader="none" w:pos="113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6" w:lineRule="exact"/>
        <w:rPr>
          <w:rFonts w:ascii="Arial" w:cs="Arial" w:eastAsia="Arial" w:hAnsi="Arial"/>
          <w:sz w:val="18"/>
          <w:szCs w:val="18"/>
          <w:color w:val="auto"/>
        </w:rPr>
      </w:pPr>
    </w:p>
    <w:p>
      <w:pPr>
        <w:ind w:left="1280" w:right="220" w:hanging="509"/>
        <w:spacing w:after="0" w:line="324" w:lineRule="auto"/>
        <w:tabs>
          <w:tab w:leader="none" w:pos="113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280" w:right="80" w:hanging="509"/>
        <w:spacing w:after="0" w:line="248" w:lineRule="auto"/>
        <w:tabs>
          <w:tab w:leader="none" w:pos="113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780" w:right="20" w:hanging="517"/>
        <w:spacing w:after="0" w:line="291" w:lineRule="auto"/>
        <w:tabs>
          <w:tab w:leader="none" w:pos="63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80" w:right="600" w:hanging="509"/>
        <w:spacing w:after="0" w:line="324" w:lineRule="auto"/>
        <w:tabs>
          <w:tab w:leader="none" w:pos="1131"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280" w:right="300" w:hanging="509"/>
        <w:spacing w:after="0" w:line="261" w:lineRule="auto"/>
        <w:tabs>
          <w:tab w:leader="none" w:pos="113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3" w:name="page44"/>
    <w:bookmarkEnd w:id="43"/>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04" w:lineRule="exact"/>
        <w:rPr>
          <w:sz w:val="20"/>
          <w:szCs w:val="20"/>
          <w:color w:val="auto"/>
        </w:rPr>
      </w:pPr>
    </w:p>
    <w:p>
      <w:pPr>
        <w:ind w:left="620" w:hanging="357"/>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Lending Partners;</w:t>
      </w:r>
    </w:p>
    <w:p>
      <w:pPr>
        <w:spacing w:after="0" w:line="117" w:lineRule="exact"/>
        <w:rPr>
          <w:rFonts w:ascii="Arial" w:cs="Arial" w:eastAsia="Arial" w:hAnsi="Arial"/>
          <w:sz w:val="18"/>
          <w:szCs w:val="18"/>
          <w:color w:val="auto"/>
        </w:rPr>
      </w:pPr>
    </w:p>
    <w:p>
      <w:pPr>
        <w:ind w:left="780" w:hanging="517"/>
        <w:spacing w:after="0" w:line="248"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780" w:right="100" w:hanging="517"/>
        <w:spacing w:after="0" w:line="291" w:lineRule="auto"/>
        <w:tabs>
          <w:tab w:leader="none" w:pos="631"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right"/>
        <w:ind w:left="780" w:right="320" w:hanging="517"/>
        <w:spacing w:after="0" w:line="282" w:lineRule="auto"/>
        <w:tabs>
          <w:tab w:leader="none" w:pos="63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280" w:right="60" w:hanging="509"/>
        <w:spacing w:after="0" w:line="256" w:lineRule="auto"/>
        <w:tabs>
          <w:tab w:leader="none" w:pos="113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280" w:right="40" w:hanging="509"/>
        <w:spacing w:after="0" w:line="256" w:lineRule="auto"/>
        <w:tabs>
          <w:tab w:leader="none" w:pos="113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6" w:lineRule="exact"/>
        <w:rPr>
          <w:rFonts w:ascii="Arial" w:cs="Arial" w:eastAsia="Arial" w:hAnsi="Arial"/>
          <w:sz w:val="18"/>
          <w:szCs w:val="18"/>
          <w:color w:val="auto"/>
        </w:rPr>
      </w:pPr>
    </w:p>
    <w:p>
      <w:pPr>
        <w:ind w:left="1280" w:right="220" w:hanging="509"/>
        <w:spacing w:after="0" w:line="324" w:lineRule="auto"/>
        <w:tabs>
          <w:tab w:leader="none" w:pos="113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280" w:right="80" w:hanging="509"/>
        <w:spacing w:after="0" w:line="248" w:lineRule="auto"/>
        <w:tabs>
          <w:tab w:leader="none" w:pos="113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780" w:right="20" w:hanging="517"/>
        <w:spacing w:after="0" w:line="291" w:lineRule="auto"/>
        <w:tabs>
          <w:tab w:leader="none" w:pos="63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80" w:right="600" w:hanging="509"/>
        <w:spacing w:after="0" w:line="324" w:lineRule="auto"/>
        <w:tabs>
          <w:tab w:leader="none" w:pos="1131"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280" w:right="300" w:hanging="509"/>
        <w:spacing w:after="0" w:line="261" w:lineRule="auto"/>
        <w:tabs>
          <w:tab w:leader="none" w:pos="113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4" w:name="page45"/>
    <w:bookmarkEnd w:id="44"/>
    <w:p>
      <w:pPr>
        <w:ind w:left="10400"/>
        <w:spacing w:after="0"/>
        <w:rPr>
          <w:sz w:val="20"/>
          <w:szCs w:val="20"/>
          <w:color w:val="auto"/>
        </w:rPr>
      </w:pPr>
      <w:r>
        <w:rPr>
          <w:rFonts w:ascii="Arial" w:cs="Arial" w:eastAsia="Arial" w:hAnsi="Arial"/>
          <w:sz w:val="17"/>
          <w:szCs w:val="17"/>
          <w:b w:val="1"/>
          <w:bCs w:val="1"/>
          <w:color w:val="auto"/>
        </w:rPr>
        <w:t>Exhibit 32</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ind w:left="472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In connection with the quarterly report on Form 10-Q of Sixth Street Lending Partners (the “Company”) for the quarterly period ended September 30, 2022,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3" w:lineRule="exact"/>
        <w:rPr>
          <w:sz w:val="20"/>
          <w:szCs w:val="20"/>
          <w:color w:val="auto"/>
        </w:rPr>
      </w:pPr>
    </w:p>
    <w:p>
      <w:pPr>
        <w:ind w:left="780" w:hanging="263"/>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Name:</w:t>
        <w:tab/>
        <w:t>Joshua Easterly</w:t>
      </w:r>
    </w:p>
    <w:p>
      <w:pPr>
        <w:spacing w:after="0" w:line="23"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10, 2022</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Name:</w:t>
        <w:tab/>
        <w:t>Ian Simmonds</w:t>
      </w:r>
    </w:p>
    <w:p>
      <w:pPr>
        <w:spacing w:after="0" w:line="23"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10, 2022</w:t>
      </w:r>
    </w:p>
    <w:p>
      <w:pPr>
        <w:spacing w:after="0" w:line="211"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3"/>
    </w:lvl>
  </w:abstractNum>
  <w:abstractNum w:abstractNumId="9">
    <w:nsid w:val="75A2A8D4"/>
    <w:multiLevelType w:val="hybridMultilevel"/>
    <w:lvl w:ilvl="0">
      <w:lvlJc w:val="left"/>
      <w:lvlText w:val="(%1)"/>
      <w:numFmt w:val="lowerRoman"/>
      <w:start w:val="1"/>
    </w:lvl>
  </w:abstractNum>
  <w:abstractNum w:abstractNumId="10">
    <w:nsid w:val="8EDBDAB"/>
    <w:multiLevelType w:val="hybridMultilevel"/>
    <w:lvl w:ilvl="0">
      <w:lvlJc w:val="left"/>
      <w:lvlText w:val="(%1)"/>
      <w:numFmt w:val="lowerRoman"/>
      <w:start w:val="2"/>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5"/>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32"/>
    </w:lvl>
  </w:abstractNum>
  <w:abstractNum w:abstractNumId="32">
    <w:nsid w:val="440BADFC"/>
    <w:multiLevelType w:val="hybridMultilevel"/>
    <w:lvl w:ilvl="0">
      <w:lvlJc w:val="left"/>
      <w:lvlText w:val="%1"/>
      <w:numFmt w:val="decimal"/>
      <w:start w:val="1"/>
    </w:lvl>
    <w:lvl w:ilvl="1">
      <w:lvlJc w:val="left"/>
      <w:lvlText w:val="%2"/>
      <w:numFmt w:val="decimal"/>
      <w:start w:val="104"/>
    </w:lvl>
  </w:abstractNum>
  <w:abstractNum w:abstractNumId="33">
    <w:nsid w:val="5072367"/>
    <w:multiLevelType w:val="hybridMultilevel"/>
    <w:lvl w:ilvl="0">
      <w:lvlJc w:val="left"/>
      <w:lvlText w:val="(%1)"/>
      <w:numFmt w:val="decimal"/>
      <w:start w:val="1"/>
    </w:lvl>
    <w:lvl w:ilvl="1">
      <w:lvlJc w:val="left"/>
      <w:lvlText w:val="%2"/>
      <w:numFmt w:val="decimal"/>
      <w:start w:val="1"/>
    </w:lvl>
  </w:abstractNum>
  <w:abstractNum w:abstractNumId="34">
    <w:nsid w:val="3804823E"/>
    <w:multiLevelType w:val="hybridMultilevel"/>
    <w:lvl w:ilvl="0">
      <w:lvlJc w:val="left"/>
      <w:lvlText w:val="(%1)"/>
      <w:numFmt w:val="decimal"/>
      <w:start w:val="2"/>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46" Type="http://schemas.openxmlformats.org/officeDocument/2006/relationships/hyperlink" Target="https://www.sec.gov/Archives/edgar/data/1925309/000119312522226504/d260658dex31.htm" TargetMode="External"/><Relationship Id="rId147" Type="http://schemas.openxmlformats.org/officeDocument/2006/relationships/hyperlink" Target="https://www.sec.gov/Archives/edgar/data/1925309/000119312522183512/d260658dex32.htm" TargetMode="External"/><Relationship Id="rId148" Type="http://schemas.openxmlformats.org/officeDocument/2006/relationships/hyperlink" Target="https://www.sec.gov/Archives/edgar/data/1925309/000119312522183512/d260658dex41.htm" TargetMode="External"/><Relationship Id="rId149" Type="http://schemas.openxmlformats.org/officeDocument/2006/relationships/hyperlink" Target="https://www.sec.gov/Archives/edgar/data/1925309/000119312522183512/d260658dex101.htm" TargetMode="External"/><Relationship Id="rId150" Type="http://schemas.openxmlformats.org/officeDocument/2006/relationships/hyperlink" Target="https://www.sec.gov/Archives/edgar/data/1925309/000119312522183512/d260658dex102.htm" TargetMode="External"/><Relationship Id="rId151" Type="http://schemas.openxmlformats.org/officeDocument/2006/relationships/hyperlink" Target="https://www.sec.gov/Archives/edgar/data/1925309/000119312522183512/d260658dex103.htm" TargetMode="External"/><Relationship Id="rId152" Type="http://schemas.openxmlformats.org/officeDocument/2006/relationships/hyperlink" Target="https://www.sec.gov/Archives/edgar/data/1925309/000119312522183512/d260658dex105.htm" TargetMode="External"/><Relationship Id="rId153" Type="http://schemas.openxmlformats.org/officeDocument/2006/relationships/hyperlink" Target="https://www.sec.gov/Archives/edgar/data/1925309/000119312522239007/d3040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2022-11-10T15:55:50Z</dcterms:created>
  <dcterms:modified xsi:type="dcterms:W3CDTF">2022-11-10T15:55:50Z</dcterms:modified>
</cp:coreProperties>
</file>