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659"/>
        <w:spacing w:after="0" w:line="257" w:lineRule="auto"/>
        <w:rPr>
          <w:sz w:val="20"/>
          <w:szCs w:val="20"/>
          <w:color w:val="auto"/>
        </w:rPr>
      </w:pPr>
      <w:r>
        <w:rPr>
          <w:rFonts w:ascii="Courier New" w:cs="Courier New" w:eastAsia="Courier New" w:hAnsi="Courier New"/>
          <w:sz w:val="18"/>
          <w:szCs w:val="18"/>
          <w:color w:val="auto"/>
        </w:rPr>
        <w:t>11/2/22, 1:53 PM SECURITIES AND EXCHANGE COMMISSION SCHEDULE 13G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_)*</w:t>
      </w:r>
    </w:p>
    <w:p>
      <w:pPr>
        <w:spacing w:after="0" w:line="238" w:lineRule="auto"/>
        <w:rPr>
          <w:sz w:val="20"/>
          <w:szCs w:val="20"/>
          <w:color w:val="auto"/>
        </w:rPr>
      </w:pPr>
      <w:r>
        <w:rPr>
          <w:rFonts w:ascii="Courier New" w:cs="Courier New" w:eastAsia="Courier New" w:hAnsi="Courier New"/>
          <w:sz w:val="18"/>
          <w:szCs w:val="18"/>
          <w:color w:val="auto"/>
        </w:rPr>
        <w:t>Sixth Street Lending Partners</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N/A</w:t>
      </w:r>
    </w:p>
    <w:p>
      <w:pPr>
        <w:ind w:left="740"/>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October 27, 2022</w:t>
      </w:r>
    </w:p>
    <w:p>
      <w:pPr>
        <w:ind w:right="4239"/>
        <w:spacing w:after="0"/>
        <w:rPr>
          <w:sz w:val="20"/>
          <w:szCs w:val="20"/>
          <w:color w:val="auto"/>
        </w:rPr>
      </w:pPr>
      <w:r>
        <w:rPr>
          <w:rFonts w:ascii="Courier New" w:cs="Courier New" w:eastAsia="Courier New" w:hAnsi="Courier New"/>
          <w:sz w:val="18"/>
          <w:szCs w:val="18"/>
          <w:color w:val="auto"/>
        </w:rPr>
        <w:t>(Date of Event Which Requires Filing of this Statement) Check the appropriate box to designate the rule pursuant to which this Schedule is filed: x</w:t>
      </w:r>
    </w:p>
    <w:p>
      <w:pPr>
        <w:spacing w:after="0" w:line="19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13d-1(b)</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ind w:right="411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w:t>
      </w:r>
    </w:p>
    <w:tbl>
      <w:tblPr>
        <w:tblLayout w:type="fixed"/>
        <w:tblInd w:w="0" w:type="dxa"/>
        <w:tblCellMar>
          <w:top w:w="0" w:type="dxa"/>
          <w:left w:w="0" w:type="dxa"/>
          <w:bottom w:w="0" w:type="dxa"/>
          <w:right w:w="0" w:type="dxa"/>
        </w:tblCellMar>
      </w:tblPr>
      <w:tr>
        <w:trPr>
          <w:trHeight w:val="171"/>
        </w:trPr>
        <w:tc>
          <w:tcPr>
            <w:tcW w:w="290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w w:val="98"/>
              </w:rPr>
              <w:t>page shall not be deemed to</w:t>
            </w:r>
          </w:p>
        </w:tc>
        <w:tc>
          <w:tcPr>
            <w:tcW w:w="1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9"/>
              </w:rPr>
              <w:t>be "filed"</w:t>
            </w:r>
          </w:p>
        </w:tc>
        <w:tc>
          <w:tcPr>
            <w:tcW w:w="34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for the purpose of Section 18</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the Securities Exchange Act of 1934</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or otherwise subject</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the liabilities of that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section 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Act but shall be</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subject to all other provisions of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(however, see the Notes).</w:t>
            </w:r>
          </w:p>
        </w:tc>
      </w:tr>
      <w:tr>
        <w:trPr>
          <w:trHeight w:val="202"/>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Persons who respond to the collection of information contained in</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this form are not required</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respond unless the</w:t>
            </w:r>
          </w:p>
        </w:tc>
      </w:tr>
      <w:tr>
        <w:trPr>
          <w:trHeight w:val="296"/>
        </w:trPr>
        <w:tc>
          <w:tcPr>
            <w:tcW w:w="7480" w:type="dxa"/>
            <w:vAlign w:val="bottom"/>
            <w:gridSpan w:val="4"/>
          </w:tcPr>
          <w:p>
            <w:pPr>
              <w:spacing w:after="0"/>
              <w:rPr>
                <w:sz w:val="20"/>
                <w:szCs w:val="20"/>
                <w:color w:val="auto"/>
              </w:rPr>
            </w:pPr>
            <w:r>
              <w:rPr>
                <w:rFonts w:ascii="Courier New" w:cs="Courier New" w:eastAsia="Courier New" w:hAnsi="Courier New"/>
                <w:sz w:val="18"/>
                <w:szCs w:val="18"/>
                <w:color w:val="auto"/>
              </w:rPr>
              <w:t>form displays a currently valid OMB control number.</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https://sc13g.com</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14"/>
        </w:trPr>
        <w:tc>
          <w:tcPr>
            <w:tcW w:w="2160" w:type="dxa"/>
            <w:vAlign w:val="bottom"/>
          </w:tcPr>
          <w:p>
            <w:pPr>
              <w:spacing w:after="0"/>
              <w:rPr>
                <w:sz w:val="20"/>
                <w:szCs w:val="20"/>
                <w:color w:val="auto"/>
              </w:rPr>
            </w:pPr>
            <w:r>
              <w:rPr>
                <w:rFonts w:ascii="Courier New" w:cs="Courier New" w:eastAsia="Courier New" w:hAnsi="Courier New"/>
                <w:sz w:val="18"/>
                <w:szCs w:val="18"/>
                <w:color w:val="auto"/>
              </w:rPr>
              <w:t>11/2/22, 1:53 PM</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SECURITIES AND</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EXCHANGE COMMISSION SCHEDULE 13G</w:t>
            </w: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PERSONS</w:t>
      </w:r>
    </w:p>
    <w:p>
      <w:pPr>
        <w:ind w:right="4659"/>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spacing w:after="0"/>
        <w:rPr>
          <w:sz w:val="20"/>
          <w:szCs w:val="20"/>
          <w:color w:val="auto"/>
        </w:rPr>
      </w:pPr>
      <w:r>
        <w:rPr>
          <w:rFonts w:ascii="Courier New" w:cs="Courier New" w:eastAsia="Courier New" w:hAnsi="Courier New"/>
          <w:sz w:val="18"/>
          <w:szCs w:val="18"/>
          <w:color w:val="auto"/>
        </w:rPr>
        <w:t>State of Connecticut, acting</w:t>
      </w:r>
    </w:p>
    <w:p>
      <w:pPr>
        <w:spacing w:after="0" w:line="238" w:lineRule="auto"/>
        <w:rPr>
          <w:sz w:val="20"/>
          <w:szCs w:val="20"/>
          <w:color w:val="auto"/>
        </w:rPr>
      </w:pPr>
      <w:r>
        <w:rPr>
          <w:rFonts w:ascii="Courier New" w:cs="Courier New" w:eastAsia="Courier New" w:hAnsi="Courier New"/>
          <w:sz w:val="18"/>
          <w:szCs w:val="18"/>
          <w:color w:val="auto"/>
        </w:rPr>
        <w:t>through its Treasurer</w:t>
      </w:r>
    </w:p>
    <w:p>
      <w:pPr>
        <w:spacing w:after="0" w:line="238" w:lineRule="auto"/>
        <w:rPr>
          <w:sz w:val="20"/>
          <w:szCs w:val="20"/>
          <w:color w:val="auto"/>
        </w:rPr>
      </w:pPr>
      <w:r>
        <w:rPr>
          <w:rFonts w:ascii="Courier New" w:cs="Courier New" w:eastAsia="Courier New" w:hAnsi="Courier New"/>
          <w:sz w:val="18"/>
          <w:szCs w:val="18"/>
          <w:color w:val="auto"/>
        </w:rPr>
        <w:t>06-6000798</w:t>
      </w: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Connecticut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BY 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w:t>
      </w: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ectPr>
          <w:pgSz w:w="11900" w:h="16838" w:orient="portrait"/>
          <w:cols w:equalWidth="0" w:num="1">
            <w:col w:w="10139"/>
          </w:cols>
          <w:pgMar w:left="320" w:top="218" w:right="1440" w:bottom="0" w:gutter="0" w:footer="0" w:header="0"/>
        </w:sectPr>
      </w:pPr>
    </w:p>
    <w:bookmarkStart w:id="1" w:name="page2"/>
    <w:bookmarkEnd w:id="1"/>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rPr>
          <w:sz w:val="20"/>
          <w:szCs w:val="20"/>
          <w:color w:val="auto"/>
        </w:rPr>
      </w:pPr>
      <w:r>
        <w:rPr>
          <w:rFonts w:ascii="Courier New" w:cs="Courier New" w:eastAsia="Courier New" w:hAnsi="Courier New"/>
          <w:sz w:val="18"/>
          <w:szCs w:val="18"/>
          <w:color w:val="auto"/>
        </w:rPr>
        <w:t>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w:t>
      </w:r>
    </w:p>
    <w:p>
      <w:pPr>
        <w:spacing w:after="0" w:line="238" w:lineRule="auto"/>
        <w:rPr>
          <w:sz w:val="20"/>
          <w:szCs w:val="20"/>
          <w:color w:val="auto"/>
        </w:rPr>
      </w:pPr>
      <w:r>
        <w:rPr>
          <w:rFonts w:ascii="Courier New" w:cs="Courier New" w:eastAsia="Courier New" w:hAnsi="Courier New"/>
          <w:sz w:val="18"/>
          <w:szCs w:val="18"/>
          <w:color w:val="auto"/>
        </w:rPr>
        <w:t>EACH REPORTING PERSON</w:t>
      </w:r>
    </w:p>
    <w:p>
      <w:pPr>
        <w:spacing w:after="0" w:line="238" w:lineRule="auto"/>
        <w:rPr>
          <w:sz w:val="20"/>
          <w:szCs w:val="20"/>
          <w:color w:val="auto"/>
        </w:rPr>
      </w:pPr>
      <w:r>
        <w:rPr>
          <w:rFonts w:ascii="Courier New" w:cs="Courier New" w:eastAsia="Courier New" w:hAnsi="Courier New"/>
          <w:sz w:val="18"/>
          <w:szCs w:val="18"/>
          <w:color w:val="auto"/>
        </w:rPr>
        <w:t>1,470,977</w:t>
      </w:r>
    </w:p>
    <w:p>
      <w:pPr>
        <w:spacing w:after="0"/>
        <w:rPr>
          <w:sz w:val="20"/>
          <w:szCs w:val="20"/>
          <w:color w:val="auto"/>
        </w:rPr>
      </w:pPr>
      <w:r>
        <w:rPr>
          <w:rFonts w:ascii="Courier New" w:cs="Courier New" w:eastAsia="Courier New" w:hAnsi="Courier New"/>
          <w:sz w:val="18"/>
          <w:szCs w:val="18"/>
          <w:color w:val="auto"/>
        </w:rPr>
        <w:t>10</w:t>
      </w:r>
    </w:p>
    <w:p>
      <w:pPr>
        <w:spacing w:after="0"/>
        <w:rPr>
          <w:sz w:val="20"/>
          <w:szCs w:val="20"/>
          <w:color w:val="auto"/>
        </w:rPr>
      </w:pPr>
      <w:r>
        <w:rPr>
          <w:rFonts w:ascii="Courier New" w:cs="Courier New" w:eastAsia="Courier New" w:hAnsi="Courier New"/>
          <w:sz w:val="16"/>
          <w:szCs w:val="16"/>
          <w:color w:val="auto"/>
        </w:rPr>
        <w:t>CHECK BOX IF THE AGGREGATE AMOUNT IN ROW 9 EXCLUDES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SHARES</w:t>
      </w:r>
    </w:p>
    <w:p>
      <w:pPr>
        <w:spacing w:after="0" w:line="238" w:lineRule="auto"/>
        <w:rPr>
          <w:sz w:val="20"/>
          <w:szCs w:val="20"/>
          <w:color w:val="auto"/>
        </w:rPr>
      </w:pPr>
      <w:r>
        <w:rPr>
          <w:rFonts w:ascii="Courier New" w:cs="Courier New" w:eastAsia="Courier New" w:hAnsi="Courier New"/>
          <w:sz w:val="18"/>
          <w:szCs w:val="18"/>
          <w:color w:val="auto"/>
        </w:rPr>
        <w:t>El</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9.88%</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EP</w:t>
      </w:r>
    </w:p>
    <w:p>
      <w:pPr>
        <w:sectPr>
          <w:pgSz w:w="11900" w:h="16865" w:orient="portrait"/>
          <w:cols w:equalWidth="0" w:num="1">
            <w:col w:w="10139"/>
          </w:cols>
          <w:pgMar w:left="320" w:top="312"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https://sc13g.com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w:t>
      </w:r>
    </w:p>
    <w:p>
      <w:pPr>
        <w:spacing w:after="0" w:line="200" w:lineRule="exact"/>
        <w:rPr>
          <w:sz w:val="20"/>
          <w:szCs w:val="20"/>
          <w:color w:val="auto"/>
        </w:rPr>
      </w:pPr>
    </w:p>
    <w:p>
      <w:pPr>
        <w:sectPr>
          <w:pgSz w:w="11900" w:h="16865" w:orient="portrait"/>
          <w:cols w:equalWidth="0" w:num="2">
            <w:col w:w="1820" w:space="720"/>
            <w:col w:w="7599"/>
          </w:cols>
          <w:pgMar w:left="320" w:top="312" w:right="1440" w:bottom="0" w:gutter="0" w:footer="0" w:header="0"/>
          <w:type w:val="continuous"/>
        </w:sectPr>
      </w:pPr>
    </w:p>
    <w:p>
      <w:pPr>
        <w:spacing w:after="0" w:line="22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11/2/22, 1:53 PM</w:t>
      </w:r>
      <w:r>
        <w:rPr>
          <w:sz w:val="20"/>
          <w:szCs w:val="20"/>
          <w:color w:val="auto"/>
        </w:rPr>
        <w:tab/>
      </w:r>
      <w:r>
        <w:rPr>
          <w:rFonts w:ascii="Courier New" w:cs="Courier New" w:eastAsia="Courier New" w:hAnsi="Courier New"/>
          <w:sz w:val="16"/>
          <w:szCs w:val="16"/>
          <w:color w:val="auto"/>
        </w:rPr>
        <w:t>SECURITIES AND EXCHANGE COMMISSION SCHEDULE 13G</w:t>
      </w:r>
    </w:p>
    <w:p>
      <w:pPr>
        <w:sectPr>
          <w:pgSz w:w="11900" w:h="16865" w:orient="portrait"/>
          <w:cols w:equalWidth="0" w:num="1">
            <w:col w:w="10139"/>
          </w:cols>
          <w:pgMar w:left="320" w:top="312" w:right="144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120" w:right="3079" w:hanging="112"/>
        <w:spacing w:after="0" w:line="257" w:lineRule="auto"/>
        <w:tabs>
          <w:tab w:leader="none" w:pos="8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 Furnish the full legal name of each person for whom the report is filed - i.e., each person</w:t>
      </w:r>
    </w:p>
    <w:p>
      <w:pPr>
        <w:ind w:right="3279"/>
        <w:spacing w:after="0" w:line="238" w:lineRule="auto"/>
        <w:rPr>
          <w:sz w:val="20"/>
          <w:szCs w:val="20"/>
          <w:color w:val="auto"/>
        </w:rPr>
      </w:pPr>
      <w:r>
        <w:rPr>
          <w:rFonts w:ascii="Courier New" w:cs="Courier New" w:eastAsia="Courier New" w:hAnsi="Courier New"/>
          <w:sz w:val="18"/>
          <w:szCs w:val="18"/>
          <w:color w:val="auto"/>
        </w:rPr>
        <w:t>required to sign the schedule itself - including each member of a group. Do not include the name of a person required to be identified in the report but who is not a reporting person.</w:t>
      </w:r>
    </w:p>
    <w:p>
      <w:pPr>
        <w:spacing w:after="0" w:line="1" w:lineRule="exact"/>
        <w:rPr>
          <w:sz w:val="20"/>
          <w:szCs w:val="20"/>
          <w:color w:val="auto"/>
        </w:rPr>
      </w:pPr>
    </w:p>
    <w:p>
      <w:pPr>
        <w:ind w:right="3179" w:firstLine="8"/>
        <w:spacing w:after="0" w:line="238"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 please check row 2(a). If the reporting person disclaims membership in a group or describes a</w:t>
      </w:r>
    </w:p>
    <w:p>
      <w:pPr>
        <w:spacing w:after="0" w:line="1" w:lineRule="exact"/>
        <w:rPr>
          <w:rFonts w:ascii="Courier New" w:cs="Courier New" w:eastAsia="Courier New" w:hAnsi="Courier New"/>
          <w:sz w:val="18"/>
          <w:szCs w:val="18"/>
          <w:color w:val="auto"/>
        </w:rPr>
      </w:pPr>
    </w:p>
    <w:p>
      <w:pPr>
        <w:ind w:right="31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with other person but does not affirm the existence of a group, please check row 2(b) [unless it is a joint filing pursuant to Rule 13d-1(k)(1) in which case it may not be necessary to check row 2(b)].</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ind w:right="3179" w:firstLine="8"/>
        <w:spacing w:after="0" w:line="238"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Furnish citizenship if the named reporting person is a natural person. Otherwise, furnish place of organization.</w:t>
      </w:r>
    </w:p>
    <w:p>
      <w:pPr>
        <w:ind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(5)49), (11) Aggregated Amount Beneficially Owned By Each Reporting Person, etc. - Rows (5) through (9) inclusive,</w:t>
      </w:r>
    </w:p>
    <w:p>
      <w:pPr>
        <w:ind w:right="32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(11) are to be completed in accordance with the provisions of Item 4 of Schedule 13G. All percentages are to be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rounded off to the nearest tenth (one place after decimal point).</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right="78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Category- Symbol Broker Dealer BD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Bank</w:t>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Insurance Company</w:t>
      </w:r>
      <w:r>
        <w:rPr>
          <w:sz w:val="20"/>
          <w:szCs w:val="20"/>
          <w:color w:val="auto"/>
        </w:rPr>
        <w:tab/>
      </w:r>
      <w:r>
        <w:rPr>
          <w:rFonts w:ascii="Courier New" w:cs="Courier New" w:eastAsia="Courier New" w:hAnsi="Courier New"/>
          <w:sz w:val="16"/>
          <w:szCs w:val="16"/>
          <w:color w:val="auto"/>
        </w:rPr>
        <w:t>IC</w:t>
      </w:r>
    </w:p>
    <w:p>
      <w:pPr>
        <w:spacing w:after="0"/>
        <w:tabs>
          <w:tab w:leader="none" w:pos="2520" w:val="left"/>
        </w:tabs>
        <w:rPr>
          <w:sz w:val="20"/>
          <w:szCs w:val="20"/>
          <w:color w:val="auto"/>
        </w:rPr>
      </w:pPr>
      <w:r>
        <w:rPr>
          <w:rFonts w:ascii="Courier New" w:cs="Courier New" w:eastAsia="Courier New" w:hAnsi="Courier New"/>
          <w:sz w:val="18"/>
          <w:szCs w:val="18"/>
          <w:color w:val="auto"/>
        </w:rPr>
        <w:t>Investment Company</w:t>
      </w:r>
      <w:r>
        <w:rPr>
          <w:sz w:val="20"/>
          <w:szCs w:val="20"/>
          <w:color w:val="auto"/>
        </w:rPr>
        <w:tab/>
      </w:r>
      <w:r>
        <w:rPr>
          <w:rFonts w:ascii="Courier New" w:cs="Courier New" w:eastAsia="Courier New" w:hAnsi="Courier New"/>
          <w:sz w:val="16"/>
          <w:szCs w:val="16"/>
          <w:color w:val="auto"/>
        </w:rPr>
        <w:t>IV</w:t>
      </w:r>
    </w:p>
    <w:p>
      <w:pPr>
        <w:spacing w:after="0"/>
        <w:tabs>
          <w:tab w:leader="none" w:pos="2520" w:val="left"/>
        </w:tabs>
        <w:rPr>
          <w:sz w:val="20"/>
          <w:szCs w:val="20"/>
          <w:color w:val="auto"/>
        </w:rPr>
      </w:pPr>
      <w:r>
        <w:rPr>
          <w:rFonts w:ascii="Courier New" w:cs="Courier New" w:eastAsia="Courier New" w:hAnsi="Courier New"/>
          <w:sz w:val="18"/>
          <w:szCs w:val="18"/>
          <w:color w:val="auto"/>
        </w:rPr>
        <w:t>Investment Adviser</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Employee Benefit Plan, Pension Fund, or Endowment Fund</w:t>
        <w:tab/>
        <w:t>EP</w:t>
      </w:r>
    </w:p>
    <w:tbl>
      <w:tblPr>
        <w:tblLayout w:type="fixed"/>
        <w:tblInd w:w="0" w:type="dxa"/>
        <w:tblCellMar>
          <w:top w:w="0" w:type="dxa"/>
          <w:left w:w="0" w:type="dxa"/>
          <w:bottom w:w="0" w:type="dxa"/>
          <w:right w:w="0" w:type="dxa"/>
        </w:tblCellMar>
      </w:tblPr>
      <w:tr>
        <w:trPr>
          <w:trHeight w:val="171"/>
        </w:trPr>
        <w:tc>
          <w:tcPr>
            <w:tcW w:w="4060" w:type="dxa"/>
            <w:vAlign w:val="bottom"/>
            <w:gridSpan w:val="4"/>
          </w:tcPr>
          <w:p>
            <w:pPr>
              <w:spacing w:after="0" w:line="171" w:lineRule="exact"/>
              <w:rPr>
                <w:sz w:val="20"/>
                <w:szCs w:val="20"/>
                <w:color w:val="auto"/>
              </w:rPr>
            </w:pPr>
            <w:r>
              <w:rPr>
                <w:rFonts w:ascii="Courier New" w:cs="Courier New" w:eastAsia="Courier New" w:hAnsi="Courier New"/>
                <w:sz w:val="18"/>
                <w:szCs w:val="18"/>
                <w:color w:val="auto"/>
              </w:rPr>
              <w:t>Parent Holding Company/Control Person</w:t>
            </w:r>
          </w:p>
        </w:tc>
        <w:tc>
          <w:tcPr>
            <w:tcW w:w="38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w w:val="92"/>
              </w:rPr>
              <w:t>HC</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Savings Association</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w:t>
            </w: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Church Plan</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CP</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CO</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PN</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OO</w:t>
            </w: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5"/>
        </w:trPr>
        <w:tc>
          <w:tcPr>
            <w:tcW w:w="740" w:type="dxa"/>
            <w:vAlign w:val="bottom"/>
          </w:tcPr>
          <w:p>
            <w:pPr>
              <w:spacing w:after="0"/>
              <w:rPr>
                <w:sz w:val="20"/>
                <w:szCs w:val="20"/>
                <w:color w:val="auto"/>
              </w:rPr>
            </w:pPr>
            <w:r>
              <w:rPr>
                <w:rFonts w:ascii="Courier New" w:cs="Courier New" w:eastAsia="Courier New" w:hAnsi="Courier New"/>
                <w:sz w:val="18"/>
                <w:szCs w:val="18"/>
                <w:color w:val="auto"/>
              </w:rPr>
              <w:t>Notes: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ind w:right="3699"/>
        <w:spacing w:after="0" w:line="238"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1" w:lineRule="exact"/>
        <w:rPr>
          <w:sz w:val="20"/>
          <w:szCs w:val="20"/>
          <w:color w:val="auto"/>
        </w:rPr>
      </w:pPr>
    </w:p>
    <w:p>
      <w:pPr>
        <w:ind w:right="3599"/>
        <w:spacing w:after="0" w:line="268" w:lineRule="auto"/>
        <w:rPr>
          <w:sz w:val="20"/>
          <w:szCs w:val="20"/>
          <w:color w:val="auto"/>
        </w:rPr>
      </w:pPr>
      <w:r>
        <w:rPr>
          <w:rFonts w:ascii="Courier New" w:cs="Courier New" w:eastAsia="Courier New" w:hAnsi="Courier New"/>
          <w:sz w:val="16"/>
          <w:szCs w:val="16"/>
          <w:color w:val="auto"/>
        </w:rPr>
        <w:t>Filing persons may, in order to avoid unnecessary duplication, answer items on the schedules (Schedule 13D, 13G or TO) by appropriate cross references to an item or items on the cover page(s). This approach may only be used where the cover page item or items provide all the disclosure required by the</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schedule item. Moreover, such a use of a cover page item will result in the item becoming a part of the schedule and accordingly being considered as "filed" for purposes of section 18 of the</w:t>
      </w:r>
    </w:p>
    <w:p>
      <w:pPr>
        <w:spacing w:after="0" w:line="1" w:lineRule="exact"/>
        <w:rPr>
          <w:sz w:val="20"/>
          <w:szCs w:val="20"/>
          <w:color w:val="auto"/>
        </w:rPr>
      </w:pPr>
    </w:p>
    <w:p>
      <w:pPr>
        <w:ind w:right="2659"/>
        <w:spacing w:after="0" w:line="309" w:lineRule="auto"/>
        <w:rPr>
          <w:sz w:val="20"/>
          <w:szCs w:val="20"/>
          <w:color w:val="auto"/>
        </w:rPr>
      </w:pPr>
      <w:r>
        <w:rPr>
          <w:rFonts w:ascii="Courier New" w:cs="Courier New" w:eastAsia="Courier New" w:hAnsi="Courier New"/>
          <w:sz w:val="18"/>
          <w:szCs w:val="18"/>
          <w:color w:val="auto"/>
        </w:rPr>
        <w:t>Securities Exchange Act or otherwise subject to the liabilities of that section of the Act.</w:t>
      </w:r>
    </w:p>
    <w:p>
      <w:pPr>
        <w:sectPr>
          <w:pgSz w:w="11900" w:h="16865" w:orient="portrait"/>
          <w:cols w:equalWidth="0" w:num="1">
            <w:col w:w="10139"/>
          </w:cols>
          <w:pgMar w:left="320" w:top="312" w:right="1440" w:bottom="0" w:gutter="0" w:footer="0" w:header="0"/>
          <w:type w:val="continuous"/>
        </w:sectPr>
      </w:pPr>
    </w:p>
    <w:bookmarkStart w:id="2" w:name="page3"/>
    <w:bookmarkEnd w:id="2"/>
    <w:p>
      <w:pPr>
        <w:ind w:left="120" w:right="2759" w:hanging="104"/>
        <w:spacing w:after="0" w:line="25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w:t>
      </w:r>
    </w:p>
    <w:p>
      <w:pPr>
        <w:ind w:right="3279"/>
        <w:spacing w:after="0" w:line="268" w:lineRule="auto"/>
        <w:rPr>
          <w:sz w:val="20"/>
          <w:szCs w:val="20"/>
          <w:color w:val="auto"/>
        </w:rPr>
      </w:pPr>
      <w:r>
        <w:rPr>
          <w:rFonts w:ascii="Courier New" w:cs="Courier New" w:eastAsia="Courier New" w:hAnsi="Courier New"/>
          <w:sz w:val="16"/>
          <w:szCs w:val="16"/>
          <w:color w:val="auto"/>
        </w:rPr>
        <w:t>forms available from the Commission, printed or typed facsimiles, or computer printed facsimiles, provided the documents</w:t>
      </w:r>
    </w:p>
    <w:p>
      <w:pPr>
        <w:ind w:right="2559"/>
        <w:spacing w:after="0" w:line="238" w:lineRule="auto"/>
        <w:rPr>
          <w:sz w:val="20"/>
          <w:szCs w:val="20"/>
          <w:color w:val="auto"/>
        </w:rPr>
      </w:pPr>
      <w:r>
        <w:rPr>
          <w:rFonts w:ascii="Courier New" w:cs="Courier New" w:eastAsia="Courier New" w:hAnsi="Courier New"/>
          <w:sz w:val="18"/>
          <w:szCs w:val="18"/>
          <w:color w:val="auto"/>
        </w:rPr>
        <w:t>filed have identical formats to the forms prescribed in the Commission's regulations and meet existing Securities Exchange Act rules as to such matters as clarity and size</w:t>
      </w:r>
    </w:p>
    <w:p>
      <w:pPr>
        <w:spacing w:after="0"/>
        <w:rPr>
          <w:sz w:val="20"/>
          <w:szCs w:val="20"/>
          <w:color w:val="auto"/>
        </w:rPr>
      </w:pPr>
      <w:r>
        <w:rPr>
          <w:rFonts w:ascii="Courier New" w:cs="Courier New" w:eastAsia="Courier New" w:hAnsi="Courier New"/>
          <w:sz w:val="18"/>
          <w:szCs w:val="18"/>
          <w:color w:val="auto"/>
        </w:rPr>
        <w:t>(Securities Exchange Act Rule 12b-12).</w:t>
      </w:r>
    </w:p>
    <w:p>
      <w:pPr>
        <w:spacing w:after="0" w:line="238" w:lineRule="auto"/>
        <w:rPr>
          <w:sz w:val="20"/>
          <w:szCs w:val="20"/>
          <w:color w:val="auto"/>
        </w:rPr>
      </w:pPr>
      <w:r>
        <w:rPr>
          <w:rFonts w:ascii="Courier New" w:cs="Courier New" w:eastAsia="Courier New" w:hAnsi="Courier New"/>
          <w:sz w:val="18"/>
          <w:szCs w:val="18"/>
          <w:color w:val="auto"/>
        </w:rPr>
        <w:t>SPECIAL INSTRUCTIONS FOR COMPLYING WITH SCHEDULE 13G</w:t>
      </w:r>
    </w:p>
    <w:p>
      <w:pPr>
        <w:ind w:right="3499"/>
        <w:spacing w:after="0" w:line="238"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rPr>
          <w:sz w:val="20"/>
          <w:szCs w:val="20"/>
          <w:color w:val="auto"/>
        </w:rPr>
      </w:pPr>
      <w:r>
        <w:rPr>
          <w:rFonts w:ascii="Courier New" w:cs="Courier New" w:eastAsia="Courier New" w:hAnsi="Courier New"/>
          <w:sz w:val="18"/>
          <w:szCs w:val="18"/>
          <w:color w:val="auto"/>
        </w:rPr>
        <w:t>Disclosure of the information specified in this schedule is mandatory.</w:t>
      </w:r>
    </w:p>
    <w:p>
      <w:pPr>
        <w:spacing w:after="0" w:line="238" w:lineRule="auto"/>
        <w:rPr>
          <w:sz w:val="20"/>
          <w:szCs w:val="20"/>
          <w:color w:val="auto"/>
        </w:rPr>
      </w:pPr>
      <w:r>
        <w:rPr>
          <w:rFonts w:ascii="Courier New" w:cs="Courier New" w:eastAsia="Courier New" w:hAnsi="Courier New"/>
          <w:sz w:val="18"/>
          <w:szCs w:val="18"/>
          <w:color w:val="auto"/>
        </w:rPr>
        <w:t>The information will be used for the primary purpose</w:t>
      </w:r>
    </w:p>
    <w:p>
      <w:pPr>
        <w:ind w:left="120" w:right="2659" w:hanging="104"/>
        <w:spacing w:after="0" w:line="238" w:lineRule="auto"/>
        <w:rPr>
          <w:sz w:val="20"/>
          <w:szCs w:val="20"/>
          <w:color w:val="auto"/>
        </w:rPr>
      </w:pPr>
      <w:r>
        <w:rPr>
          <w:rFonts w:ascii="Courier New" w:cs="Courier New" w:eastAsia="Courier New" w:hAnsi="Courier New"/>
          <w:sz w:val="18"/>
          <w:szCs w:val="18"/>
          <w:color w:val="auto"/>
        </w:rPr>
        <w:t>of determining and disclosing the holdings of certain beneficial owners of certain equity securities. This statement will be</w:t>
      </w:r>
    </w:p>
    <w:p>
      <w:pPr>
        <w:spacing w:after="0" w:line="1" w:lineRule="exact"/>
        <w:rPr>
          <w:sz w:val="20"/>
          <w:szCs w:val="20"/>
          <w:color w:val="auto"/>
        </w:rPr>
      </w:pPr>
    </w:p>
    <w:p>
      <w:pPr>
        <w:ind w:right="2859"/>
        <w:spacing w:after="0" w:line="238" w:lineRule="auto"/>
        <w:rPr>
          <w:sz w:val="20"/>
          <w:szCs w:val="20"/>
          <w:color w:val="auto"/>
        </w:rPr>
      </w:pPr>
      <w:r>
        <w:rPr>
          <w:rFonts w:ascii="Courier New" w:cs="Courier New" w:eastAsia="Courier New" w:hAnsi="Courier New"/>
          <w:sz w:val="18"/>
          <w:szCs w:val="18"/>
          <w:color w:val="auto"/>
        </w:rPr>
        <w:t>made a matter of public record. Therefore, any information given will be available for inspection by any member of the</w:t>
      </w: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line="171" w:lineRule="exact"/>
              <w:rPr>
                <w:sz w:val="20"/>
                <w:szCs w:val="20"/>
                <w:color w:val="auto"/>
              </w:rPr>
            </w:pPr>
            <w:r>
              <w:rPr>
                <w:rFonts w:ascii="Courier New" w:cs="Courier New" w:eastAsia="Courier New" w:hAnsi="Courier New"/>
                <w:sz w:val="18"/>
                <w:szCs w:val="18"/>
                <w:color w:val="auto"/>
              </w:rPr>
              <w:t>public.</w:t>
            </w:r>
          </w:p>
        </w:tc>
        <w:tc>
          <w:tcPr>
            <w:tcW w:w="532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https://sc13g.com</w:t>
            </w:r>
          </w:p>
        </w:tc>
        <w:tc>
          <w:tcPr>
            <w:tcW w:w="5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160" w:type="dxa"/>
            <w:vAlign w:val="bottom"/>
          </w:tcPr>
          <w:p>
            <w:pPr>
              <w:spacing w:after="0"/>
              <w:rPr>
                <w:sz w:val="20"/>
                <w:szCs w:val="20"/>
                <w:color w:val="auto"/>
              </w:rPr>
            </w:pPr>
            <w:r>
              <w:rPr>
                <w:rFonts w:ascii="Courier New" w:cs="Courier New" w:eastAsia="Courier New" w:hAnsi="Courier New"/>
                <w:sz w:val="18"/>
                <w:szCs w:val="18"/>
                <w:color w:val="auto"/>
              </w:rPr>
              <w:t>11/2/22, 1:53 PM</w:t>
            </w:r>
          </w:p>
        </w:tc>
        <w:tc>
          <w:tcPr>
            <w:tcW w:w="5320" w:type="dxa"/>
            <w:vAlign w:val="bottom"/>
          </w:tcPr>
          <w:p>
            <w:pPr>
              <w:ind w:left="380"/>
              <w:spacing w:after="0"/>
              <w:rPr>
                <w:sz w:val="20"/>
                <w:szCs w:val="20"/>
                <w:color w:val="auto"/>
              </w:rPr>
            </w:pPr>
            <w:r>
              <w:rPr>
                <w:rFonts w:ascii="Courier New" w:cs="Courier New" w:eastAsia="Courier New" w:hAnsi="Courier New"/>
                <w:sz w:val="18"/>
                <w:szCs w:val="18"/>
                <w:color w:val="auto"/>
                <w:w w:val="96"/>
              </w:rPr>
              <w:t>SECURITIES AND EXCHANGE COMMISSION SCHEDULE 13G</w:t>
            </w:r>
          </w:p>
        </w:tc>
        <w:tc>
          <w:tcPr>
            <w:tcW w:w="0" w:type="dxa"/>
            <w:vAlign w:val="bottom"/>
          </w:tcPr>
          <w:p>
            <w:pPr>
              <w:spacing w:after="0"/>
              <w:rPr>
                <w:sz w:val="1"/>
                <w:szCs w:val="1"/>
                <w:color w:val="auto"/>
              </w:rPr>
            </w:pPr>
          </w:p>
        </w:tc>
      </w:tr>
    </w:tbl>
    <w:p>
      <w:pPr>
        <w:jc w:val="both"/>
        <w:ind w:right="2659"/>
        <w:spacing w:after="0" w:line="238" w:lineRule="auto"/>
        <w:rPr>
          <w:sz w:val="20"/>
          <w:szCs w:val="20"/>
          <w:color w:val="auto"/>
        </w:rPr>
      </w:pPr>
      <w:r>
        <w:rPr>
          <w:rFonts w:ascii="Courier New" w:cs="Courier New" w:eastAsia="Courier New" w:hAnsi="Courier New"/>
          <w:sz w:val="18"/>
          <w:szCs w:val="18"/>
          <w:color w:val="auto"/>
        </w:rPr>
        <w:t>Because of the public nature of the information, the Commission can use it for a variety of purposes, including referral to</w:t>
      </w:r>
    </w:p>
    <w:p>
      <w:pPr>
        <w:spacing w:after="0" w:line="1" w:lineRule="exact"/>
        <w:rPr>
          <w:sz w:val="20"/>
          <w:szCs w:val="20"/>
          <w:color w:val="auto"/>
        </w:rPr>
      </w:pPr>
    </w:p>
    <w:p>
      <w:pPr>
        <w:ind w:left="120" w:right="2339" w:hanging="104"/>
        <w:spacing w:after="0" w:line="238" w:lineRule="auto"/>
        <w:rPr>
          <w:sz w:val="20"/>
          <w:szCs w:val="20"/>
          <w:color w:val="auto"/>
        </w:rPr>
      </w:pPr>
      <w:r>
        <w:rPr>
          <w:rFonts w:ascii="Courier New" w:cs="Courier New" w:eastAsia="Courier New" w:hAnsi="Courier New"/>
          <w:sz w:val="18"/>
          <w:szCs w:val="18"/>
          <w:color w:val="auto"/>
        </w:rPr>
        <w:t>other governmental authorities or securities self-regulatory organizations for investigatory purposes or in connection with</w:t>
      </w:r>
    </w:p>
    <w:p>
      <w:pPr>
        <w:spacing w:after="0" w:line="1" w:lineRule="exact"/>
        <w:rPr>
          <w:sz w:val="20"/>
          <w:szCs w:val="20"/>
          <w:color w:val="auto"/>
        </w:rPr>
      </w:pPr>
    </w:p>
    <w:p>
      <w:pPr>
        <w:ind w:left="120" w:right="2439" w:hanging="104"/>
        <w:spacing w:after="0" w:line="238" w:lineRule="auto"/>
        <w:rPr>
          <w:sz w:val="20"/>
          <w:szCs w:val="20"/>
          <w:color w:val="auto"/>
        </w:rPr>
      </w:pPr>
      <w:r>
        <w:rPr>
          <w:rFonts w:ascii="Courier New" w:cs="Courier New" w:eastAsia="Courier New" w:hAnsi="Courier New"/>
          <w:sz w:val="18"/>
          <w:szCs w:val="18"/>
          <w:color w:val="auto"/>
        </w:rPr>
        <w:t>litigation involving the Federal securities laws or other civil, criminal or regulatory statutes or provisions.</w:t>
      </w:r>
    </w:p>
    <w:p>
      <w:pPr>
        <w:spacing w:after="0" w:line="1" w:lineRule="exact"/>
        <w:rPr>
          <w:sz w:val="20"/>
          <w:szCs w:val="20"/>
          <w:color w:val="auto"/>
        </w:rPr>
      </w:pPr>
    </w:p>
    <w:p>
      <w:pPr>
        <w:ind w:left="120" w:right="2439" w:hanging="104"/>
        <w:spacing w:after="0" w:line="238" w:lineRule="auto"/>
        <w:rPr>
          <w:sz w:val="20"/>
          <w:szCs w:val="20"/>
          <w:color w:val="auto"/>
        </w:rPr>
      </w:pPr>
      <w:r>
        <w:rPr>
          <w:rFonts w:ascii="Courier New" w:cs="Courier New" w:eastAsia="Courier New" w:hAnsi="Courier New"/>
          <w:sz w:val="18"/>
          <w:szCs w:val="18"/>
          <w:color w:val="auto"/>
        </w:rPr>
        <w:t>Failure to disclose the information requested by this schedule may result in civil or criminal action against the persons</w:t>
      </w:r>
    </w:p>
    <w:p>
      <w:pPr>
        <w:spacing w:after="0"/>
        <w:rPr>
          <w:sz w:val="20"/>
          <w:szCs w:val="20"/>
          <w:color w:val="auto"/>
        </w:rPr>
      </w:pPr>
      <w:r>
        <w:rPr>
          <w:rFonts w:ascii="Courier New" w:cs="Courier New" w:eastAsia="Courier New" w:hAnsi="Courier New"/>
          <w:sz w:val="18"/>
          <w:szCs w:val="18"/>
          <w:color w:val="auto"/>
        </w:rPr>
        <w:t>involved for violation of the Federal securities laws and rules</w:t>
      </w:r>
    </w:p>
    <w:p>
      <w:pPr>
        <w:spacing w:after="0" w:line="238" w:lineRule="auto"/>
        <w:rPr>
          <w:sz w:val="20"/>
          <w:szCs w:val="20"/>
          <w:color w:val="auto"/>
        </w:rPr>
      </w:pPr>
      <w:r>
        <w:rPr>
          <w:rFonts w:ascii="Courier New" w:cs="Courier New" w:eastAsia="Courier New" w:hAnsi="Courier New"/>
          <w:sz w:val="18"/>
          <w:szCs w:val="18"/>
          <w:color w:val="auto"/>
        </w:rPr>
        <w:t>promulgated thereunder.</w:t>
      </w:r>
    </w:p>
    <w:p>
      <w:pPr>
        <w:spacing w:after="0" w:line="238" w:lineRule="auto"/>
        <w:rPr>
          <w:sz w:val="20"/>
          <w:szCs w:val="20"/>
          <w:color w:val="auto"/>
        </w:rPr>
      </w:pPr>
      <w:r>
        <w:rPr>
          <w:rFonts w:ascii="Courier New" w:cs="Courier New" w:eastAsia="Courier New" w:hAnsi="Courier New"/>
          <w:sz w:val="18"/>
          <w:szCs w:val="18"/>
          <w:color w:val="auto"/>
        </w:rPr>
        <w:t>GENERAL INSTRUCTIONS</w:t>
      </w:r>
    </w:p>
    <w:p>
      <w:pPr>
        <w:spacing w:after="0" w:line="1" w:lineRule="exact"/>
        <w:rPr>
          <w:sz w:val="20"/>
          <w:szCs w:val="20"/>
          <w:color w:val="auto"/>
        </w:rPr>
      </w:pPr>
    </w:p>
    <w:p>
      <w:pPr>
        <w:ind w:right="32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w:t>
      </w:r>
    </w:p>
    <w:p>
      <w:pPr>
        <w:ind w:left="120" w:right="327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later than February 14 following the calendar year covered by the statement or within the time specified in Rules</w:t>
      </w:r>
    </w:p>
    <w:p>
      <w:pPr>
        <w:ind w:left="120" w:right="297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13d-1(b)(2) and 13d-2(c). Statements filed pursuant to Rule 13d-1(d) shall be filed within the time specified in Rules</w:t>
      </w:r>
    </w:p>
    <w:p>
      <w:pPr>
        <w:ind w:right="33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13d-1(c), 13d-2(b) and 13d-2(d). Statements filed pursuant to Rule 13d-1(c) shall be filed not later than February 14 following the calendar year covered by the statement pursuant to Rules 13d-1(d) and 13d-2(b).</w:t>
      </w:r>
    </w:p>
    <w:p>
      <w:pPr>
        <w:spacing w:after="0" w:line="1" w:lineRule="exact"/>
        <w:rPr>
          <w:rFonts w:ascii="Courier New" w:cs="Courier New" w:eastAsia="Courier New" w:hAnsi="Courier New"/>
          <w:sz w:val="18"/>
          <w:szCs w:val="18"/>
          <w:color w:val="auto"/>
        </w:rPr>
      </w:pPr>
    </w:p>
    <w:p>
      <w:pPr>
        <w:ind w:right="31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(15 U.S.C. 78m(f)) for the same calendar year as that covered by a statement on this schedule may be incorporated by reference in response to</w:t>
      </w:r>
    </w:p>
    <w:p>
      <w:pPr>
        <w:spacing w:after="0" w:line="1" w:lineRule="exact"/>
        <w:rPr>
          <w:rFonts w:ascii="Courier New" w:cs="Courier New" w:eastAsia="Courier New" w:hAnsi="Courier New"/>
          <w:sz w:val="18"/>
          <w:szCs w:val="18"/>
          <w:color w:val="auto"/>
        </w:rPr>
      </w:pPr>
    </w:p>
    <w:p>
      <w:pPr>
        <w:ind w:left="120" w:right="27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items of this schedule. If such information is incorporated by reference in this schedule, copies of the</w:t>
      </w:r>
    </w:p>
    <w:p>
      <w:pPr>
        <w:ind w:right="33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relevant pages of such form shall be filed as an exhibit to this schedule.</w:t>
      </w:r>
    </w:p>
    <w:p>
      <w:pPr>
        <w:ind w:right="29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numbers and captions of the items shall be included but the text of the items is to be omitted. The answers</w:t>
      </w:r>
    </w:p>
    <w:p>
      <w:pPr>
        <w:ind w:left="120" w:right="28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items shall be so prepared as to indicate clearly the coverage of the items without referring to the text of the</w:t>
      </w:r>
    </w:p>
    <w:p>
      <w:pPr>
        <w:ind w:right="31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 Answer every item. If an item is inapplicable or the answer is in the negative, so state.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Sixth Street Lending Partners</w:t>
      </w:r>
    </w:p>
    <w:p>
      <w:pPr>
        <w:ind w:right="381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2100 Mckinney Avenue, Suite 1500, Dallas, TX 7501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ind w:left="120" w:right="317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State of Connecticut, acting through its Treasurer</w:t>
      </w:r>
    </w:p>
    <w:p>
      <w:pPr>
        <w:ind w:left="120" w:right="275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55 ELM STREET, HARTFORD, CT, 06106</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United States</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 of Beneficial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N/A</w:t>
      </w:r>
    </w:p>
    <w:p>
      <w:pPr>
        <w:ind w:right="3699"/>
        <w:spacing w:after="0" w:line="238" w:lineRule="auto"/>
        <w:rPr>
          <w:sz w:val="20"/>
          <w:szCs w:val="20"/>
          <w:color w:val="auto"/>
        </w:rPr>
      </w:pPr>
      <w:r>
        <w:rPr>
          <w:rFonts w:ascii="Courier New" w:cs="Courier New" w:eastAsia="Courier New" w:hAnsi="Courier New"/>
          <w:sz w:val="18"/>
          <w:szCs w:val="18"/>
          <w:color w:val="auto"/>
        </w:rPr>
        <w:t>Item 3. If this statement is filed pursuant to ??240.13d-1(b) or 240.13d-2(b) or (c), check whether the person filing is a:</w:t>
      </w:r>
    </w:p>
    <w:p>
      <w:pPr>
        <w:spacing w:after="0" w:line="1" w:lineRule="exact"/>
        <w:rPr>
          <w:sz w:val="20"/>
          <w:szCs w:val="20"/>
          <w:color w:val="auto"/>
        </w:rPr>
      </w:pPr>
    </w:p>
    <w:p>
      <w:pPr>
        <w:ind w:left="120" w:right="3499" w:hanging="11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 broker or dealer registered under section 15 of the Act (15 U.S.C. 78o);</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 bank as defined in section 3(a)(6) of the Act</w:t>
      </w:r>
    </w:p>
    <w:p>
      <w:pPr>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p An insurance company as defined in section 3(a)(19) of the Act</w:t>
      </w:r>
    </w:p>
    <w:p>
      <w:pPr>
        <w:sectPr>
          <w:pgSz w:w="11900" w:h="16838" w:orient="portrait"/>
          <w:cols w:equalWidth="0" w:num="1">
            <w:col w:w="10139"/>
          </w:cols>
          <w:pgMar w:left="320" w:top="110" w:right="1440" w:bottom="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(15 U.S.C. 78c);</w:t>
      </w:r>
    </w:p>
    <w:p>
      <w:pPr>
        <w:spacing w:after="0" w:line="31" w:lineRule="exact"/>
        <w:rPr>
          <w:sz w:val="20"/>
          <w:szCs w:val="20"/>
          <w:color w:val="auto"/>
        </w:rPr>
      </w:pPr>
    </w:p>
    <w:p>
      <w:pPr>
        <w:ind w:right="3279" w:firstLine="8"/>
        <w:spacing w:after="0" w:line="238"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An investment company registered under section 8 of the Investment Company Act of 1940 (15 U.S.C 80a-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An investment adviser in accordance with ?240.13d-1(b)(1)(ii)(E);</w:t>
      </w:r>
    </w:p>
    <w:p>
      <w:pPr>
        <w:ind w:right="24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x An employee benefit plan or endowment fund in accordance with ? 240.13d-1(b)(1)(ii)(F);</w:t>
      </w:r>
    </w:p>
    <w:p>
      <w:pPr>
        <w:ind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 240.13d-1(b)(1)(ii)(G);</w:t>
      </w:r>
    </w:p>
    <w:p>
      <w:pPr>
        <w:spacing w:after="0" w:line="1" w:lineRule="exact"/>
        <w:rPr>
          <w:sz w:val="20"/>
          <w:szCs w:val="20"/>
          <w:color w:val="auto"/>
        </w:rPr>
      </w:pPr>
    </w:p>
    <w:p>
      <w:pPr>
        <w:ind w:left="120" w:right="2559" w:hanging="112"/>
        <w:spacing w:after="0" w:line="238"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 w:lineRule="exact"/>
        <w:rPr>
          <w:sz w:val="20"/>
          <w:szCs w:val="20"/>
          <w:color w:val="auto"/>
        </w:rPr>
      </w:pPr>
    </w:p>
    <w:p>
      <w:pPr>
        <w:ind w:right="2019" w:firstLine="8"/>
        <w:spacing w:after="0" w:line="238"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 church plan that is excluded from the definition of an investment company under section 3(c)(14)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Act of 1940 (15 U.S.C. 80a-3);</w:t>
      </w: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non-U.S. institution in accordance with ? 240.13d-1(b)(1)(ii)(J; and</w:t>
      </w:r>
    </w:p>
    <w:p>
      <w:pPr>
        <w:spacing w:after="0" w:line="21" w:lineRule="exact"/>
        <w:rPr>
          <w:rFonts w:ascii="Courier New" w:cs="Courier New" w:eastAsia="Courier New" w:hAnsi="Courier New"/>
          <w:sz w:val="16"/>
          <w:szCs w:val="16"/>
          <w:color w:val="auto"/>
        </w:rPr>
      </w:pPr>
    </w:p>
    <w:p>
      <w:pPr>
        <w:ind w:left="860" w:hanging="852"/>
        <w:spacing w:after="0" w:line="238"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in accordance with ?240.13d-1(b)(1)(ii)(K). ). If a member</w:t>
      </w:r>
    </w:p>
    <w:p>
      <w:pPr>
        <w:ind w:left="120"/>
        <w:spacing w:after="0" w:line="238" w:lineRule="auto"/>
        <w:rPr>
          <w:sz w:val="20"/>
          <w:szCs w:val="20"/>
          <w:color w:val="auto"/>
        </w:rPr>
      </w:pPr>
      <w:r>
        <w:rPr>
          <w:rFonts w:ascii="Courier New" w:cs="Courier New" w:eastAsia="Courier New" w:hAnsi="Courier New"/>
          <w:sz w:val="18"/>
          <w:szCs w:val="18"/>
          <w:color w:val="auto"/>
        </w:rPr>
        <w:t>of the group is filing as a non-U.S.</w:t>
      </w:r>
    </w:p>
    <w:p>
      <w:pPr>
        <w:spacing w:after="0"/>
        <w:rPr>
          <w:sz w:val="20"/>
          <w:szCs w:val="20"/>
          <w:color w:val="auto"/>
        </w:rPr>
      </w:pPr>
      <w:r>
        <w:rPr>
          <w:rFonts w:ascii="Courier New" w:cs="Courier New" w:eastAsia="Courier New" w:hAnsi="Courier New"/>
          <w:sz w:val="18"/>
          <w:szCs w:val="18"/>
          <w:color w:val="auto"/>
        </w:rPr>
        <w:t>institution in accordance with ?240.13d-1(b)(1)(ii)(J), please specify the</w:t>
      </w: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line="170" w:lineRule="exact"/>
              <w:rPr>
                <w:sz w:val="20"/>
                <w:szCs w:val="20"/>
                <w:color w:val="auto"/>
              </w:rPr>
            </w:pPr>
            <w:r>
              <w:rPr>
                <w:rFonts w:ascii="Courier New" w:cs="Courier New" w:eastAsia="Courier New" w:hAnsi="Courier New"/>
                <w:sz w:val="18"/>
                <w:szCs w:val="18"/>
                <w:color w:val="auto"/>
              </w:rPr>
              <w:t>type of</w:t>
            </w:r>
          </w:p>
        </w:tc>
        <w:tc>
          <w:tcPr>
            <w:tcW w:w="152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rPr>
              <w:t>institution:</w:t>
            </w:r>
          </w:p>
        </w:tc>
        <w:tc>
          <w:tcPr>
            <w:tcW w:w="5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96"/>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https://sc13g.com</w:t>
            </w:r>
          </w:p>
        </w:tc>
        <w:tc>
          <w:tcPr>
            <w:tcW w:w="5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11/2/22, 1:53 PM</w:t>
            </w:r>
          </w:p>
        </w:tc>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w w:val="96"/>
              </w:rPr>
              <w:t>SECURITIES AND EXCHANGE COMMISSION SCHEDULE 13G</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2979"/>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1,470,977</w:t>
      </w:r>
    </w:p>
    <w:p>
      <w:pPr>
        <w:spacing w:after="0"/>
        <w:tabs>
          <w:tab w:leader="none" w:pos="840" w:val="left"/>
          <w:tab w:leader="none" w:pos="284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tab/>
        <w:t>9.88%</w:t>
      </w:r>
      <w:r>
        <w:rPr>
          <w:sz w:val="20"/>
          <w:szCs w:val="20"/>
          <w:color w:val="auto"/>
        </w:rPr>
        <w:tab/>
      </w:r>
      <w:r>
        <w:rPr>
          <w:rFonts w:ascii="Courier New" w:cs="Courier New" w:eastAsia="Courier New" w:hAnsi="Courier New"/>
          <w:sz w:val="16"/>
          <w:szCs w:val="16"/>
          <w:color w:val="auto"/>
        </w:rPr>
        <w:t>.</w:t>
      </w: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100%</w:t>
      </w:r>
    </w:p>
    <w:p>
      <w:pPr>
        <w:ind w:right="2979" w:firstLine="8"/>
        <w:spacing w:after="0" w:line="238"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Instruction. For computations regarding securities which represent a right to acquire an underlying security see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?240.13d-3(d)(1).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Ownership of Five Percent or Less of a Class</w:t>
      </w:r>
    </w:p>
    <w:p>
      <w:pPr>
        <w:ind w:right="275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D.</w:t>
      </w:r>
    </w:p>
    <w:p>
      <w:pPr>
        <w:spacing w:after="0" w:line="1" w:lineRule="exact"/>
        <w:rPr>
          <w:rFonts w:ascii="Courier New" w:cs="Courier New" w:eastAsia="Courier New" w:hAnsi="Courier New"/>
          <w:sz w:val="18"/>
          <w:szCs w:val="18"/>
          <w:color w:val="auto"/>
        </w:rPr>
      </w:pPr>
    </w:p>
    <w:p>
      <w:pPr>
        <w:ind w:right="25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Instruction: Dissolution of a group requires a response to this item. Item 6. Ownership of More than Five Percent on Behalf of Another Person.</w:t>
      </w:r>
    </w:p>
    <w:p>
      <w:pPr>
        <w:ind w:left="120" w:right="2759" w:firstLine="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other person is known to have the right to receive or the power to direct the receipt of dividends from, or the</w:t>
      </w:r>
    </w:p>
    <w:p>
      <w:pPr>
        <w:ind w:left="120" w:right="27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proceeds from the sale of, such securities, a statement to that effect should be included in response to this item and, if such</w:t>
      </w:r>
    </w:p>
    <w:p>
      <w:pPr>
        <w:ind w:right="27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relates to more than five percent of the class, such person should be identified. A listing of the shareholders of an investment company registered under the Investment Company Act of 1940 or the beneficiaries of employee benefit plan,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pension fund or endowment fund is not required.</w:t>
      </w:r>
    </w:p>
    <w:p>
      <w:pPr>
        <w:ind w:right="32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Identification and Classification of the Subsidiary Which Acquired the Security Being Reported on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right="307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parent holding company has filed this schedule, pursuant to Rule 13d-1(b)(ii)(G), so indicate under Item 3(g) and</w:t>
      </w:r>
    </w:p>
    <w:p>
      <w:pPr>
        <w:ind w:right="29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attach an exhibit stating the identity and the Item 3 classification of the relevant subsidiary. If a parent holding company has</w:t>
      </w:r>
    </w:p>
    <w:p>
      <w:pPr>
        <w:ind w:left="120" w:right="27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filed this schedule pursuant to Rule 13d-1(c) or Rule 13d-1(d), attach an exhibit stating the identification of the relevant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Identification and Classification of Members of the Group</w:t>
      </w:r>
    </w:p>
    <w:p>
      <w:pPr>
        <w:ind w:right="285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group has filed this schedule pursuant to ?240.13d-1(b)(1) (ii)(J), so indicate under Item 3(j) and attach an exhibit</w:t>
      </w:r>
    </w:p>
    <w:p>
      <w:pPr>
        <w:ind w:right="27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the identity and Item 3 classification of each member of the group. If a group has filed this schedule pursuant to ?240.13d-1(c) or ?240.13d-1(d), attach an exhibit stating the identity of each member of the group.</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w:t>
      </w:r>
    </w:p>
    <w:p>
      <w:pPr>
        <w:ind w:right="285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w:t>
      </w:r>
    </w:p>
    <w:p>
      <w:pPr>
        <w:ind w:right="28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filings with respect to transactions in the security reported on will be filed, if required, by members of the group, in their individual capacity. See Item 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ind w:right="28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The following certification shall be included if the statement is filed pursuant to 5C 240.13d-1(b):</w:t>
      </w:r>
    </w:p>
    <w:p>
      <w:pPr>
        <w:sectPr>
          <w:pgSz w:w="11900" w:h="16838" w:orient="portrait"/>
          <w:cols w:equalWidth="0" w:num="1">
            <w:col w:w="10139"/>
          </w:cols>
          <w:pgMar w:left="320" w:top="110" w:right="1440" w:bottom="14"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https://sc13g.com</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5/6</w:t>
            </w:r>
          </w:p>
        </w:tc>
        <w:tc>
          <w:tcPr>
            <w:tcW w:w="3420" w:type="dxa"/>
            <w:vAlign w:val="bottom"/>
          </w:tcPr>
          <w:p>
            <w:pPr>
              <w:spacing w:after="0"/>
              <w:rPr>
                <w:sz w:val="24"/>
                <w:szCs w:val="24"/>
                <w:color w:val="auto"/>
              </w:rPr>
            </w:pPr>
          </w:p>
        </w:tc>
      </w:tr>
      <w:tr>
        <w:trPr>
          <w:trHeight w:val="514"/>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11/2/22, 1:53 PM</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w w:val="99"/>
              </w:rPr>
              <w:t>SECURITIES AND</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EXCHANGE COMMISSION SCHEDULE 13G</w:t>
            </w:r>
          </w:p>
        </w:tc>
      </w:tr>
      <w:tr>
        <w:trPr>
          <w:trHeight w:val="203"/>
        </w:trPr>
        <w:tc>
          <w:tcPr>
            <w:tcW w:w="748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 of my knowledge and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belief,</w:t>
            </w:r>
          </w:p>
        </w:tc>
        <w:tc>
          <w:tcPr>
            <w:tcW w:w="6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securities referred to above were acquired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are</w:t>
            </w:r>
          </w:p>
        </w:tc>
        <w:tc>
          <w:tcPr>
            <w:tcW w:w="6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held in the ordinary course of business and were not acquired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are</w:t>
            </w:r>
          </w:p>
        </w:tc>
        <w:tc>
          <w:tcPr>
            <w:tcW w:w="6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not held for the purpose of or with the effect of</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changing or influencing the control of the issuer of the securities</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and were not acquired and are not held in connection with</w:t>
            </w:r>
          </w:p>
        </w:tc>
      </w:tr>
      <w:tr>
        <w:trPr>
          <w:trHeight w:val="234"/>
        </w:trPr>
        <w:tc>
          <w:tcPr>
            <w:tcW w:w="800" w:type="dxa"/>
            <w:vAlign w:val="bottom"/>
          </w:tcPr>
          <w:p>
            <w:pPr>
              <w:spacing w:after="0"/>
              <w:rPr>
                <w:sz w:val="20"/>
                <w:szCs w:val="20"/>
                <w:color w:val="auto"/>
              </w:rPr>
            </w:pPr>
            <w:r>
              <w:rPr>
                <w:rFonts w:ascii="Courier New" w:cs="Courier New" w:eastAsia="Courier New" w:hAnsi="Courier New"/>
                <w:sz w:val="18"/>
                <w:szCs w:val="18"/>
                <w:color w:val="auto"/>
              </w:rPr>
              <w:t>or as a</w:t>
            </w:r>
          </w:p>
        </w:tc>
        <w:tc>
          <w:tcPr>
            <w:tcW w:w="6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participant in any transaction having that purpose or effect,</w:t>
            </w:r>
          </w:p>
        </w:tc>
      </w:tr>
    </w:tbl>
    <w:p>
      <w:pPr>
        <w:ind w:right="4979"/>
        <w:spacing w:after="0" w:line="238" w:lineRule="auto"/>
        <w:rPr>
          <w:sz w:val="20"/>
          <w:szCs w:val="20"/>
          <w:color w:val="auto"/>
        </w:rPr>
      </w:pPr>
      <w:r>
        <w:rPr>
          <w:rFonts w:ascii="Courier New" w:cs="Courier New" w:eastAsia="Courier New" w:hAnsi="Courier New"/>
          <w:sz w:val="18"/>
          <w:szCs w:val="18"/>
          <w:color w:val="auto"/>
        </w:rPr>
        <w:t>other than activities solely in connection with a nomination under ? 240.14a-11.</w:t>
      </w:r>
    </w:p>
    <w:p>
      <w:pPr>
        <w:spacing w:after="0" w:line="1" w:lineRule="exact"/>
        <w:rPr>
          <w:sz w:val="20"/>
          <w:szCs w:val="20"/>
          <w:color w:val="auto"/>
        </w:rPr>
      </w:pPr>
    </w:p>
    <w:p>
      <w:pPr>
        <w:ind w:left="120" w:right="2759" w:hanging="112"/>
        <w:spacing w:after="0" w:line="238" w:lineRule="auto"/>
        <w:tabs>
          <w:tab w:leader="none" w:pos="8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 240.13d-1(b)(1)(ii)(J), or if the</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statement is filed pursuant to ? 240.13d-1(b)(1)(ii)(K) and a member of the group is a non-U.S. institution eligible to file pursuant to ? 240. 13d- 1 (b)(1)(ii)(J):</w:t>
      </w:r>
    </w:p>
    <w:p>
      <w:pPr>
        <w:spacing w:after="0" w:line="1" w:lineRule="exact"/>
        <w:rPr>
          <w:sz w:val="20"/>
          <w:szCs w:val="20"/>
          <w:color w:val="auto"/>
        </w:rPr>
      </w:pPr>
    </w:p>
    <w:p>
      <w:pPr>
        <w:ind w:right="3179" w:firstLine="632"/>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foreign regulatory scheme applicable to</w:t>
      </w:r>
    </w:p>
    <w:p>
      <w:pPr>
        <w:ind w:left="120" w:right="2659" w:hanging="104"/>
        <w:spacing w:after="0" w:line="238" w:lineRule="auto"/>
        <w:rPr>
          <w:sz w:val="20"/>
          <w:szCs w:val="20"/>
          <w:color w:val="auto"/>
        </w:rPr>
      </w:pPr>
      <w:r>
        <w:rPr>
          <w:rFonts w:ascii="Courier New" w:cs="Courier New" w:eastAsia="Courier New" w:hAnsi="Courier New"/>
          <w:sz w:val="18"/>
          <w:szCs w:val="18"/>
          <w:color w:val="auto"/>
        </w:rPr>
        <w:t>[insert particular category of institutional investor] is substantially comparable to the regulatory scheme applicable to the</w:t>
      </w:r>
    </w:p>
    <w:p>
      <w:pPr>
        <w:spacing w:after="0" w:line="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8"/>
          <w:szCs w:val="18"/>
          <w:color w:val="auto"/>
        </w:rPr>
        <w:t>functionally equivalent U.S. institution(s). I also undertake to furnish to the Commission staff, upon request, information that would otherwise be disclosed in a Schedule 13D.</w:t>
      </w:r>
    </w:p>
    <w:p>
      <w:pPr>
        <w:spacing w:after="0" w:line="1" w:lineRule="exact"/>
        <w:rPr>
          <w:sz w:val="20"/>
          <w:szCs w:val="20"/>
          <w:color w:val="auto"/>
        </w:rPr>
      </w:pPr>
    </w:p>
    <w:p>
      <w:pPr>
        <w:ind w:left="120" w:right="2759" w:hanging="112"/>
        <w:spacing w:after="0" w:line="238" w:lineRule="auto"/>
        <w:tabs>
          <w:tab w:leader="none" w:pos="8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 240.13d-1(c):</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w:t>
      </w:r>
    </w:p>
    <w:p>
      <w:pPr>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not</w:t>
      </w:r>
    </w:p>
    <w:p>
      <w:pPr>
        <w:spacing w:after="0"/>
        <w:rPr>
          <w:sz w:val="20"/>
          <w:szCs w:val="20"/>
          <w:color w:val="auto"/>
        </w:rPr>
      </w:pPr>
      <w:r>
        <w:rPr>
          <w:rFonts w:ascii="Courier New" w:cs="Courier New" w:eastAsia="Courier New" w:hAnsi="Courier New"/>
          <w:sz w:val="18"/>
          <w:szCs w:val="18"/>
          <w:color w:val="auto"/>
        </w:rPr>
        <w:t>acquired and are not held for the purpose of or with the effect of</w:t>
      </w:r>
    </w:p>
    <w:p>
      <w:pPr>
        <w:spacing w:after="0" w:line="238" w:lineRule="auto"/>
        <w:rPr>
          <w:sz w:val="20"/>
          <w:szCs w:val="20"/>
          <w:color w:val="auto"/>
        </w:rPr>
      </w:pPr>
      <w:r>
        <w:rPr>
          <w:rFonts w:ascii="Courier New" w:cs="Courier New" w:eastAsia="Courier New" w:hAnsi="Courier New"/>
          <w:sz w:val="18"/>
          <w:szCs w:val="18"/>
          <w:color w:val="auto"/>
        </w:rPr>
        <w:t>changing or influencing the control of the issuer of the</w:t>
      </w:r>
    </w:p>
    <w:p>
      <w:pPr>
        <w:spacing w:after="0" w:line="238" w:lineRule="auto"/>
        <w:rPr>
          <w:sz w:val="20"/>
          <w:szCs w:val="20"/>
          <w:color w:val="auto"/>
        </w:rPr>
      </w:pPr>
      <w:r>
        <w:rPr>
          <w:rFonts w:ascii="Courier New" w:cs="Courier New" w:eastAsia="Courier New" w:hAnsi="Courier New"/>
          <w:sz w:val="18"/>
          <w:szCs w:val="18"/>
          <w:color w:val="auto"/>
        </w:rPr>
        <w:t>securities and were not acquired and are not held in connection with</w:t>
      </w:r>
    </w:p>
    <w:p>
      <w:pPr>
        <w:ind w:left="120"/>
        <w:spacing w:after="0"/>
        <w:rPr>
          <w:sz w:val="20"/>
          <w:szCs w:val="20"/>
          <w:color w:val="auto"/>
        </w:rPr>
      </w:pPr>
      <w:r>
        <w:rPr>
          <w:rFonts w:ascii="Courier New" w:cs="Courier New" w:eastAsia="Courier New" w:hAnsi="Courier New"/>
          <w:sz w:val="18"/>
          <w:szCs w:val="18"/>
          <w:color w:val="auto"/>
        </w:rPr>
        <w:t>or as a participant in any transaction having that purpose</w:t>
      </w:r>
    </w:p>
    <w:p>
      <w:pPr>
        <w:spacing w:after="0" w:line="238" w:lineRule="auto"/>
        <w:rPr>
          <w:sz w:val="20"/>
          <w:szCs w:val="20"/>
          <w:color w:val="auto"/>
        </w:rPr>
      </w:pPr>
      <w:r>
        <w:rPr>
          <w:rFonts w:ascii="Courier New" w:cs="Courier New" w:eastAsia="Courier New" w:hAnsi="Courier New"/>
          <w:sz w:val="18"/>
          <w:szCs w:val="18"/>
          <w:color w:val="auto"/>
        </w:rPr>
        <w:t>or effect, other than activities solely in connection with a nomination</w:t>
      </w:r>
    </w:p>
    <w:p>
      <w:pPr>
        <w:spacing w:after="0" w:line="238" w:lineRule="auto"/>
        <w:rPr>
          <w:sz w:val="20"/>
          <w:szCs w:val="20"/>
          <w:color w:val="auto"/>
        </w:rPr>
      </w:pPr>
      <w:r>
        <w:rPr>
          <w:rFonts w:ascii="Courier New" w:cs="Courier New" w:eastAsia="Courier New" w:hAnsi="Courier New"/>
          <w:sz w:val="18"/>
          <w:szCs w:val="18"/>
          <w:color w:val="auto"/>
        </w:rPr>
        <w:t>under ? 240.14a-11.</w:t>
      </w:r>
    </w:p>
    <w:p>
      <w:pPr>
        <w:spacing w:after="0"/>
        <w:rPr>
          <w:sz w:val="20"/>
          <w:szCs w:val="20"/>
          <w:color w:val="auto"/>
        </w:rPr>
      </w:pPr>
      <w:r>
        <w:rPr>
          <w:rFonts w:ascii="Courier New" w:cs="Courier New" w:eastAsia="Courier New" w:hAnsi="Courier New"/>
          <w:sz w:val="18"/>
          <w:szCs w:val="18"/>
          <w:color w:val="auto"/>
        </w:rPr>
        <w:t>SIGNATURE</w:t>
      </w:r>
    </w:p>
    <w:p>
      <w:pPr>
        <w:ind w:left="120" w:right="2339" w:firstLine="527"/>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38" w:lineRule="auto"/>
        <w:rPr>
          <w:sz w:val="20"/>
          <w:szCs w:val="20"/>
          <w:color w:val="auto"/>
        </w:rPr>
      </w:pPr>
      <w:r>
        <w:rPr>
          <w:rFonts w:ascii="Courier New" w:cs="Courier New" w:eastAsia="Courier New" w:hAnsi="Courier New"/>
          <w:sz w:val="18"/>
          <w:szCs w:val="18"/>
          <w:color w:val="auto"/>
        </w:rPr>
        <w:t>11/4/2022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rPr>
          <w:sz w:val="20"/>
          <w:szCs w:val="20"/>
          <w:color w:val="auto"/>
        </w:rPr>
      </w:pPr>
      <w:r>
        <w:rPr>
          <w:rFonts w:ascii="Courier New" w:cs="Courier New" w:eastAsia="Courier New" w:hAnsi="Courier New"/>
          <w:sz w:val="18"/>
          <w:szCs w:val="18"/>
          <w:color w:val="auto"/>
        </w:rPr>
        <w:t>Si?tore</w:t>
      </w:r>
    </w:p>
    <w:p>
      <w:pPr>
        <w:spacing w:after="0" w:line="238" w:lineRule="auto"/>
        <w:rPr>
          <w:sz w:val="20"/>
          <w:szCs w:val="20"/>
          <w:color w:val="auto"/>
        </w:rPr>
      </w:pPr>
      <w:r>
        <w:rPr>
          <w:rFonts w:ascii="Courier New" w:cs="Courier New" w:eastAsia="Courier New" w:hAnsi="Courier New"/>
          <w:sz w:val="18"/>
          <w:szCs w:val="18"/>
          <w:color w:val="auto"/>
        </w:rPr>
        <w:t>Edward Wright, CIO</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1" w:lineRule="exact"/>
        <w:rPr>
          <w:sz w:val="20"/>
          <w:szCs w:val="20"/>
          <w:color w:val="auto"/>
        </w:rPr>
      </w:pPr>
    </w:p>
    <w:p>
      <w:pPr>
        <w:ind w:right="2339" w:firstLine="632"/>
        <w:spacing w:after="0" w:line="238" w:lineRule="auto"/>
        <w:rPr>
          <w:sz w:val="20"/>
          <w:szCs w:val="20"/>
          <w:color w:val="auto"/>
        </w:rPr>
      </w:pPr>
      <w:r>
        <w:rPr>
          <w:rFonts w:ascii="Courier New" w:cs="Courier New" w:eastAsia="Courier New" w:hAnsi="Courier New"/>
          <w:sz w:val="18"/>
          <w:szCs w:val="18"/>
          <w:color w:val="auto"/>
        </w:rPr>
        <w:t>The original statement shall be signed by each person on whose behal f the statement is filed or his authorized</w:t>
      </w:r>
    </w:p>
    <w:p>
      <w:pPr>
        <w:spacing w:after="0" w:line="1" w:lineRule="exact"/>
        <w:rPr>
          <w:sz w:val="20"/>
          <w:szCs w:val="20"/>
          <w:color w:val="auto"/>
        </w:rPr>
      </w:pPr>
    </w:p>
    <w:p>
      <w:pPr>
        <w:ind w:left="120" w:right="2659" w:hanging="104"/>
        <w:spacing w:after="0" w:line="238" w:lineRule="auto"/>
        <w:rPr>
          <w:sz w:val="20"/>
          <w:szCs w:val="20"/>
          <w:color w:val="auto"/>
        </w:rPr>
      </w:pPr>
      <w:r>
        <w:rPr>
          <w:rFonts w:ascii="Courier New" w:cs="Courier New" w:eastAsia="Courier New" w:hAnsi="Courier New"/>
          <w:sz w:val="18"/>
          <w:szCs w:val="18"/>
          <w:color w:val="auto"/>
        </w:rPr>
        <w:t>representative. If the statement is signed on behalf of a person by his authorized representative other than an executive</w:t>
      </w:r>
    </w:p>
    <w:p>
      <w:pPr>
        <w:spacing w:after="0" w:line="1"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officer or general partner of the filing person, evidence of the representative's authority to sign on behalf of such person shall</w:t>
      </w:r>
    </w:p>
    <w:p>
      <w:pPr>
        <w:ind w:left="120" w:right="2559" w:hanging="104"/>
        <w:spacing w:after="0" w:line="238" w:lineRule="auto"/>
        <w:rPr>
          <w:sz w:val="20"/>
          <w:szCs w:val="20"/>
          <w:color w:val="auto"/>
        </w:rPr>
      </w:pPr>
      <w:r>
        <w:rPr>
          <w:rFonts w:ascii="Courier New" w:cs="Courier New" w:eastAsia="Courier New" w:hAnsi="Courier New"/>
          <w:sz w:val="18"/>
          <w:szCs w:val="18"/>
          <w:color w:val="auto"/>
        </w:rPr>
        <w:t>be filed with the statement, Provided, however, That a power of attorney for this purpose which is already on file with the</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Commission may be incorporated by reference. The name and any title of each person who signs the statement shall be typed or printed beneath his signature.</w:t>
      </w:r>
    </w:p>
    <w:p>
      <w:pPr>
        <w:spacing w:after="0" w:line="1" w:lineRule="exact"/>
        <w:rPr>
          <w:sz w:val="20"/>
          <w:szCs w:val="20"/>
          <w:color w:val="auto"/>
        </w:rPr>
      </w:pPr>
    </w:p>
    <w:p>
      <w:pPr>
        <w:ind w:right="3179" w:firstLine="632"/>
        <w:spacing w:after="0" w:line="238"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See ?240.13d-7 for other parties for whom copies are to be sent.</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Attention: Intentional misstatements or omissions of fact</w:t>
      </w:r>
    </w:p>
    <w:p>
      <w:pPr>
        <w:spacing w:after="0" w:line="238" w:lineRule="auto"/>
        <w:rPr>
          <w:sz w:val="20"/>
          <w:szCs w:val="20"/>
          <w:color w:val="auto"/>
        </w:rPr>
      </w:pPr>
      <w:r>
        <w:rPr>
          <w:rFonts w:ascii="Courier New" w:cs="Courier New" w:eastAsia="Courier New" w:hAnsi="Courier New"/>
          <w:sz w:val="18"/>
          <w:szCs w:val="18"/>
          <w:color w:val="auto"/>
        </w:rPr>
        <w:t>constitute Federal criminal violations (See 18 U.S.C.</w:t>
      </w:r>
    </w:p>
    <w:p>
      <w:pPr>
        <w:spacing w:after="0"/>
        <w:rPr>
          <w:sz w:val="20"/>
          <w:szCs w:val="20"/>
          <w:color w:val="auto"/>
        </w:rPr>
      </w:pPr>
      <w:r>
        <w:rPr>
          <w:rFonts w:ascii="Courier New" w:cs="Courier New" w:eastAsia="Courier New" w:hAnsi="Courier New"/>
          <w:sz w:val="18"/>
          <w:szCs w:val="18"/>
          <w:color w:val="auto"/>
        </w:rPr>
        <w:t>1001)</w:t>
      </w:r>
    </w:p>
    <w:p>
      <w:pPr>
        <w:spacing w:after="0" w:line="37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https://sc13g.com</w:t>
      </w:r>
      <w:r>
        <w:rPr>
          <w:sz w:val="20"/>
          <w:szCs w:val="20"/>
          <w:color w:val="auto"/>
        </w:rPr>
        <w:tab/>
      </w:r>
      <w:r>
        <w:rPr>
          <w:rFonts w:ascii="Courier New" w:cs="Courier New" w:eastAsia="Courier New" w:hAnsi="Courier New"/>
          <w:sz w:val="18"/>
          <w:szCs w:val="18"/>
          <w:color w:val="auto"/>
        </w:rPr>
        <w:t>6/6</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2"/>
    </w:lvl>
  </w:abstractNum>
  <w:abstractNum w:abstractNumId="5">
    <w:nsid w:val="66EF438D"/>
    <w:multiLevelType w:val="hybridMultilevel"/>
    <w:lvl w:ilvl="0">
      <w:lvlJc w:val="left"/>
      <w:lvlText w:val="%1."/>
      <w:numFmt w:val="upp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4"/>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6"/>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2022-11-04T13:46:19Z</dcterms:created>
  <dcterms:modified xsi:type="dcterms:W3CDTF">2022-11-04T13:46:19Z</dcterms:modified>
</cp:coreProperties>
</file>