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5"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380" w:right="60"/>
        <w:spacing w:after="0" w:line="25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40005</wp:posOffset>
            </wp:positionH>
            <wp:positionV relativeFrom="paragraph">
              <wp:posOffset>-241300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86" w:lineRule="exact"/>
        <w:rPr>
          <w:sz w:val="24"/>
          <w:szCs w:val="24"/>
          <w:color w:val="auto"/>
        </w:rPr>
      </w:pPr>
    </w:p>
    <w:p>
      <w:pPr>
        <w:ind w:left="380"/>
        <w:spacing w:after="0" w:line="242"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40005</wp:posOffset>
            </wp:positionH>
            <wp:positionV relativeFrom="paragraph">
              <wp:posOffset>-694690</wp:posOffset>
            </wp:positionV>
            <wp:extent cx="128905" cy="128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5173345</wp:posOffset>
            </wp:positionH>
            <wp:positionV relativeFrom="paragraph">
              <wp:posOffset>4445</wp:posOffset>
            </wp:positionV>
            <wp:extent cx="59690" cy="670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70560"/>
                    </a:xfrm>
                    <a:prstGeom prst="rect">
                      <a:avLst/>
                    </a:prstGeom>
                    <a:noFill/>
                  </pic:spPr>
                </pic:pic>
              </a:graphicData>
            </a:graphic>
          </wp:anchor>
        </w:drawing>
        <w:drawing>
          <wp:anchor simplePos="0" relativeHeight="251657728" behindDoc="1" locked="0" layoutInCell="0" allowOverlap="1">
            <wp:simplePos x="0" y="0"/>
            <wp:positionH relativeFrom="column">
              <wp:posOffset>3900170</wp:posOffset>
            </wp:positionH>
            <wp:positionV relativeFrom="paragraph">
              <wp:posOffset>4445</wp:posOffset>
            </wp:positionV>
            <wp:extent cx="59690" cy="670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90" cy="670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7"/>
        </w:trPr>
        <w:tc>
          <w:tcPr>
            <w:tcW w:w="6160" w:type="dxa"/>
            <w:vAlign w:val="bottom"/>
            <w:vMerge w:val="restart"/>
          </w:tcPr>
          <w:p>
            <w:pPr>
              <w:jc w:val="center"/>
              <w:ind w:right="245"/>
              <w:spacing w:after="0" w:line="237"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4"/>
                <w:szCs w:val="4"/>
                <w:color w:val="auto"/>
              </w:rPr>
            </w:pPr>
          </w:p>
        </w:tc>
        <w:tc>
          <w:tcPr>
            <w:tcW w:w="2020" w:type="dxa"/>
            <w:vAlign w:val="bottom"/>
            <w:tcBorders>
              <w:top w:val="single" w:sz="8" w:color="808080"/>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6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tcBorders>
              <w:top w:val="single" w:sz="8" w:color="2C2C2C"/>
            </w:tcBorders>
            <w:gridSpan w:val="2"/>
          </w:tcPr>
          <w:p>
            <w:pPr>
              <w:ind w:left="300"/>
              <w:spacing w:after="0" w:line="170" w:lineRule="exact"/>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160" w:type="dxa"/>
            <w:vAlign w:val="bottom"/>
            <w:vMerge w:val="restart"/>
          </w:tcPr>
          <w:p>
            <w:pPr>
              <w:jc w:val="center"/>
              <w:ind w:right="265"/>
              <w:spacing w:after="0"/>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
        </w:trPr>
        <w:tc>
          <w:tcPr>
            <w:tcW w:w="61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6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6160" w:type="dxa"/>
            <w:vAlign w:val="bottom"/>
            <w:vMerge w:val="restart"/>
          </w:tcPr>
          <w:p>
            <w:pPr>
              <w:jc w:val="center"/>
              <w:ind w:right="24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90"/>
        </w:trPr>
        <w:tc>
          <w:tcPr>
            <w:tcW w:w="6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jc w:val="center"/>
        <w:ind w:right="2560"/>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ind w:right="256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-1734185</wp:posOffset>
            </wp:positionH>
            <wp:positionV relativeFrom="paragraph">
              <wp:posOffset>771525</wp:posOffset>
            </wp:positionV>
            <wp:extent cx="7056120" cy="5496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6120" cy="5496560"/>
                    </a:xfrm>
                    <a:prstGeom prst="rect">
                      <a:avLst/>
                    </a:prstGeom>
                    <a:noFill/>
                  </pic:spPr>
                </pic:pic>
              </a:graphicData>
            </a:graphic>
          </wp:anchor>
        </w:drawing>
      </w:r>
    </w:p>
    <w:p>
      <w:pPr>
        <w:spacing w:after="0" w:line="1277" w:lineRule="exact"/>
        <w:rPr>
          <w:sz w:val="24"/>
          <w:szCs w:val="24"/>
          <w:color w:val="auto"/>
        </w:rPr>
      </w:pPr>
    </w:p>
    <w:p>
      <w:pPr>
        <w:sectPr>
          <w:pgSz w:w="11920" w:h="16838" w:orient="portrait"/>
          <w:cols w:equalWidth="0" w:num="2">
            <w:col w:w="2300" w:space="420"/>
            <w:col w:w="8380"/>
          </w:cols>
          <w:pgMar w:left="460" w:top="215" w:right="358"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40"/>
        <w:spacing w:after="0"/>
        <w:rPr>
          <w:rFonts w:ascii="Times New Roman" w:cs="Times New Roman" w:eastAsia="Times New Roman" w:hAnsi="Times New Roman"/>
          <w:sz w:val="22"/>
          <w:szCs w:val="22"/>
          <w:u w:val="single" w:color="auto"/>
          <w:color w:val="0000EE"/>
        </w:rPr>
      </w:pPr>
      <w:hyperlink r:id="rId13">
        <w:r>
          <w:rPr>
            <w:rFonts w:ascii="Times New Roman" w:cs="Times New Roman" w:eastAsia="Times New Roman" w:hAnsi="Times New Roman"/>
            <w:sz w:val="22"/>
            <w:szCs w:val="22"/>
            <w:u w:val="single" w:color="auto"/>
            <w:color w:val="0000EE"/>
          </w:rPr>
          <w:t>Waxman Alan</w:t>
        </w:r>
      </w:hyperlink>
    </w:p>
    <w:p>
      <w:pPr>
        <w:spacing w:after="0" w:line="303" w:lineRule="exact"/>
        <w:rPr>
          <w:sz w:val="24"/>
          <w:szCs w:val="24"/>
          <w:color w:val="auto"/>
        </w:rPr>
      </w:pPr>
    </w:p>
    <w:p>
      <w:pPr>
        <w:ind w:left="14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40" w:right="340"/>
        <w:spacing w:after="0" w:line="373" w:lineRule="auto"/>
        <w:rPr>
          <w:sz w:val="20"/>
          <w:szCs w:val="20"/>
          <w:color w:val="auto"/>
        </w:rPr>
      </w:pPr>
      <w:r>
        <w:rPr>
          <w:rFonts w:ascii="Times New Roman" w:cs="Times New Roman" w:eastAsia="Times New Roman" w:hAnsi="Times New Roman"/>
          <w:sz w:val="17"/>
          <w:szCs w:val="17"/>
          <w:color w:val="0000FF"/>
        </w:rPr>
        <w:t>C/O SIXTH STREET LENDING PARTNERS 2100 MCKINNEY AVENUE, SUITE 1500</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1"/>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DALLAS</w:t>
            </w:r>
          </w:p>
        </w:tc>
        <w:tc>
          <w:tcPr>
            <w:tcW w:w="110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TX</w:t>
            </w:r>
          </w:p>
        </w:tc>
        <w:tc>
          <w:tcPr>
            <w:tcW w:w="15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75201</w:t>
            </w: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13"/>
        </w:trPr>
        <w:tc>
          <w:tcPr>
            <w:tcW w:w="4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(City)</w:t>
            </w:r>
          </w:p>
        </w:tc>
        <w:tc>
          <w:tcPr>
            <w:tcW w:w="1100" w:type="dxa"/>
            <w:vAlign w:val="bottom"/>
          </w:tcPr>
          <w:p>
            <w:pPr>
              <w:ind w:left="280"/>
              <w:spacing w:after="0"/>
              <w:rPr>
                <w:sz w:val="20"/>
                <w:szCs w:val="20"/>
                <w:color w:val="auto"/>
              </w:rPr>
            </w:pPr>
            <w:r>
              <w:rPr>
                <w:rFonts w:ascii="Arial" w:cs="Arial" w:eastAsia="Arial" w:hAnsi="Arial"/>
                <w:sz w:val="14"/>
                <w:szCs w:val="14"/>
                <w:color w:val="auto"/>
              </w:rPr>
              <w:t>(State)</w:t>
            </w:r>
          </w:p>
        </w:tc>
        <w:tc>
          <w:tcPr>
            <w:tcW w:w="1580" w:type="dxa"/>
            <w:vAlign w:val="bottom"/>
          </w:tcPr>
          <w:p>
            <w:pPr>
              <w:ind w:left="4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60"/>
              <w:spacing w:after="0"/>
              <w:rPr>
                <w:sz w:val="20"/>
                <w:szCs w:val="20"/>
                <w:color w:val="auto"/>
              </w:rPr>
            </w:pPr>
            <w:r>
              <w:rPr>
                <w:rFonts w:ascii="Arial" w:cs="Arial" w:eastAsia="Arial" w:hAnsi="Arial"/>
                <w:sz w:val="14"/>
                <w:szCs w:val="14"/>
                <w:color w:val="auto"/>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9"/>
        </w:trPr>
        <w:tc>
          <w:tcPr>
            <w:tcW w:w="3840" w:type="dxa"/>
            <w:vAlign w:val="bottom"/>
            <w:gridSpan w:val="4"/>
          </w:tcPr>
          <w:p>
            <w:pPr>
              <w:ind w:left="60"/>
              <w:spacing w:after="0" w:line="149" w:lineRule="exact"/>
              <w:rPr>
                <w:rFonts w:ascii="Times New Roman" w:cs="Times New Roman" w:eastAsia="Times New Roman" w:hAnsi="Times New Roman"/>
                <w:sz w:val="17"/>
                <w:szCs w:val="17"/>
                <w:color w:val="0000EE"/>
              </w:rPr>
            </w:pPr>
            <w:hyperlink r:id="rId14">
              <w:r>
                <w:rPr>
                  <w:rFonts w:ascii="Times New Roman" w:cs="Times New Roman" w:eastAsia="Times New Roman" w:hAnsi="Times New Roman"/>
                  <w:sz w:val="17"/>
                  <w:szCs w:val="17"/>
                  <w:color w:val="0000EE"/>
                </w:rPr>
                <w:t xml:space="preserve">Sixth Street Lending Partners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4"/>
                <w:szCs w:val="14"/>
                <w:color w:val="0000FF"/>
              </w:rPr>
              <w:t>NONE</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38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51"/>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vMerge w:val="restart"/>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10"/>
        </w:trPr>
        <w:tc>
          <w:tcPr>
            <w:tcW w:w="200" w:type="dxa"/>
            <w:vAlign w:val="bottom"/>
            <w:gridSpan w:val="2"/>
            <w:vMerge w:val="restart"/>
          </w:tcPr>
          <w:p>
            <w:pPr>
              <w:ind w:left="60"/>
              <w:spacing w:after="0"/>
              <w:rPr>
                <w:sz w:val="20"/>
                <w:szCs w:val="20"/>
                <w:color w:val="auto"/>
              </w:rPr>
            </w:pPr>
            <w:r>
              <w:rPr>
                <w:rFonts w:ascii="Arial" w:cs="Arial" w:eastAsia="Arial" w:hAnsi="Arial"/>
                <w:sz w:val="14"/>
                <w:szCs w:val="14"/>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080" w:type="dxa"/>
            <w:vAlign w:val="bottom"/>
            <w:gridSpan w:val="2"/>
            <w:vMerge w:val="restart"/>
          </w:tcPr>
          <w:p>
            <w:pPr>
              <w:ind w:left="920"/>
              <w:spacing w:after="0"/>
              <w:rPr>
                <w:sz w:val="20"/>
                <w:szCs w:val="20"/>
                <w:color w:val="auto"/>
              </w:rPr>
            </w:pPr>
            <w:r>
              <w:rPr>
                <w:rFonts w:ascii="Times New Roman" w:cs="Times New Roman" w:eastAsia="Times New Roman" w:hAnsi="Times New Roman"/>
                <w:sz w:val="18"/>
                <w:szCs w:val="18"/>
                <w:color w:val="0000FF"/>
              </w:rPr>
              <w:t>Vice President</w:t>
            </w:r>
          </w:p>
        </w:tc>
        <w:tc>
          <w:tcPr>
            <w:tcW w:w="0" w:type="dxa"/>
            <w:vAlign w:val="bottom"/>
          </w:tcPr>
          <w:p>
            <w:pPr>
              <w:spacing w:after="0"/>
              <w:rPr>
                <w:sz w:val="1"/>
                <w:szCs w:val="1"/>
                <w:color w:val="auto"/>
              </w:rPr>
            </w:pPr>
          </w:p>
        </w:tc>
      </w:tr>
      <w:tr>
        <w:trPr>
          <w:trHeight w:val="229"/>
        </w:trPr>
        <w:tc>
          <w:tcPr>
            <w:tcW w:w="26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06/23/2026</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1"/>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60"/>
              <w:spacing w:after="0"/>
              <w:rPr>
                <w:sz w:val="20"/>
                <w:szCs w:val="20"/>
                <w:color w:val="auto"/>
              </w:rPr>
            </w:pPr>
            <w:r>
              <w:rPr>
                <w:rFonts w:ascii="Arial" w:cs="Arial" w:eastAsia="Arial" w:hAnsi="Arial"/>
                <w:sz w:val="14"/>
                <w:szCs w:val="14"/>
                <w:color w:val="auto"/>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40"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One Reporting Person</w:t>
      </w:r>
    </w:p>
    <w:p>
      <w:pPr>
        <w:spacing w:after="0" w:line="69"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Person</w:t>
      </w:r>
    </w:p>
    <w:p>
      <w:pPr>
        <w:spacing w:after="0" w:line="400" w:lineRule="exact"/>
        <w:rPr>
          <w:sz w:val="24"/>
          <w:szCs w:val="24"/>
          <w:color w:val="auto"/>
        </w:rPr>
      </w:pPr>
    </w:p>
    <w:p>
      <w:pPr>
        <w:sectPr>
          <w:pgSz w:w="11920" w:h="16838" w:orient="portrait"/>
          <w:cols w:equalWidth="0" w:num="2">
            <w:col w:w="3760" w:space="100"/>
            <w:col w:w="7240"/>
          </w:cols>
          <w:pgMar w:left="460" w:top="215" w:right="358"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2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w w:val="98"/>
              </w:rPr>
              <w:t>2. Transaction</w:t>
            </w:r>
          </w:p>
        </w:tc>
        <w:tc>
          <w:tcPr>
            <w:tcW w:w="3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3"/>
          </w:tcPr>
          <w:p>
            <w:pPr>
              <w:ind w:left="1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6"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6"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20" w:type="dxa"/>
            <w:vAlign w:val="bottom"/>
            <w:gridSpan w:val="4"/>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1020" w:type="dxa"/>
            <w:vAlign w:val="bottom"/>
            <w:gridSpan w:val="4"/>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4)</w:t>
            </w:r>
          </w:p>
        </w:tc>
        <w:tc>
          <w:tcPr>
            <w:tcW w:w="1020" w:type="dxa"/>
            <w:vAlign w:val="bottom"/>
            <w:gridSpan w:val="4"/>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vMerge w:val="restart"/>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9"/>
              </w:rPr>
              <w:t>(A) or</w:t>
            </w: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5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0000FF"/>
              </w:rPr>
              <w:t>Common shares of beneficial interest,</w:t>
            </w:r>
          </w:p>
        </w:tc>
        <w:tc>
          <w:tcPr>
            <w:tcW w:w="1280" w:type="dxa"/>
            <w:vAlign w:val="bottom"/>
            <w:gridSpan w:val="3"/>
            <w:vMerge w:val="restart"/>
          </w:tcPr>
          <w:p>
            <w:pPr>
              <w:jc w:val="right"/>
              <w:ind w:right="159"/>
              <w:spacing w:after="0"/>
              <w:rPr>
                <w:sz w:val="20"/>
                <w:szCs w:val="20"/>
                <w:color w:val="auto"/>
              </w:rPr>
            </w:pPr>
            <w:r>
              <w:rPr>
                <w:rFonts w:ascii="Times New Roman" w:cs="Times New Roman" w:eastAsia="Times New Roman" w:hAnsi="Times New Roman"/>
                <w:sz w:val="18"/>
                <w:szCs w:val="18"/>
                <w:color w:val="0000FF"/>
              </w:rPr>
              <w:t>06/23/2026</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0000FF"/>
              </w:rPr>
              <w:t>P</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683,654</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0000FF"/>
              </w:rPr>
              <w:t>A</w:t>
            </w:r>
          </w:p>
        </w:tc>
        <w:tc>
          <w:tcPr>
            <w:tcW w:w="720" w:type="dxa"/>
            <w:vAlign w:val="bottom"/>
            <w:gridSpan w:val="3"/>
            <w:vMerge w:val="restart"/>
          </w:tcPr>
          <w:p>
            <w:pPr>
              <w:ind w:left="14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28.81</w:t>
            </w:r>
          </w:p>
        </w:tc>
        <w:tc>
          <w:tcPr>
            <w:tcW w:w="120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8"/>
                <w:szCs w:val="18"/>
                <w:color w:val="0000FF"/>
              </w:rPr>
              <w:t>11,155,181</w:t>
            </w:r>
          </w:p>
        </w:tc>
        <w:tc>
          <w:tcPr>
            <w:tcW w:w="340" w:type="dxa"/>
            <w:vAlign w:val="bottom"/>
          </w:tcPr>
          <w:p>
            <w:pPr>
              <w:spacing w:after="0"/>
              <w:rPr>
                <w:sz w:val="22"/>
                <w:szCs w:val="22"/>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I</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par value $0.001</w:t>
            </w: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0000FF"/>
                <w:w w:val="98"/>
              </w:rPr>
              <w:t>Footnote</w:t>
            </w:r>
            <w:r>
              <w:rPr>
                <w:rFonts w:ascii="Times New Roman" w:cs="Times New Roman" w:eastAsia="Times New Roman" w:hAnsi="Times New Roman"/>
                <w:sz w:val="22"/>
                <w:szCs w:val="22"/>
                <w:color w:val="008000"/>
                <w:w w:val="98"/>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tcBorders>
              <w:bottom w:val="single" w:sz="8" w:color="2C2C2C"/>
            </w:tcBorders>
            <w:gridSpan w:val="2"/>
            <w:vMerge w:val="continue"/>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0000FF"/>
              </w:rPr>
              <w:t>Common shares of beneficial interest,</w:t>
            </w:r>
          </w:p>
        </w:tc>
        <w:tc>
          <w:tcPr>
            <w:tcW w:w="1280" w:type="dxa"/>
            <w:vAlign w:val="bottom"/>
            <w:gridSpan w:val="3"/>
            <w:vMerge w:val="restart"/>
          </w:tcPr>
          <w:p>
            <w:pPr>
              <w:jc w:val="right"/>
              <w:ind w:right="159"/>
              <w:spacing w:after="0"/>
              <w:rPr>
                <w:sz w:val="20"/>
                <w:szCs w:val="20"/>
                <w:color w:val="auto"/>
              </w:rPr>
            </w:pPr>
            <w:r>
              <w:rPr>
                <w:rFonts w:ascii="Times New Roman" w:cs="Times New Roman" w:eastAsia="Times New Roman" w:hAnsi="Times New Roman"/>
                <w:sz w:val="18"/>
                <w:szCs w:val="18"/>
                <w:color w:val="0000FF"/>
              </w:rPr>
              <w:t>06/23/2026</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0000FF"/>
              </w:rPr>
              <w:t>P</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124,477</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0000FF"/>
              </w:rPr>
              <w:t>A</w:t>
            </w:r>
          </w:p>
        </w:tc>
        <w:tc>
          <w:tcPr>
            <w:tcW w:w="720" w:type="dxa"/>
            <w:vAlign w:val="bottom"/>
            <w:gridSpan w:val="3"/>
            <w:vMerge w:val="restart"/>
          </w:tcPr>
          <w:p>
            <w:pPr>
              <w:ind w:left="14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28.81</w:t>
            </w:r>
          </w:p>
        </w:tc>
        <w:tc>
          <w:tcPr>
            <w:tcW w:w="1200" w:type="dxa"/>
            <w:vAlign w:val="bottom"/>
            <w:gridSpan w:val="2"/>
            <w:vMerge w:val="restart"/>
          </w:tcPr>
          <w:p>
            <w:pPr>
              <w:jc w:val="right"/>
              <w:ind w:right="219"/>
              <w:spacing w:after="0"/>
              <w:rPr>
                <w:sz w:val="20"/>
                <w:szCs w:val="20"/>
                <w:color w:val="auto"/>
              </w:rPr>
            </w:pPr>
            <w:r>
              <w:rPr>
                <w:rFonts w:ascii="Times New Roman" w:cs="Times New Roman" w:eastAsia="Times New Roman" w:hAnsi="Times New Roman"/>
                <w:sz w:val="18"/>
                <w:szCs w:val="18"/>
                <w:color w:val="0000FF"/>
              </w:rPr>
              <w:t>1,999,673</w:t>
            </w:r>
          </w:p>
        </w:tc>
        <w:tc>
          <w:tcPr>
            <w:tcW w:w="340" w:type="dxa"/>
            <w:vAlign w:val="bottom"/>
          </w:tcPr>
          <w:p>
            <w:pPr>
              <w:spacing w:after="0"/>
              <w:rPr>
                <w:sz w:val="22"/>
                <w:szCs w:val="22"/>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I</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par value $0.001</w:t>
            </w: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2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520" w:type="dxa"/>
            <w:vAlign w:val="bottom"/>
            <w:tcBorders>
              <w:bottom w:val="single" w:sz="8" w:color="2C2C2C"/>
            </w:tcBorders>
            <w:gridSpan w:val="2"/>
            <w:vMerge w:val="continue"/>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6"/>
          </w:tcPr>
          <w:p>
            <w:pPr>
              <w:jc w:val="center"/>
              <w:ind w:left="2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140" w:type="dxa"/>
            <w:vAlign w:val="bottom"/>
            <w:gridSpan w:val="12"/>
          </w:tcPr>
          <w:p>
            <w:pPr>
              <w:jc w:val="center"/>
              <w:ind w:left="8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4"/>
                <w:szCs w:val="14"/>
                <w:color w:val="auto"/>
              </w:rPr>
            </w:pP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6"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20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6"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180" w:firstLine="9"/>
        <w:spacing w:after="0" w:line="231" w:lineRule="auto"/>
        <w:tabs>
          <w:tab w:leader="none" w:pos="176"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Shares held directly by Sixth Street Lending Partners Note Issuer, LLC ("Note Issuer"). Note Issuer is controlled by its members, which are indirectly controlled by TAO Sutton Holdings, LLC. TAO Insurance Holdings, LLC is the managing member of TAO Sutton Holdings, LLC. A. Michael Muscolino is the managing member of TAO Insurance Holdings, LLC. Pursuant to the limited liability company agreement of TAO Insurance Holdings, LLC, Alan Waxman, as designated member of TAO Insurance Holdings, LLC has the authority to appoint the managing member of TAO Insurance Holdings, LLC.</w:t>
      </w:r>
    </w:p>
    <w:p>
      <w:pPr>
        <w:spacing w:after="0" w:line="30" w:lineRule="exact"/>
        <w:rPr>
          <w:rFonts w:ascii="Times New Roman" w:cs="Times New Roman" w:eastAsia="Times New Roman" w:hAnsi="Times New Roman"/>
          <w:sz w:val="14"/>
          <w:szCs w:val="14"/>
          <w:color w:val="008000"/>
        </w:rPr>
      </w:pPr>
    </w:p>
    <w:p>
      <w:pPr>
        <w:ind w:left="40" w:right="460" w:firstLine="9"/>
        <w:spacing w:after="0" w:line="242" w:lineRule="auto"/>
        <w:tabs>
          <w:tab w:leader="none" w:pos="176"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Shares are held directly by Sixth Street Lending Partners Advisers, LLC ("Adviser"). Adviser is managed by TSSP HoldCo Management, LLC ("Holdco Management"). Holdco Management is managed by a board of directors, which is currently comprised of Reporting Person. Reporting Person is the CEO of Holdco Management.</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200"/>
        <w:spacing w:after="0" w:line="231" w:lineRule="auto"/>
        <w:rPr>
          <w:sz w:val="20"/>
          <w:szCs w:val="20"/>
          <w:color w:val="auto"/>
        </w:rPr>
      </w:pPr>
      <w:r>
        <w:rPr>
          <w:rFonts w:ascii="Times New Roman" w:cs="Times New Roman" w:eastAsia="Times New Roman" w:hAnsi="Times New Roman"/>
          <w:sz w:val="14"/>
          <w:szCs w:val="14"/>
          <w:color w:val="008000"/>
        </w:rPr>
        <w:t>Reporting Person disclaims beneficial ownership of the securities reported herein, except to the extent of his pecuniary interest therein, and, pursuant to Rule 16a-1(a)(4) under the Securities Exchange Act of 1934, Reporting Person states that the inclusion of these securities in this report shall not be deemed an admission of beneficial ownership of all of the reported securities for purposes of Section 16 or for any other purpose. (A) Anton Brett is signing on behalf of Reporting Person pursuant to a Power of Attorney dated June 28, 2022 which is attached hereto as an exhibit. Exhibit List: Exhibit 24 Power of Attorney.</w:t>
      </w:r>
    </w:p>
    <w:p>
      <w:pPr>
        <w:sectPr>
          <w:pgSz w:w="11920" w:h="16838" w:orient="portrait"/>
          <w:cols w:equalWidth="0" w:num="1">
            <w:col w:w="11100"/>
          </w:cols>
          <w:pgMar w:left="460" w:top="215" w:right="358" w:bottom="144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207"/>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 Anton Brett,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06/25/2026</w:t>
            </w:r>
          </w:p>
        </w:tc>
        <w:tc>
          <w:tcPr>
            <w:tcW w:w="0" w:type="dxa"/>
            <w:vAlign w:val="bottom"/>
          </w:tcPr>
          <w:p>
            <w:pPr>
              <w:spacing w:after="0"/>
              <w:rPr>
                <w:sz w:val="1"/>
                <w:szCs w:val="1"/>
                <w:color w:val="auto"/>
              </w:rPr>
            </w:pPr>
          </w:p>
        </w:tc>
      </w:tr>
      <w:tr>
        <w:trPr>
          <w:trHeight w:val="88"/>
        </w:trPr>
        <w:tc>
          <w:tcPr>
            <w:tcW w:w="560" w:type="dxa"/>
            <w:vAlign w:val="bottom"/>
            <w:tcBorders>
              <w:top w:val="single" w:sz="8" w:color="auto"/>
            </w:tcBorders>
            <w:vMerge w:val="restart"/>
          </w:tcPr>
          <w:p>
            <w:pPr>
              <w:spacing w:after="0" w:line="197" w:lineRule="exact"/>
              <w:rPr>
                <w:sz w:val="20"/>
                <w:szCs w:val="20"/>
                <w:color w:val="auto"/>
              </w:rPr>
            </w:pPr>
            <w:r>
              <w:rPr>
                <w:rFonts w:ascii="Times New Roman" w:cs="Times New Roman" w:eastAsia="Times New Roman" w:hAnsi="Times New Roman"/>
                <w:sz w:val="18"/>
                <w:szCs w:val="18"/>
                <w:color w:val="0000FF"/>
                <w:w w:val="95"/>
              </w:rPr>
              <w:t>fact (A)</w:t>
            </w:r>
          </w:p>
        </w:tc>
        <w:tc>
          <w:tcPr>
            <w:tcW w:w="14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560" w:type="dxa"/>
            <w:vAlign w:val="bottom"/>
            <w:tcBorders>
              <w:top w:val="single" w:sz="8" w:color="auto"/>
              <w:bottom w:val="single" w:sz="8" w:color="auto"/>
            </w:tcBorders>
            <w:vMerge w:val="continue"/>
          </w:tcPr>
          <w:p>
            <w:pPr>
              <w:spacing w:after="0"/>
              <w:rPr>
                <w:sz w:val="7"/>
                <w:szCs w:val="7"/>
                <w:color w:val="auto"/>
              </w:rPr>
            </w:pPr>
          </w:p>
        </w:tc>
        <w:tc>
          <w:tcPr>
            <w:tcW w:w="14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1"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20" w:h="16838" w:orient="portrait"/>
          <w:cols w:equalWidth="0" w:num="1">
            <w:col w:w="10340"/>
          </w:cols>
          <w:pgMar w:left="500" w:top="144" w:right="1078" w:bottom="1440" w:gutter="0" w:footer="0" w:header="0"/>
        </w:sectPr>
      </w:pPr>
    </w:p>
    <w:bookmarkStart w:id="2" w:name="page3"/>
    <w:bookmarkEnd w:id="2"/>
    <w:p>
      <w:pPr>
        <w:ind w:left="10200"/>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b w:val="1"/>
          <w:bCs w:val="1"/>
          <w:color w:val="auto"/>
        </w:rPr>
        <w:t>KNOW ALL PEOPLE BY THESE PRESENTS</w:t>
      </w:r>
      <w:r>
        <w:rPr>
          <w:rFonts w:ascii="Times New Roman" w:cs="Times New Roman" w:eastAsia="Times New Roman" w:hAnsi="Times New Roman"/>
          <w:sz w:val="16"/>
          <w:szCs w:val="16"/>
          <w:color w:val="auto"/>
        </w:rPr>
        <w:t>, that each person whose signature appears below hereby makes, constitutes and appoints each of Joshua Easterly, Ian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Simmonds, Robert (Bo) Stanley, Alan Waxman, David Stiepleman, Steven Pluss, Craig Hamrah, Michael Fishman, Jennifer Gordon, Joshua Peck, Michael Graf, and Anton Brett with full power to act without the other, as his or her agent and attorney-in-fact for the purpose of executing in his or her name, in his or her capacity as a Trustee and/or officer of Sixth Street Lending Partners, any statement of beneficial ownership on Form 3, 4, or 5 to be filed with the United States Securities and Exchange Commission.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past acts of an attorney-in-fact in furtherance of the foregoing are hereby ratified and confirmed.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Power of Attorney may be executed in multiple counterparts, each of which shall be deemed an original, but which taken together shall constitute one instrument.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Power of Attorney shall be valid from the date hereof until revoked by me.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WITNESS HEREOF I have executed this instrument as of the 28th day of June, 2022.</w:t>
      </w:r>
    </w:p>
    <w:p>
      <w:pPr>
        <w:spacing w:after="0" w:line="35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5"/>
          <w:szCs w:val="15"/>
          <w:color w:val="auto"/>
        </w:rPr>
        <w:t>Trustee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6776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7670" cy="889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5"/>
          <w:szCs w:val="15"/>
          <w:color w:val="auto"/>
        </w:rPr>
        <w:t>Joshua Easterly</w:t>
      </w:r>
    </w:p>
    <w:p>
      <w:pPr>
        <w:spacing w:after="0" w:line="13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5"/>
          <w:szCs w:val="15"/>
          <w:color w:val="auto"/>
        </w:rPr>
        <w:t>Trustee and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6776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77670" cy="889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5"/>
          <w:szCs w:val="15"/>
          <w:color w:val="auto"/>
        </w:rPr>
        <w:t>David Stiepleman</w:t>
      </w:r>
    </w:p>
    <w:p>
      <w:pPr>
        <w:spacing w:after="0" w:line="13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5"/>
          <w:szCs w:val="15"/>
          <w:color w:val="auto"/>
        </w:rPr>
        <w:t>Trustee and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6776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77670" cy="889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5"/>
          <w:szCs w:val="15"/>
          <w:color w:val="auto"/>
        </w:rPr>
        <w:t>Jennifer Gordon</w:t>
      </w:r>
    </w:p>
    <w:p>
      <w:pPr>
        <w:spacing w:after="0" w:line="13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5"/>
          <w:szCs w:val="15"/>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6776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677670" cy="889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5"/>
          <w:szCs w:val="15"/>
          <w:color w:val="auto"/>
        </w:rPr>
        <w:t>Richard Higginbotham</w:t>
      </w:r>
    </w:p>
    <w:p>
      <w:pPr>
        <w:spacing w:after="0" w:line="13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5"/>
          <w:szCs w:val="15"/>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6776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677670" cy="889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5"/>
          <w:szCs w:val="15"/>
          <w:color w:val="auto"/>
        </w:rPr>
        <w:t>Hurley Doddy</w:t>
      </w:r>
    </w:p>
    <w:p>
      <w:pPr>
        <w:spacing w:after="0" w:line="13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5"/>
          <w:szCs w:val="15"/>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6776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677670" cy="889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5"/>
          <w:szCs w:val="15"/>
          <w:color w:val="auto"/>
        </w:rPr>
        <w:t>Judy Slotkin</w:t>
      </w:r>
    </w:p>
    <w:p>
      <w:pPr>
        <w:spacing w:after="0" w:line="13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5"/>
          <w:szCs w:val="15"/>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6776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677670" cy="889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5"/>
          <w:szCs w:val="15"/>
          <w:color w:val="auto"/>
        </w:rPr>
        <w:t>Ronald Tanemura</w:t>
      </w:r>
    </w:p>
    <w:p>
      <w:pPr>
        <w:spacing w:after="0" w:line="13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5"/>
          <w:szCs w:val="15"/>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6776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677670" cy="889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5"/>
          <w:szCs w:val="15"/>
          <w:color w:val="auto"/>
        </w:rPr>
        <w:t>Ian Simmonds</w:t>
      </w:r>
    </w:p>
    <w:p>
      <w:pPr>
        <w:spacing w:after="0" w:line="13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5"/>
          <w:szCs w:val="15"/>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6776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677670" cy="889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5"/>
          <w:szCs w:val="15"/>
          <w:color w:val="auto"/>
        </w:rPr>
        <w:t>Robert (Bo) Stanley</w:t>
      </w:r>
    </w:p>
    <w:p>
      <w:pPr>
        <w:spacing w:after="0" w:line="137" w:lineRule="exact"/>
        <w:rPr>
          <w:sz w:val="20"/>
          <w:szCs w:val="20"/>
          <w:color w:val="auto"/>
        </w:rPr>
      </w:pPr>
    </w:p>
    <w:p>
      <w:pPr>
        <w:ind w:left="100"/>
        <w:spacing w:after="0"/>
        <w:tabs>
          <w:tab w:leader="none" w:pos="3600" w:val="left"/>
        </w:tabs>
        <w:rPr>
          <w:sz w:val="20"/>
          <w:szCs w:val="20"/>
          <w:color w:val="auto"/>
        </w:rPr>
      </w:pPr>
      <w:r>
        <w:rPr>
          <w:rFonts w:ascii="Times New Roman" w:cs="Times New Roman" w:eastAsia="Times New Roman" w:hAnsi="Times New Roman"/>
          <w:sz w:val="15"/>
          <w:szCs w:val="15"/>
          <w:color w:val="auto"/>
        </w:rPr>
        <w:t>/s/ Alan Waxman</w:t>
      </w:r>
      <w:r>
        <w:rPr>
          <w:sz w:val="20"/>
          <w:szCs w:val="20"/>
          <w:color w:val="auto"/>
        </w:rPr>
        <w:tab/>
      </w:r>
      <w:r>
        <w:rPr>
          <w:rFonts w:ascii="Times New Roman" w:cs="Times New Roman" w:eastAsia="Times New Roman" w:hAnsi="Times New Roman"/>
          <w:sz w:val="15"/>
          <w:szCs w:val="15"/>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6776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677670" cy="889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5"/>
          <w:szCs w:val="15"/>
          <w:color w:val="auto"/>
        </w:rPr>
        <w:t>Alan Waxman</w:t>
      </w:r>
    </w:p>
    <w:p>
      <w:pPr>
        <w:spacing w:after="0" w:line="13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5"/>
          <w:szCs w:val="15"/>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6776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1677670" cy="889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5"/>
          <w:szCs w:val="15"/>
          <w:color w:val="auto"/>
        </w:rPr>
        <w:t>Steven Pluss</w:t>
      </w:r>
    </w:p>
    <w:p>
      <w:pPr>
        <w:spacing w:after="0" w:line="13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5"/>
          <w:szCs w:val="15"/>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6776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1677670" cy="889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5"/>
          <w:szCs w:val="15"/>
          <w:color w:val="auto"/>
        </w:rPr>
        <w:t>Craig Hamrah</w:t>
      </w:r>
    </w:p>
    <w:p>
      <w:pPr>
        <w:spacing w:after="0" w:line="13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5"/>
          <w:szCs w:val="15"/>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6776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1677670" cy="889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5"/>
          <w:szCs w:val="15"/>
          <w:color w:val="auto"/>
        </w:rPr>
        <w:t>Michael Fishman</w:t>
      </w:r>
    </w:p>
    <w:p>
      <w:pPr>
        <w:spacing w:after="0" w:line="13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5"/>
          <w:szCs w:val="15"/>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6776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1677670" cy="889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5"/>
          <w:szCs w:val="15"/>
          <w:color w:val="auto"/>
        </w:rPr>
        <w:t>Joshua Peck</w:t>
      </w:r>
    </w:p>
    <w:p>
      <w:pPr>
        <w:spacing w:after="0" w:line="13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5"/>
          <w:szCs w:val="15"/>
          <w:color w:val="auto"/>
        </w:rPr>
        <w:t>Deputy Chief Financial Officer, Vice President,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6776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1677670" cy="889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5"/>
          <w:szCs w:val="15"/>
          <w:color w:val="auto"/>
        </w:rPr>
        <w:t>Michael Graf</w:t>
      </w:r>
    </w:p>
    <w:p>
      <w:pPr>
        <w:spacing w:after="0" w:line="13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5"/>
          <w:szCs w:val="15"/>
          <w:color w:val="auto"/>
        </w:rPr>
        <w:t>Chief Compliance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6776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1677670" cy="889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5"/>
          <w:szCs w:val="15"/>
          <w:color w:val="auto"/>
        </w:rPr>
        <w:t>Anton Brett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00214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002145" cy="42545"/>
                    </a:xfrm>
                    <a:prstGeom prst="rect">
                      <a:avLst/>
                    </a:prstGeom>
                    <a:noFill/>
                  </pic:spPr>
                </pic:pic>
              </a:graphicData>
            </a:graphic>
          </wp:anchor>
        </w:drawing>
      </w:r>
    </w:p>
    <w:sectPr>
      <w:pgSz w:w="11920" w:h="16838" w:orient="portrait"/>
      <w:cols w:equalWidth="0" w:num="1">
        <w:col w:w="11000"/>
      </w:cols>
      <w:pgMar w:left="460" w:top="1006" w:right="45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13" Type="http://schemas.openxmlformats.org/officeDocument/2006/relationships/hyperlink" Target="http://www.sec.gov/cgi-bin/browse-edgar?action=getcompany&amp;CIK=0001515132" TargetMode="External"/><Relationship Id="rId14" Type="http://schemas.openxmlformats.org/officeDocument/2006/relationships/hyperlink" Target="http://www.sec.gov/cgi-bin/browse-edgar?action=getcompany&amp;CIK=00019253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2026-06-25T15:38:50Z</dcterms:created>
  <dcterms:modified xsi:type="dcterms:W3CDTF">2026-06-25T15:38:50Z</dcterms:modified>
</cp:coreProperties>
</file>