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1,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333-289915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N-14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tbl>
      <w:tblPr>
        <w:tblLayout w:type="fixed"/>
        <w:tblInd w:w="3820" w:type="dxa"/>
        <w:tblCellMar>
          <w:top w:w="0" w:type="dxa"/>
          <w:left w:w="0" w:type="dxa"/>
          <w:bottom w:w="0" w:type="dxa"/>
          <w:right w:w="0" w:type="dxa"/>
        </w:tblCellMar>
      </w:tblPr>
      <w:tr>
        <w:trPr>
          <w:trHeight w:val="213"/>
        </w:trPr>
        <w:tc>
          <w:tcPr>
            <w:tcW w:w="5060" w:type="dxa"/>
            <w:vAlign w:val="bottom"/>
          </w:tcPr>
          <w:p>
            <w:pPr>
              <w:jc w:val="center"/>
              <w:ind w:right="1556"/>
              <w:spacing w:after="0" w:line="213" w:lineRule="exact"/>
              <w:rPr>
                <w:sz w:val="20"/>
                <w:szCs w:val="20"/>
                <w:color w:val="auto"/>
              </w:rPr>
            </w:pPr>
            <w:r>
              <w:rPr>
                <w:rFonts w:ascii="Times New Roman" w:cs="Times New Roman" w:eastAsia="Times New Roman" w:hAnsi="Times New Roman"/>
                <w:sz w:val="22"/>
                <w:szCs w:val="22"/>
                <w:b w:val="1"/>
                <w:bCs w:val="1"/>
                <w:i w:val="1"/>
                <w:iCs w:val="1"/>
                <w:color w:val="auto"/>
                <w:w w:val="98"/>
              </w:rPr>
              <w:t>UNDER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60" w:type="dxa"/>
            <w:vAlign w:val="bottom"/>
          </w:tcPr>
          <w:p>
            <w:pPr>
              <w:jc w:val="center"/>
              <w:ind w:right="1876"/>
              <w:spacing w:after="0" w:line="245" w:lineRule="exact"/>
              <w:rPr>
                <w:sz w:val="20"/>
                <w:szCs w:val="20"/>
                <w:color w:val="auto"/>
              </w:rPr>
            </w:pPr>
            <w:r>
              <w:rPr>
                <w:rFonts w:ascii="Times New Roman" w:cs="Times New Roman" w:eastAsia="Times New Roman" w:hAnsi="Times New Roman"/>
                <w:sz w:val="22"/>
                <w:szCs w:val="22"/>
                <w:b w:val="1"/>
                <w:bCs w:val="1"/>
                <w:i w:val="1"/>
                <w:iCs w:val="1"/>
                <w:color w:val="auto"/>
                <w:w w:val="98"/>
              </w:rPr>
              <w:t>THE SECURITIES ACT OF 1933</w:t>
            </w:r>
          </w:p>
        </w:tc>
        <w:tc>
          <w:tcPr>
            <w:tcW w:w="2140" w:type="dxa"/>
            <w:vAlign w:val="bottom"/>
            <w:vMerge w:val="restart"/>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0"/>
        </w:trPr>
        <w:tc>
          <w:tcPr>
            <w:tcW w:w="5060" w:type="dxa"/>
            <w:vAlign w:val="bottom"/>
          </w:tcPr>
          <w:p>
            <w:pPr>
              <w:jc w:val="center"/>
              <w:ind w:right="1876"/>
              <w:spacing w:after="0" w:line="221" w:lineRule="exact"/>
              <w:rPr>
                <w:sz w:val="20"/>
                <w:szCs w:val="20"/>
                <w:color w:val="auto"/>
              </w:rPr>
            </w:pPr>
            <w:r>
              <w:rPr>
                <w:rFonts w:ascii="Times New Roman" w:cs="Times New Roman" w:eastAsia="Times New Roman" w:hAnsi="Times New Roman"/>
                <w:sz w:val="22"/>
                <w:szCs w:val="22"/>
                <w:b w:val="1"/>
                <w:bCs w:val="1"/>
                <w:color w:val="auto"/>
                <w:w w:val="97"/>
              </w:rPr>
              <w:t>Pre-Effective Amendment No. 1</w:t>
            </w: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060" w:type="dxa"/>
            <w:vAlign w:val="bottom"/>
          </w:tcPr>
          <w:p>
            <w:pPr>
              <w:jc w:val="center"/>
              <w:ind w:right="1876"/>
              <w:spacing w:after="0"/>
              <w:rPr>
                <w:sz w:val="20"/>
                <w:szCs w:val="20"/>
                <w:color w:val="auto"/>
              </w:rPr>
            </w:pPr>
            <w:r>
              <w:rPr>
                <w:rFonts w:ascii="Times New Roman" w:cs="Times New Roman" w:eastAsia="Times New Roman" w:hAnsi="Times New Roman"/>
                <w:sz w:val="22"/>
                <w:szCs w:val="22"/>
                <w:b w:val="1"/>
                <w:bCs w:val="1"/>
                <w:color w:val="auto"/>
                <w:w w:val="97"/>
              </w:rPr>
              <w:t>Post-Effective Amendment No.</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8"/>
        </w:trPr>
        <w:tc>
          <w:tcPr>
            <w:tcW w:w="5060" w:type="dxa"/>
            <w:vAlign w:val="bottom"/>
          </w:tcPr>
          <w:p>
            <w:pPr>
              <w:jc w:val="center"/>
              <w:ind w:right="1576"/>
              <w:spacing w:after="0"/>
              <w:rPr>
                <w:sz w:val="20"/>
                <w:szCs w:val="20"/>
                <w:color w:val="auto"/>
              </w:rPr>
            </w:pPr>
            <w:r>
              <w:rPr>
                <w:rFonts w:ascii="Times New Roman" w:cs="Times New Roman" w:eastAsia="Times New Roman" w:hAnsi="Times New Roman"/>
                <w:sz w:val="18"/>
                <w:szCs w:val="18"/>
                <w:b w:val="1"/>
                <w:bCs w:val="1"/>
                <w:color w:val="auto"/>
                <w:w w:val="99"/>
              </w:rPr>
              <w:t>(Check appropriate box or boxes)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222885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621-3001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(Number, Street, City, State,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Peck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Rajib Chanda,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Grigoriou,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Pacheco,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 G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242570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25" w:right="559" w:bottom="1440" w:gutter="0" w:footer="0" w:header="0"/>
        </w:sectPr>
      </w:pPr>
    </w:p>
    <w:bookmarkStart w:id="1" w:name="page2"/>
    <w:bookmarkEnd w:id="1"/>
    <w:p>
      <w:pPr>
        <w:ind w:left="57"/>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196"/>
          </w:cols>
          <w:pgMar w:left="263" w:top="455" w:right="1440" w:bottom="1440" w:gutter="0" w:footer="0" w:header="0"/>
        </w:sectPr>
      </w:pPr>
    </w:p>
    <w:p>
      <w:pPr>
        <w:spacing w:after="0" w:line="368" w:lineRule="exact"/>
        <w:rPr>
          <w:sz w:val="20"/>
          <w:szCs w:val="20"/>
          <w:color w:val="auto"/>
        </w:rPr>
      </w:pPr>
    </w:p>
    <w:tbl>
      <w:tblPr>
        <w:tblLayout w:type="fixed"/>
        <w:tblInd w:w="240" w:type="dxa"/>
        <w:tblCellMar>
          <w:top w:w="0" w:type="dxa"/>
          <w:left w:w="0" w:type="dxa"/>
          <w:bottom w:w="0" w:type="dxa"/>
          <w:right w:w="0" w:type="dxa"/>
        </w:tblCellMar>
      </w:tblPr>
      <w:tr>
        <w:trPr>
          <w:trHeight w:val="40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FF4338"/>
              </w:rPr>
              <w:t>offer</w:t>
            </w: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1260"/>
        </w:trPr>
        <w:tc>
          <w:tcPr>
            <w:tcW w:w="650" w:type="dxa"/>
            <w:vAlign w:val="bottom"/>
            <w:textDirection w:val="btLr"/>
          </w:tcPr>
          <w:p>
            <w:pPr>
              <w:spacing w:after="0" w:line="266" w:lineRule="auto"/>
              <w:rPr>
                <w:sz w:val="20"/>
                <w:szCs w:val="20"/>
                <w:color w:val="auto"/>
              </w:rPr>
            </w:pPr>
            <w:r>
              <w:rPr>
                <w:rFonts w:ascii="Arial" w:cs="Arial" w:eastAsia="Arial" w:hAnsi="Arial"/>
                <w:sz w:val="17"/>
                <w:szCs w:val="17"/>
                <w:b w:val="1"/>
                <w:bCs w:val="1"/>
                <w:color w:val="FF4338"/>
              </w:rPr>
              <w:t>to sell these securities and it is not soliciting an offer to buy these securities in any jurisdiction where the offer or sale is not permitted. securities until the registration statement filed with the Securities and Exchange Commission is effective. This Prospectus is not an The information in this prospectus is not complete and may be changed. We may not complete the exchange offers and issue these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OCTOBER 1,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2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2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5"/>
          <w:szCs w:val="25"/>
          <w:b w:val="1"/>
          <w:bCs w:val="1"/>
          <w:color w:val="auto"/>
        </w:rPr>
        <w:t>$750,000,000 aggregate principal amount of 6.125% Notes due 2030 For</w:t>
      </w:r>
    </w:p>
    <w:p>
      <w:pPr>
        <w:spacing w:after="0" w:line="2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5"/>
          <w:szCs w:val="25"/>
          <w:b w:val="1"/>
          <w:bCs w:val="1"/>
          <w:color w:val="auto"/>
        </w:rPr>
        <w:t>$750,000,000 aggregate principal amount of 6.125% Notes due 2030</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5"/>
          <w:szCs w:val="25"/>
          <w:b w:val="1"/>
          <w:bCs w:val="1"/>
          <w:color w:val="auto"/>
        </w:rPr>
        <w:t>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225425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Sixth Street Lending Partners (the “Company”, “we”, “us”, or “our”) is offering to exchange all of its outstanding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6.125% Notes due 2030 that were issued in a transaction not requiring registration under the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“1933 Act”) on January 13, 2025 (the “Restricted Notes”), for an equal aggregate principal amount of its new (a) 6.125%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due 2030 (the “Exchange Notes”), that have been registered with the Securities and Exchange Commission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1933 Act. We refer to the Restricted Notes and the Exchange Notes collectively as the “Notes.”</w:t>
      </w:r>
    </w:p>
    <w:p>
      <w:pPr>
        <w:spacing w:after="0" w:line="207" w:lineRule="exact"/>
        <w:rPr>
          <w:sz w:val="20"/>
          <w:szCs w:val="20"/>
          <w:color w:val="auto"/>
        </w:rPr>
      </w:pPr>
    </w:p>
    <w:p>
      <w:pPr>
        <w:ind w:right="19" w:firstLine="371"/>
        <w:spacing w:after="0" w:line="258" w:lineRule="auto"/>
        <w:rPr>
          <w:sz w:val="20"/>
          <w:szCs w:val="20"/>
          <w:color w:val="auto"/>
        </w:rPr>
      </w:pPr>
      <w:r>
        <w:rPr>
          <w:rFonts w:ascii="Times New Roman" w:cs="Times New Roman" w:eastAsia="Times New Roman" w:hAnsi="Times New Roman"/>
          <w:sz w:val="18"/>
          <w:szCs w:val="18"/>
          <w:color w:val="auto"/>
        </w:rPr>
        <w:t>If you participate in the exchange offer, you will receive Exchange Notes for your Restricted Notes that are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w:t>
      </w:r>
    </w:p>
    <w:p>
      <w:pPr>
        <w:spacing w:after="0" w:line="17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MATERIAL TERMS OF THE EXCHANGE OFFER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exchange offer expires at 11:59 p.m., New York City time, on            , 2025, unless extended.</w:t>
      </w:r>
    </w:p>
    <w:p>
      <w:pPr>
        <w:spacing w:after="0" w:line="225" w:lineRule="exact"/>
        <w:rPr>
          <w:sz w:val="20"/>
          <w:szCs w:val="20"/>
          <w:color w:val="auto"/>
        </w:rPr>
      </w:pPr>
    </w:p>
    <w:p>
      <w:pPr>
        <w:jc w:val="both"/>
        <w:ind w:right="159" w:firstLine="371"/>
        <w:spacing w:after="0" w:line="266" w:lineRule="auto"/>
        <w:rPr>
          <w:sz w:val="20"/>
          <w:szCs w:val="20"/>
          <w:color w:val="auto"/>
        </w:rPr>
      </w:pPr>
      <w:r>
        <w:rPr>
          <w:rFonts w:ascii="Times New Roman" w:cs="Times New Roman" w:eastAsia="Times New Roman" w:hAnsi="Times New Roman"/>
          <w:sz w:val="18"/>
          <w:szCs w:val="18"/>
          <w:color w:val="auto"/>
        </w:rPr>
        <w:t>We will exchange all Restricted Notes that are validly tendered and not withdrawn prior to the expiration of the exchange offer for the Exchange Notes. You may withdraw tendered Restricted Notes at any time prior to the expiration of the exchange offer.</w:t>
      </w:r>
    </w:p>
    <w:p>
      <w:pPr>
        <w:spacing w:after="0" w:line="176" w:lineRule="exact"/>
        <w:rPr>
          <w:sz w:val="20"/>
          <w:szCs w:val="20"/>
          <w:color w:val="auto"/>
        </w:rPr>
      </w:pPr>
    </w:p>
    <w:p>
      <w:pPr>
        <w:ind w:right="59" w:firstLine="371"/>
        <w:spacing w:after="0" w:line="266" w:lineRule="auto"/>
        <w:rPr>
          <w:sz w:val="20"/>
          <w:szCs w:val="20"/>
          <w:color w:val="auto"/>
        </w:rPr>
      </w:pPr>
      <w:r>
        <w:rPr>
          <w:rFonts w:ascii="Times New Roman" w:cs="Times New Roman" w:eastAsia="Times New Roman" w:hAnsi="Times New Roman"/>
          <w:sz w:val="18"/>
          <w:szCs w:val="18"/>
          <w:color w:val="auto"/>
        </w:rPr>
        <w:t>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not receive any cash proceeds from the exchange offer.</w:t>
      </w:r>
    </w:p>
    <w:p>
      <w:pPr>
        <w:spacing w:after="0" w:line="225" w:lineRule="exact"/>
        <w:rPr>
          <w:sz w:val="20"/>
          <w:szCs w:val="20"/>
          <w:color w:val="auto"/>
        </w:rPr>
      </w:pPr>
    </w:p>
    <w:p>
      <w:pPr>
        <w:ind w:right="699" w:firstLine="371"/>
        <w:spacing w:after="0" w:line="282" w:lineRule="auto"/>
        <w:rPr>
          <w:sz w:val="20"/>
          <w:szCs w:val="20"/>
          <w:color w:val="auto"/>
        </w:rPr>
      </w:pPr>
      <w:r>
        <w:rPr>
          <w:rFonts w:ascii="Times New Roman" w:cs="Times New Roman" w:eastAsia="Times New Roman" w:hAnsi="Times New Roman"/>
          <w:sz w:val="18"/>
          <w:szCs w:val="18"/>
          <w:color w:val="auto"/>
        </w:rPr>
        <w:t>There is no active trading market for the Restricted Notes, and we do not intend to list the Exchange Notes on any securities exchange or to seek approval for quotations through any automated 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200025</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59" w:firstLine="371"/>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 Exchange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10 of this prospectus.</w:t>
      </w:r>
    </w:p>
    <w:p>
      <w:pPr>
        <w:spacing w:after="0" w:line="159" w:lineRule="exact"/>
        <w:rPr>
          <w:sz w:val="20"/>
          <w:szCs w:val="20"/>
          <w:color w:val="auto"/>
        </w:rPr>
      </w:pPr>
    </w:p>
    <w:p>
      <w:pPr>
        <w:ind w:right="79" w:firstLine="37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Exchange Notes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207010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 w:space="287"/>
            <w:col w:w="9259"/>
          </w:cols>
          <w:pgMar w:left="263" w:top="455" w:right="1440" w:bottom="1440" w:gutter="0" w:footer="0" w:header="0"/>
          <w:type w:val="continuous"/>
        </w:sectPr>
      </w:pPr>
    </w:p>
    <w:p>
      <w:pPr>
        <w:spacing w:after="0" w:line="333" w:lineRule="exact"/>
        <w:rPr>
          <w:sz w:val="20"/>
          <w:szCs w:val="20"/>
          <w:color w:val="auto"/>
        </w:rPr>
      </w:pPr>
    </w:p>
    <w:p>
      <w:pPr>
        <w:ind w:left="3877"/>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1">
            <w:col w:w="10196"/>
          </w:cols>
          <w:pgMar w:left="263" w:top="455"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 dealer, salesperson or other person is authorized to give any information or to represent anything not contained in this prospectus. You must not rely on any unauthorized information or representations. This prospectus is an offer to sell only the Exchange Notes offered hereby, but only under circumstances and in jurisdictions where it is lawful to do so. The information contained in this prospectus is current only as of its date.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8580" w:type="dxa"/>
            <w:vAlign w:val="bottom"/>
            <w:gridSpan w:val="18"/>
            <w:vMerge w:val="restart"/>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2100" w:type="dxa"/>
            <w:vAlign w:val="bottom"/>
            <w:tcBorders>
              <w:bottom w:val="single" w:sz="8" w:color="0000EE"/>
            </w:tcBorders>
            <w:gridSpan w:val="10"/>
            <w:vMerge w:val="continue"/>
          </w:tcPr>
          <w:p>
            <w:pPr>
              <w:spacing w:after="0"/>
              <w:rPr>
                <w:sz w:val="13"/>
                <w:szCs w:val="13"/>
                <w:color w:val="auto"/>
              </w:rPr>
            </w:pPr>
          </w:p>
        </w:tc>
        <w:tc>
          <w:tcPr>
            <w:tcW w:w="8580" w:type="dxa"/>
            <w:vAlign w:val="bottom"/>
            <w:gridSpan w:val="18"/>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9420" w:type="dxa"/>
            <w:vAlign w:val="bottom"/>
            <w:gridSpan w:val="26"/>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THE EXCHANGE OFFER</w:t>
            </w:r>
          </w:p>
        </w:tc>
        <w:tc>
          <w:tcPr>
            <w:tcW w:w="3340" w:type="dxa"/>
            <w:vAlign w:val="bottom"/>
            <w:tcBorders>
              <w:top w:val="single" w:sz="8" w:color="0000EE"/>
            </w:tcBorders>
            <w:gridSpan w:val="15"/>
          </w:tcPr>
          <w:p>
            <w:pPr>
              <w:spacing w:after="0"/>
              <w:rPr>
                <w:sz w:val="17"/>
                <w:szCs w:val="17"/>
                <w:color w:val="auto"/>
              </w:rPr>
            </w:pPr>
          </w:p>
        </w:tc>
        <w:tc>
          <w:tcPr>
            <w:tcW w:w="5340" w:type="dxa"/>
            <w:vAlign w:val="bottom"/>
            <w:gridSpan w:val="6"/>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EXCHANGE NOTES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MATERIAL U.S. FEDERAL INCOME TAX CONSIDERATIONS</w:t>
            </w:r>
          </w:p>
        </w:tc>
        <w:tc>
          <w:tcPr>
            <w:tcW w:w="5000" w:type="dxa"/>
            <w:vAlign w:val="bottom"/>
            <w:gridSpan w:val="4"/>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HIGHLIGHTS</w:t>
            </w:r>
          </w:p>
        </w:tc>
        <w:tc>
          <w:tcPr>
            <w:tcW w:w="8560" w:type="dxa"/>
            <w:vAlign w:val="bottom"/>
            <w:gridSpan w:val="17"/>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76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060" w:type="dxa"/>
            <w:vAlign w:val="bottom"/>
            <w:tcBorders>
              <w:top w:val="single" w:sz="8" w:color="0000EE"/>
            </w:tcBorders>
            <w:gridSpan w:val="16"/>
          </w:tcPr>
          <w:p>
            <w:pPr>
              <w:spacing w:after="0"/>
              <w:rPr>
                <w:sz w:val="17"/>
                <w:szCs w:val="17"/>
                <w:color w:val="auto"/>
              </w:rPr>
            </w:pPr>
          </w:p>
        </w:tc>
        <w:tc>
          <w:tcPr>
            <w:tcW w:w="4540" w:type="dxa"/>
            <w:vAlign w:val="bottom"/>
            <w:gridSpan w:val="3"/>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BUSINESS OF THE COMPANY</w:t>
            </w:r>
          </w:p>
        </w:tc>
        <w:tc>
          <w:tcPr>
            <w:tcW w:w="8220" w:type="dxa"/>
            <w:vAlign w:val="bottom"/>
            <w:gridSpan w:val="14"/>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REGULATION OF THE COMPANY</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7940" w:type="dxa"/>
            <w:vAlign w:val="bottom"/>
            <w:gridSpan w:val="12"/>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COMPANIES</w:t>
            </w:r>
          </w:p>
        </w:tc>
        <w:tc>
          <w:tcPr>
            <w:tcW w:w="8620" w:type="dxa"/>
            <w:vAlign w:val="bottom"/>
            <w:gridSpan w:val="20"/>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8520" w:type="dxa"/>
            <w:vAlign w:val="bottom"/>
            <w:gridSpan w:val="16"/>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PORTFOLIO MANAGEMENT</w:t>
            </w:r>
          </w:p>
        </w:tc>
        <w:tc>
          <w:tcPr>
            <w:tcW w:w="8340" w:type="dxa"/>
            <w:vAlign w:val="bottom"/>
            <w:gridSpan w:val="15"/>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5200" w:type="dxa"/>
            <w:vAlign w:val="bottom"/>
            <w:gridSpan w:val="5"/>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SHAREHOLDERS</w:t>
            </w:r>
          </w:p>
        </w:tc>
        <w:tc>
          <w:tcPr>
            <w:tcW w:w="6120" w:type="dxa"/>
            <w:vAlign w:val="bottom"/>
            <w:gridSpan w:val="7"/>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SHARES</w:t>
            </w:r>
          </w:p>
        </w:tc>
        <w:tc>
          <w:tcPr>
            <w:tcW w:w="8060" w:type="dxa"/>
            <w:vAlign w:val="bottom"/>
            <w:gridSpan w:val="13"/>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DIVIDEND REINVESTMENT PLAN</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60" w:type="dxa"/>
            <w:vAlign w:val="bottom"/>
            <w:gridSpan w:val="1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CUSTODIAN, TRANSFER AND DISTRIBUTION PAYING AGENT AND REGISTRAR</w:t>
            </w:r>
          </w:p>
        </w:tc>
        <w:tc>
          <w:tcPr>
            <w:tcW w:w="4060" w:type="dxa"/>
            <w:vAlign w:val="bottom"/>
            <w:gridSpan w:val="2"/>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BROKERAGE ALLOCATION AND OTHER PRACTICES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300" w:type="dxa"/>
            <w:vAlign w:val="bottom"/>
            <w:gridSpan w:val="8"/>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17"/>
                <w:szCs w:val="17"/>
                <w:color w:val="auto"/>
              </w:rPr>
            </w:pPr>
          </w:p>
        </w:tc>
        <w:tc>
          <w:tcPr>
            <w:tcW w:w="9220" w:type="dxa"/>
            <w:vAlign w:val="bottom"/>
            <w:gridSpan w:val="24"/>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860" w:type="dxa"/>
            <w:vAlign w:val="bottom"/>
            <w:gridSpan w:val="9"/>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80"/>
          </w:cols>
          <w:pgMar w:left="320" w:top="455"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important business and financial information about us that is not included in or delivered with the document. This information is available without charge to security holders upon written or oral request at: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(469) 621-3001</w:t>
      </w:r>
    </w:p>
    <w:p>
      <w:pPr>
        <w:spacing w:after="0" w:line="20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To obtain timely delivery, you must request information no later than five business days prior to the expiration of the exchange offer, which expiration is </w:t>
      </w:r>
      <w:r>
        <w:rPr>
          <w:rFonts w:ascii="Times New Roman" w:cs="Times New Roman" w:eastAsia="Times New Roman" w:hAnsi="Times New Roman"/>
          <w:sz w:val="18"/>
          <w:szCs w:val="18"/>
          <w:b w:val="1"/>
          <w:bCs w:val="1"/>
          <w:color w:val="auto"/>
        </w:rPr>
        <w:t>11:59 p.m., New York City time, on        , 2025.</w:t>
      </w:r>
    </w:p>
    <w:p>
      <w:pPr>
        <w:spacing w:after="0" w:line="158"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1933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320" w:top="455"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996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20" w:firstLine="426"/>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information contained elsewhere or incorporated by reference in this prospectus. This summary may not contain all of the information that is important to you, and it is qualified in its entirety by the more detailed information and financial statements, including the notes to those financial statements, appearing elsewhere or incorporated by reference in this prospectus. Please see the sections titled “Where You Can Find More Information” and “Incorporation by Reference.” Before making an investment decision, we encourage you to consider the information contained in and incorporated by reference in this prospectus, including the risks discussed under the heading “Risk Factors” </w:t>
      </w:r>
      <w:hyperlink r:id="rId26">
        <w:r>
          <w:rPr>
            <w:rFonts w:ascii="Times New Roman" w:cs="Times New Roman" w:eastAsia="Times New Roman" w:hAnsi="Times New Roman"/>
            <w:sz w:val="18"/>
            <w:szCs w:val="18"/>
            <w:i w:val="1"/>
            <w:iCs w:val="1"/>
            <w:color w:val="auto"/>
          </w:rPr>
          <w:t xml:space="preserve">beginning on page 10 of this prospectus, as well as the “Risk Factors” section of the Company’s </w:t>
        </w:r>
        <w:r>
          <w:rPr>
            <w:rFonts w:ascii="Times New Roman" w:cs="Times New Roman" w:eastAsia="Times New Roman" w:hAnsi="Times New Roman"/>
            <w:sz w:val="18"/>
            <w:szCs w:val="18"/>
            <w:i w:val="1"/>
            <w:iCs w:val="1"/>
            <w:u w:val="single" w:color="auto"/>
            <w:color w:val="0000EE"/>
          </w:rPr>
          <w:t>Annual Report on Form 10-K for the fiscal year</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ended December 31, 2024</w:t>
        </w:r>
        <w:r>
          <w:rPr>
            <w:rFonts w:ascii="Times New Roman" w:cs="Times New Roman" w:eastAsia="Times New Roman" w:hAnsi="Times New Roman"/>
            <w:sz w:val="18"/>
            <w:szCs w:val="18"/>
            <w:i w:val="1"/>
            <w:iCs w:val="1"/>
            <w:color w:val="000000"/>
          </w:rPr>
          <w:t>, and any updates to those risk factors contained in the Company’s subsequent Quarterly Reports on Form 10-Q and</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Current Reports on Form 8-K filed with the Securities and Exchange Commission (the “SEC”), all of which we incorporate by reference herein other than as specified.</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0" w:right="40" w:firstLine="426"/>
        <w:spacing w:after="0" w:line="258" w:lineRule="auto"/>
        <w:rPr>
          <w:sz w:val="20"/>
          <w:szCs w:val="20"/>
          <w:color w:val="auto"/>
        </w:rPr>
      </w:pPr>
      <w:r>
        <w:rPr>
          <w:rFonts w:ascii="Times New Roman" w:cs="Times New Roman" w:eastAsia="Times New Roman" w:hAnsi="Times New Roman"/>
          <w:sz w:val="18"/>
          <w:szCs w:val="18"/>
          <w:color w:val="auto"/>
        </w:rPr>
        <w:t>Sixth Street Lending Partners (together with its consolidated subsidiaries, the “Fund”, the “Company”, “we”, “us”, or “our”), is a Delaware statutory trust formed on April 5, 2022. We are a non-diversified, closed-end management investment company that has elected to be regulated as a business development company (“BDC”) under the Investment Company Act of 1940, as amended (the “1940 Act”). We are externally managed by our adviser, Sixth Street Lending Partners Advisers, LLC (the “Adviser”). The Adviser is an affiliate of Sixth Street Partners, LLC, and its consolidated subsidiaries (“Sixth Street”).</w:t>
      </w:r>
    </w:p>
    <w:p>
      <w:pPr>
        <w:spacing w:after="0" w:line="183" w:lineRule="exact"/>
        <w:rPr>
          <w:sz w:val="20"/>
          <w:szCs w:val="20"/>
          <w:color w:val="auto"/>
        </w:rPr>
      </w:pPr>
    </w:p>
    <w:p>
      <w:pPr>
        <w:ind w:left="200" w:right="100" w:firstLine="426"/>
        <w:spacing w:after="0" w:line="261"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0" w:lineRule="exact"/>
        <w:rPr>
          <w:sz w:val="20"/>
          <w:szCs w:val="20"/>
          <w:color w:val="auto"/>
        </w:rPr>
      </w:pPr>
    </w:p>
    <w:p>
      <w:pPr>
        <w:jc w:val="both"/>
        <w:ind w:left="200" w:right="180" w:firstLine="426"/>
        <w:spacing w:after="0" w:line="26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w:t>
      </w:r>
    </w:p>
    <w:p>
      <w:pPr>
        <w:spacing w:after="0" w:line="176" w:lineRule="exact"/>
        <w:rPr>
          <w:sz w:val="20"/>
          <w:szCs w:val="20"/>
          <w:color w:val="auto"/>
        </w:rPr>
      </w:pPr>
    </w:p>
    <w:p>
      <w:pPr>
        <w:ind w:left="2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200" w:right="600" w:firstLine="426"/>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ind w:left="200" w:right="20" w:firstLine="426"/>
        <w:spacing w:after="0" w:line="266" w:lineRule="auto"/>
        <w:rPr>
          <w:sz w:val="20"/>
          <w:szCs w:val="20"/>
          <w:color w:val="auto"/>
        </w:rPr>
      </w:pPr>
      <w:r>
        <w:rPr>
          <w:rFonts w:ascii="Times New Roman" w:cs="Times New Roman" w:eastAsia="Times New Roman" w:hAnsi="Times New Roman"/>
          <w:sz w:val="18"/>
          <w:szCs w:val="18"/>
          <w:color w:val="auto"/>
        </w:rPr>
        <w:t>A BDC is a special closed-end investment vehicle that is regulated under the 1940 Act and used to facilitate capital formation by smaller U.S. companies. BDCs are subject to certain restrictions applicable to investment companies under the 1940 Act. As a BDC, at least 70% of our assets must be the type of “qualifying” assets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40"/>
          </w:cols>
          <w:pgMar w:left="320" w:top="455"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1607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998970" cy="1607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6"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listed in Section 55(a) of the 1940 Act, as described herein, which are generally privately-offered securities issued by U.S. private or thinly-traded companies. We may also invest up to 30% of our portfolio in “non-qualifying” portfolio investments, such as investments in non-U.S. companies. </w:t>
      </w:r>
      <w:hyperlink r:id="rId26">
        <w:r>
          <w:rPr>
            <w:rFonts w:ascii="Times New Roman" w:cs="Times New Roman" w:eastAsia="Times New Roman" w:hAnsi="Times New Roman"/>
            <w:sz w:val="18"/>
            <w:szCs w:val="18"/>
            <w:color w:val="auto"/>
          </w:rPr>
          <w:t xml:space="preserve">See “Item 7. Management’s Discussion and Analysis of Financial Condition and Results of Operations” in the Company’s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10-K for the fiscal year ended December 31, 2024</w:t>
        </w:r>
        <w:r>
          <w:rPr>
            <w:rFonts w:ascii="Times New Roman" w:cs="Times New Roman" w:eastAsia="Times New Roman" w:hAnsi="Times New Roman"/>
            <w:sz w:val="18"/>
            <w:szCs w:val="18"/>
            <w:color w:val="000000"/>
          </w:rPr>
          <w:t>, and “Item 2. Management’s Discussion and Analysis of Financial Condition and Results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Operations” in the Company’s </w:t>
      </w:r>
      <w:hyperlink r:id="rId29">
        <w:r>
          <w:rPr>
            <w:rFonts w:ascii="Times New Roman" w:cs="Times New Roman" w:eastAsia="Times New Roman" w:hAnsi="Times New Roman"/>
            <w:sz w:val="18"/>
            <w:szCs w:val="18"/>
            <w:u w:val="single" w:color="auto"/>
            <w:color w:val="0000EE"/>
          </w:rPr>
          <w:t>Quarterly Report on Form 10-Q for the quarter ended June 30, 2025</w:t>
        </w:r>
      </w:hyperlink>
      <w:r>
        <w:rPr>
          <w:rFonts w:ascii="Times New Roman" w:cs="Times New Roman" w:eastAsia="Times New Roman" w:hAnsi="Times New Roman"/>
          <w:sz w:val="18"/>
          <w:szCs w:val="18"/>
          <w:color w:val="000000"/>
        </w:rPr>
        <w:t>, each of which is incorporated by reference herein.</w:t>
      </w:r>
    </w:p>
    <w:p>
      <w:pPr>
        <w:spacing w:after="0" w:line="187" w:lineRule="exact"/>
        <w:rPr>
          <w:rFonts w:ascii="Times New Roman" w:cs="Times New Roman" w:eastAsia="Times New Roman" w:hAnsi="Times New Roman"/>
          <w:sz w:val="18"/>
          <w:szCs w:val="18"/>
          <w:color w:val="auto"/>
        </w:rPr>
      </w:pPr>
    </w:p>
    <w:p>
      <w:pPr>
        <w:ind w:left="200" w:right="7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corporate headquarters are located at 2100 McKinney Avenue, Suite 1500, Dallas, TX 75201. We maintain a website at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Information contained on our website or on Sixth Street’s website at</w:t>
      </w:r>
      <w:r>
        <w:rPr>
          <w:rFonts w:ascii="Times New Roman" w:cs="Times New Roman" w:eastAsia="Times New Roman" w:hAnsi="Times New Roman"/>
          <w:sz w:val="18"/>
          <w:szCs w:val="18"/>
          <w:i w:val="1"/>
          <w:iCs w:val="1"/>
          <w:color w:val="auto"/>
        </w:rPr>
        <w:t xml:space="preserve"> https://sixthstreet.com </w:t>
      </w:r>
      <w:r>
        <w:rPr>
          <w:rFonts w:ascii="Times New Roman" w:cs="Times New Roman" w:eastAsia="Times New Roman" w:hAnsi="Times New Roman"/>
          <w:sz w:val="18"/>
          <w:szCs w:val="18"/>
          <w:color w:val="auto"/>
        </w:rPr>
        <w:t>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prospectus, and you should not consider that information to be part of this prospectus.</w:t>
      </w:r>
    </w:p>
    <w:p>
      <w:pPr>
        <w:spacing w:after="0" w:line="297" w:lineRule="exact"/>
        <w:rPr>
          <w:rFonts w:ascii="Times New Roman" w:cs="Times New Roman" w:eastAsia="Times New Roman" w:hAnsi="Times New Roman"/>
          <w:sz w:val="18"/>
          <w:szCs w:val="18"/>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0"/>
          </w:cols>
          <w:pgMar w:left="320" w:top="455" w:right="8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455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Offer</w:t>
      </w:r>
    </w:p>
    <w:p>
      <w:pPr>
        <w:spacing w:after="0" w:line="227" w:lineRule="exact"/>
        <w:rPr>
          <w:sz w:val="20"/>
          <w:szCs w:val="20"/>
          <w:color w:val="auto"/>
        </w:rPr>
      </w:pPr>
    </w:p>
    <w:p>
      <w:pPr>
        <w:ind w:left="200" w:right="26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exchange offer. It does not contain all the information that may be important to you. For a more complete description of the exchange offer, you should read the discussion under the heading “The Exchange Offer.”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$750,000,000 aggregate principal amount of 6.125% Notes due 2030 (the “Exchange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40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terms of our Exchange Notes that have been registered with the SEC under the</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Securities Act of 1933, as amended (the “1933 Act”), are substantially identical to those of</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our outstanding 6.125% Notes due 2030 (the “Restricted Notes”) that were issued in a</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transaction not requiring registration under the 1933 Act on January 13, 2025, except that</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transfer restrictions and registration rights relating to the Restricted Notes will not</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apply to the Exchange Notes, and the Exchange Notes will not provide for the payment of</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additional interest in the event of a registration default. In addition, the Exchange Notes</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will bear a different CUSIP number than the Restricted Notes. See “Description of the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38"/>
        </w:trPr>
        <w:tc>
          <w:tcPr>
            <w:tcW w:w="340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We refer to the Restricted Notes and the Exchange Notes as the “Notes.”</w:t>
            </w:r>
          </w:p>
        </w:tc>
      </w:tr>
      <w:tr>
        <w:trPr>
          <w:trHeight w:val="31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Notes</w:t>
            </w: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$750,000,000 aggregate principal amount of 6.125% Notes due 2030, which were issued in</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 private placement on January 13, 2025.</w:t>
            </w:r>
          </w:p>
        </w:tc>
      </w:tr>
      <w:tr>
        <w:trPr>
          <w:trHeight w:val="31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The Exchange Offer</w:t>
            </w: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the exchange offer, we will exchange the Restricted Notes that are validly tendered and</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withdrawn prior to the expiration of the exchange offer for a like principal amount of</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Exchange Notes to satisfy certain of our obligations under the applicable registration</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rights agreement that we entered into when the Restricted Notes were issued in reliance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upon exemptions from registration under the 1933 Act.</w:t>
            </w:r>
          </w:p>
        </w:tc>
      </w:tr>
      <w:tr>
        <w:trPr>
          <w:trHeight w:val="319"/>
        </w:trPr>
        <w:tc>
          <w:tcPr>
            <w:tcW w:w="340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order to be exchanged, outstanding Restricted Notes must be validly tendered and</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accepted. We will accept any and all Restricted Notes validly tendered and not withdrawn</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prior to 11:59 p.m., New York City time, on          , 2025. Holders may tender some or all</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of their Restricted Notes pursuant to the exchange offer. However, Restricted Notes may be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tendered only in denominations of $2,000 and integral multiples of $1,000.</w:t>
            </w:r>
          </w:p>
        </w:tc>
      </w:tr>
      <w:tr>
        <w:trPr>
          <w:trHeight w:val="319"/>
        </w:trPr>
        <w:tc>
          <w:tcPr>
            <w:tcW w:w="340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We will issue Exchange Notes promptly after the expiration of the exchange offer. See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Exchange Offer—Terms of the Exchange Offer.”</w:t>
            </w:r>
          </w:p>
        </w:tc>
      </w:tr>
      <w:tr>
        <w:trPr>
          <w:trHeight w:val="31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connection with the private placement of the Restricted Notes, we entered into a</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registration rights agreement with BofA Securities, Inc., as representatives of the several</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initial purchasers.</w:t>
            </w:r>
          </w:p>
        </w:tc>
      </w:tr>
      <w:tr>
        <w:trPr>
          <w:trHeight w:val="172"/>
        </w:trPr>
        <w:tc>
          <w:tcPr>
            <w:tcW w:w="34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tcPr>
          <w:p>
            <w:pPr>
              <w:spacing w:after="0"/>
              <w:rPr>
                <w:sz w:val="14"/>
                <w:szCs w:val="14"/>
                <w:color w:val="auto"/>
              </w:rPr>
            </w:pPr>
          </w:p>
        </w:tc>
      </w:tr>
      <w:tr>
        <w:trPr>
          <w:trHeight w:val="361"/>
        </w:trPr>
        <w:tc>
          <w:tcPr>
            <w:tcW w:w="3400" w:type="dxa"/>
            <w:vAlign w:val="bottom"/>
          </w:tcPr>
          <w:p>
            <w:pPr>
              <w:spacing w:after="0"/>
              <w:rPr>
                <w:sz w:val="24"/>
                <w:szCs w:val="24"/>
                <w:color w:val="auto"/>
              </w:rPr>
            </w:pPr>
          </w:p>
        </w:tc>
        <w:tc>
          <w:tcPr>
            <w:tcW w:w="7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20"/>
          </w:cols>
          <w:pgMar w:left="320" w:top="455"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421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Under the registration rights agreement, we agreed, for the benefit of the holders of the</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Restricted Notes, to use commercially reasonable efforts to:</w:t>
      </w:r>
    </w:p>
    <w:p>
      <w:pPr>
        <w:spacing w:after="0" w:line="112" w:lineRule="exact"/>
        <w:rPr>
          <w:sz w:val="20"/>
          <w:szCs w:val="20"/>
          <w:color w:val="auto"/>
        </w:rPr>
      </w:pPr>
    </w:p>
    <w:p>
      <w:pPr>
        <w:ind w:left="4740" w:right="60" w:hanging="297"/>
        <w:spacing w:after="0" w:line="256" w:lineRule="auto"/>
        <w:tabs>
          <w:tab w:leader="none" w:pos="4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registration statement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92" w:lineRule="exact"/>
        <w:rPr>
          <w:rFonts w:ascii="Times New Roman" w:cs="Times New Roman" w:eastAsia="Times New Roman" w:hAnsi="Times New Roman"/>
          <w:sz w:val="18"/>
          <w:szCs w:val="18"/>
          <w:color w:val="auto"/>
        </w:rPr>
      </w:pPr>
    </w:p>
    <w:p>
      <w:pPr>
        <w:ind w:left="4740" w:right="60" w:hanging="297"/>
        <w:spacing w:after="0" w:line="256" w:lineRule="auto"/>
        <w:tabs>
          <w:tab w:leader="none" w:pos="4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w:t>
      </w:r>
    </w:p>
    <w:p>
      <w:pPr>
        <w:spacing w:after="0" w:line="92" w:lineRule="exact"/>
        <w:rPr>
          <w:rFonts w:ascii="Times New Roman" w:cs="Times New Roman" w:eastAsia="Times New Roman" w:hAnsi="Times New Roman"/>
          <w:sz w:val="18"/>
          <w:szCs w:val="18"/>
          <w:color w:val="auto"/>
        </w:rPr>
      </w:pPr>
    </w:p>
    <w:p>
      <w:pPr>
        <w:ind w:left="4740" w:right="140" w:hanging="297"/>
        <w:spacing w:after="0" w:line="281" w:lineRule="auto"/>
        <w:tabs>
          <w:tab w:leader="none" w:pos="4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w:t>
      </w:r>
    </w:p>
    <w:p>
      <w:pPr>
        <w:spacing w:after="0" w:line="70" w:lineRule="exact"/>
        <w:rPr>
          <w:sz w:val="20"/>
          <w:szCs w:val="20"/>
          <w:color w:val="auto"/>
        </w:rPr>
      </w:pPr>
    </w:p>
    <w:p>
      <w:pPr>
        <w:ind w:left="4220" w:right="220"/>
        <w:spacing w:after="0" w:line="282"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constitutes an Exchange Offer Registration Statement for purposes of the registration rights agreements.</w:t>
      </w:r>
    </w:p>
    <w:p>
      <w:pPr>
        <w:spacing w:after="0" w:line="67" w:lineRule="exact"/>
        <w:rPr>
          <w:sz w:val="20"/>
          <w:szCs w:val="20"/>
          <w:color w:val="auto"/>
        </w:rPr>
      </w:pPr>
    </w:p>
    <w:p>
      <w:pPr>
        <w:ind w:left="4220"/>
        <w:spacing w:after="0" w:line="268" w:lineRule="auto"/>
        <w:rPr>
          <w:sz w:val="20"/>
          <w:szCs w:val="20"/>
          <w:color w:val="auto"/>
        </w:rPr>
      </w:pPr>
      <w:r>
        <w:rPr>
          <w:rFonts w:ascii="Times New Roman" w:cs="Times New Roman" w:eastAsia="Times New Roman" w:hAnsi="Times New Roman"/>
          <w:sz w:val="17"/>
          <w:szCs w:val="17"/>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no event shall such period be less than 20 business days after the commencement of the exchange offer. If we fail to meet certain conditions described in the applicable registration rights agreement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(the “Additional Interest”).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after any such reduction in interest</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320" w:top="455"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987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20" w:right="680"/>
        <w:spacing w:after="0" w:line="282" w:lineRule="auto"/>
        <w:rPr>
          <w:sz w:val="20"/>
          <w:szCs w:val="20"/>
          <w:color w:val="auto"/>
        </w:rPr>
      </w:pPr>
      <w:r>
        <w:rPr>
          <w:rFonts w:ascii="Times New Roman" w:cs="Times New Roman" w:eastAsia="Times New Roman" w:hAnsi="Times New Roman"/>
          <w:sz w:val="18"/>
          <w:szCs w:val="18"/>
          <w:color w:val="auto"/>
        </w:rPr>
        <w:t>rate, a different Registration Default occurs, the interest rate borne by the relevant Restricted Notes will again be increased pursuant to the foregoing provisions.</w:t>
      </w:r>
    </w:p>
    <w:p>
      <w:pPr>
        <w:spacing w:after="0" w:line="81" w:lineRule="exact"/>
        <w:rPr>
          <w:sz w:val="20"/>
          <w:szCs w:val="20"/>
          <w:color w:val="auto"/>
        </w:rPr>
      </w:pPr>
    </w:p>
    <w:p>
      <w:pPr>
        <w:ind w:left="4220" w:right="40"/>
        <w:spacing w:after="0" w:line="266" w:lineRule="auto"/>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 file a shelf registration statement covering the resale of the Notes and use its commercially reasonable efforts to cause such registration statement to be declared effective.</w:t>
      </w:r>
    </w:p>
    <w:p>
      <w:pPr>
        <w:spacing w:after="0" w:line="81" w:lineRule="exact"/>
        <w:rPr>
          <w:sz w:val="20"/>
          <w:szCs w:val="20"/>
          <w:color w:val="auto"/>
        </w:rPr>
      </w:pPr>
    </w:p>
    <w:p>
      <w:pPr>
        <w:ind w:left="4220" w:right="20"/>
        <w:spacing w:after="0" w:line="266" w:lineRule="auto"/>
        <w:rPr>
          <w:sz w:val="20"/>
          <w:szCs w:val="20"/>
          <w:color w:val="auto"/>
        </w:rPr>
      </w:pPr>
      <w:r>
        <w:rPr>
          <w:rFonts w:ascii="Times New Roman" w:cs="Times New Roman" w:eastAsia="Times New Roman" w:hAnsi="Times New Roman"/>
          <w:sz w:val="18"/>
          <w:szCs w:val="18"/>
          <w:color w:val="auto"/>
        </w:rPr>
        <w:t>A copy of the registration rights agreement is incorporated by reference as an exhibit to the registration statement of which this prospectus forms a part. See “The Exchange Offer— Purpose and Effect of the Exchange Offer.”</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Resales of Exchange Notes</w:t>
            </w:r>
          </w:p>
        </w:tc>
        <w:tc>
          <w:tcPr>
            <w:tcW w:w="7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We believe that the Exchange Notes received in the exchange offer may be resold or</w:t>
            </w:r>
          </w:p>
        </w:tc>
      </w:tr>
      <w:tr>
        <w:trPr>
          <w:trHeight w:val="216"/>
        </w:trPr>
        <w:tc>
          <w:tcPr>
            <w:tcW w:w="3020" w:type="dxa"/>
            <w:vAlign w:val="bottom"/>
          </w:tcPr>
          <w:p>
            <w:pPr>
              <w:spacing w:after="0"/>
              <w:rPr>
                <w:sz w:val="18"/>
                <w:szCs w:val="18"/>
                <w:color w:val="auto"/>
              </w:rPr>
            </w:pPr>
          </w:p>
        </w:tc>
        <w:tc>
          <w:tcPr>
            <w:tcW w:w="7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otherwise transferred by you without compliance with the registration and prospectus</w:t>
            </w:r>
          </w:p>
        </w:tc>
      </w:tr>
      <w:tr>
        <w:trPr>
          <w:trHeight w:val="216"/>
        </w:trPr>
        <w:tc>
          <w:tcPr>
            <w:tcW w:w="3020" w:type="dxa"/>
            <w:vAlign w:val="bottom"/>
          </w:tcPr>
          <w:p>
            <w:pPr>
              <w:spacing w:after="0"/>
              <w:rPr>
                <w:sz w:val="18"/>
                <w:szCs w:val="18"/>
                <w:color w:val="auto"/>
              </w:rPr>
            </w:pPr>
          </w:p>
        </w:tc>
        <w:tc>
          <w:tcPr>
            <w:tcW w:w="7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delivery requirements of the 1933 Act (subject to the limitations described below). This,</w:t>
            </w:r>
          </w:p>
        </w:tc>
      </w:tr>
      <w:tr>
        <w:trPr>
          <w:trHeight w:val="234"/>
        </w:trPr>
        <w:tc>
          <w:tcPr>
            <w:tcW w:w="3020" w:type="dxa"/>
            <w:vAlign w:val="bottom"/>
          </w:tcPr>
          <w:p>
            <w:pPr>
              <w:spacing w:after="0"/>
              <w:rPr>
                <w:sz w:val="20"/>
                <w:szCs w:val="20"/>
                <w:color w:val="auto"/>
              </w:rPr>
            </w:pPr>
          </w:p>
        </w:tc>
        <w:tc>
          <w:tcPr>
            <w:tcW w:w="7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however, is based on your representations to us that:</w:t>
            </w:r>
          </w:p>
        </w:tc>
      </w:tr>
      <w:tr>
        <w:trPr>
          <w:trHeight w:val="338"/>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are acquiring the Exchange Notes in the ordinary course of your business;</w:t>
            </w:r>
          </w:p>
        </w:tc>
      </w:tr>
      <w:tr>
        <w:trPr>
          <w:trHeight w:val="319"/>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are not engaging in and do not intend to engage in a distribution of the</w:t>
            </w:r>
          </w:p>
        </w:tc>
      </w:tr>
      <w:tr>
        <w:trPr>
          <w:trHeight w:val="234"/>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19"/>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do not have an arrangement or understanding with any person or entity to</w:t>
            </w:r>
          </w:p>
        </w:tc>
      </w:tr>
      <w:tr>
        <w:trPr>
          <w:trHeight w:val="234"/>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participate in the distribution of the Exchange Notes;</w:t>
            </w:r>
          </w:p>
        </w:tc>
      </w:tr>
      <w:tr>
        <w:trPr>
          <w:trHeight w:val="338"/>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are not our “affiliate,” as that term is defined in Rule 405 under the 1933 Act;</w:t>
            </w:r>
          </w:p>
        </w:tc>
      </w:tr>
      <w:tr>
        <w:trPr>
          <w:trHeight w:val="319"/>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you are not a broker-dealer tendering Restricted Notes acquired directly from us for</w:t>
            </w:r>
          </w:p>
        </w:tc>
      </w:tr>
      <w:tr>
        <w:trPr>
          <w:trHeight w:val="234"/>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your own account; and</w:t>
            </w:r>
          </w:p>
        </w:tc>
      </w:tr>
      <w:tr>
        <w:trPr>
          <w:trHeight w:val="319"/>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(6)</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are not acting on behalf of any person that could not truthfully make these</w:t>
            </w:r>
          </w:p>
        </w:tc>
      </w:tr>
      <w:tr>
        <w:trPr>
          <w:trHeight w:val="234"/>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w:t>
            </w:r>
          </w:p>
        </w:tc>
      </w:tr>
    </w:tbl>
    <w:p>
      <w:pPr>
        <w:spacing w:after="0" w:line="103" w:lineRule="exact"/>
        <w:rPr>
          <w:sz w:val="20"/>
          <w:szCs w:val="20"/>
          <w:color w:val="auto"/>
        </w:rPr>
      </w:pPr>
    </w:p>
    <w:p>
      <w:pPr>
        <w:ind w:left="4220"/>
        <w:spacing w:after="0" w:line="255" w:lineRule="auto"/>
        <w:rPr>
          <w:sz w:val="20"/>
          <w:szCs w:val="20"/>
          <w:color w:val="auto"/>
        </w:rPr>
      </w:pPr>
      <w:r>
        <w:rPr>
          <w:rFonts w:ascii="Times New Roman" w:cs="Times New Roman" w:eastAsia="Times New Roman" w:hAnsi="Times New Roman"/>
          <w:sz w:val="18"/>
          <w:szCs w:val="18"/>
          <w:color w:val="auto"/>
        </w:rPr>
        <w:t xml:space="preserve">Our belief is based on interpretations by the staff of the SEC, as set forth in no-action letters issued to third parties unrelated to us, including </w:t>
      </w:r>
      <w:r>
        <w:rPr>
          <w:rFonts w:ascii="Times New Roman" w:cs="Times New Roman" w:eastAsia="Times New Roman" w:hAnsi="Times New Roman"/>
          <w:sz w:val="18"/>
          <w:szCs w:val="18"/>
          <w:i w:val="1"/>
          <w:iCs w:val="1"/>
          <w:color w:val="auto"/>
        </w:rPr>
        <w:t>Exxon Capital Holdings Corp.</w:t>
      </w:r>
      <w:r>
        <w:rPr>
          <w:rFonts w:ascii="Times New Roman" w:cs="Times New Roman" w:eastAsia="Times New Roman" w:hAnsi="Times New Roman"/>
          <w:sz w:val="18"/>
          <w:szCs w:val="18"/>
          <w:color w:val="auto"/>
        </w:rPr>
        <w:t xml:space="preserve">, SEC no-action letter (April 13, 1988), </w:t>
      </w:r>
      <w:r>
        <w:rPr>
          <w:rFonts w:ascii="Times New Roman" w:cs="Times New Roman" w:eastAsia="Times New Roman" w:hAnsi="Times New Roman"/>
          <w:sz w:val="18"/>
          <w:szCs w:val="18"/>
          <w:i w:val="1"/>
          <w:iCs w:val="1"/>
          <w:color w:val="auto"/>
        </w:rPr>
        <w:t>Morgan, Stanley &amp; Co. Inc.</w:t>
      </w:r>
      <w:r>
        <w:rPr>
          <w:rFonts w:ascii="Times New Roman" w:cs="Times New Roman" w:eastAsia="Times New Roman" w:hAnsi="Times New Roman"/>
          <w:sz w:val="18"/>
          <w:szCs w:val="18"/>
          <w:color w:val="auto"/>
        </w:rPr>
        <w:t xml:space="preserve">, SEC no-action letter (June 5, 1991) and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SEC no-action letter (July 2, 1993). We have not asked the staff for a no-action letter in connection with the exchange offer, however, and we cannot assure you that the staff would make a similar determination with respect to the exchange offer.</w:t>
      </w:r>
    </w:p>
    <w:p>
      <w:pPr>
        <w:spacing w:after="0" w:line="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If you cannot make the representations described above:</w:t>
      </w:r>
    </w:p>
    <w:p>
      <w:pPr>
        <w:spacing w:after="0" w:line="131" w:lineRule="exact"/>
        <w:rPr>
          <w:sz w:val="20"/>
          <w:szCs w:val="20"/>
          <w:color w:val="auto"/>
        </w:rPr>
      </w:pPr>
    </w:p>
    <w:p>
      <w:pPr>
        <w:ind w:left="4440" w:right="880"/>
        <w:spacing w:after="0" w:line="391" w:lineRule="auto"/>
        <w:rPr>
          <w:sz w:val="20"/>
          <w:szCs w:val="20"/>
          <w:color w:val="auto"/>
        </w:rPr>
      </w:pPr>
      <w:r>
        <w:rPr>
          <w:rFonts w:ascii="Times New Roman" w:cs="Times New Roman" w:eastAsia="Times New Roman" w:hAnsi="Times New Roman"/>
          <w:sz w:val="18"/>
          <w:szCs w:val="18"/>
          <w:color w:val="auto"/>
        </w:rPr>
        <w:t>• you cannot rely on the applicable interpretations of the staff of the SEC; • you may not participate in the exchange offer; and</w:t>
      </w:r>
    </w:p>
    <w:p>
      <w:pPr>
        <w:spacing w:after="0" w:line="1" w:lineRule="exact"/>
        <w:rPr>
          <w:sz w:val="20"/>
          <w:szCs w:val="20"/>
          <w:color w:val="auto"/>
        </w:rPr>
      </w:pPr>
    </w:p>
    <w:p>
      <w:pPr>
        <w:ind w:left="4740" w:right="200" w:hanging="299"/>
        <w:spacing w:after="0" w:line="282" w:lineRule="auto"/>
        <w:tabs>
          <w:tab w:leader="none" w:pos="4720" w:val="left"/>
        </w:tabs>
        <w:rPr>
          <w:sz w:val="20"/>
          <w:szCs w:val="20"/>
          <w:color w:val="auto"/>
        </w:rPr>
      </w:pPr>
      <w:r>
        <w:rPr>
          <w:rFonts w:ascii="Times New Roman" w:cs="Times New Roman" w:eastAsia="Times New Roman" w:hAnsi="Times New Roman"/>
          <w:sz w:val="18"/>
          <w:szCs w:val="18"/>
          <w:color w:val="auto"/>
        </w:rPr>
        <w:t>•</w:t>
        <w:tab/>
        <w:t>you must, in the absence of an exemption therefrom, comply with the registration and prospectus delivery requirements of the</w:t>
      </w: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320" w:top="455" w:right="7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395"/>
        </w:trPr>
        <w:tc>
          <w:tcPr>
            <w:tcW w:w="4020" w:type="dxa"/>
            <w:vAlign w:val="bottom"/>
            <w:tcBorders>
              <w:top w:val="single" w:sz="8" w:color="auto"/>
              <w:left w:val="single" w:sz="8" w:color="auto"/>
            </w:tcBorders>
          </w:tcPr>
          <w:p>
            <w:pPr>
              <w:spacing w:after="0"/>
              <w:rPr>
                <w:sz w:val="24"/>
                <w:szCs w:val="24"/>
                <w:color w:val="auto"/>
              </w:rPr>
            </w:pPr>
          </w:p>
        </w:tc>
        <w:tc>
          <w:tcPr>
            <w:tcW w:w="700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1933 Act in connection with any resale or other transfer of your Restricted Notes.</w:t>
            </w:r>
          </w:p>
        </w:tc>
      </w:tr>
      <w:tr>
        <w:trPr>
          <w:trHeight w:val="319"/>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 Restricted Notes that were acquired as a result of market-making or other trading</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activities must acknowledge that it will comply with the prospectus delivery requirements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 the 1933 Act in connection with any resale or other transfer of the Exchange Notes</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received in the exchange offer. See “Plan of Distribution.”</w:t>
            </w:r>
          </w:p>
        </w:tc>
      </w:tr>
      <w:tr>
        <w:trPr>
          <w:trHeight w:val="319"/>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exchange offer will expire at 11:59 p.m., New York City time, on          , 2025, unless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we decide to extend the exchange offer. We do not currently intend to extend the exchange</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offer, although we reserve the right to do so.</w:t>
            </w:r>
          </w:p>
        </w:tc>
      </w:tr>
      <w:tr>
        <w:trPr>
          <w:trHeight w:val="319"/>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exchange offer is subject to customary conditions, including that it not violate any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applicable law or any applicable interpretation of the staff of the SEC. The exchange offer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is not conditioned upon any minimum principal amount of Restricted Notes being tendered</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 exchange. See “The Exchange Offer—Conditions.”</w:t>
            </w:r>
          </w:p>
        </w:tc>
      </w:tr>
      <w:tr>
        <w:trPr>
          <w:trHeight w:val="319"/>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Restricted Notes are represented by global securities in fully registered form without</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coupons. Beneficial interests in the Restricted Notes are held by direct or indirect</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participants in The Depository Trust Company (“DTC”) through certificateless depositary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interests and are shown on, and transfers of the Restricted Notes can be made only through,</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records maintained in book-entry form by DTC with respect to its participants.</w:t>
            </w:r>
          </w:p>
        </w:tc>
      </w:tr>
      <w:tr>
        <w:trPr>
          <w:trHeight w:val="319"/>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Accordingly, if you wish to exchange your Restricted Notes for Exchange Notes pursuant</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 the exchange offer, you must transmit to U.S. Bank Trust Company, National</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Association, our exchange agent, prior to the expiration of the exchange offer, a computer-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generated message transmitted through DTC’s Automated Tender Offer Program, which</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we refer to as “ATOP,” system and received by the exchange agent and forming a part of a</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confirmation of book-entry transfer in which you acknowledge and agree to be bound by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terms of the letter of transmittal (“Letter of Transmittal”). See “The Exchange Offer—</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Procedures for Tendering Restricted Notes.”</w:t>
            </w:r>
          </w:p>
        </w:tc>
      </w:tr>
      <w:tr>
        <w:trPr>
          <w:trHeight w:val="319"/>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Procedures for Beneficial Owners</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If you are the beneficial owner of Restricted Notes that are held in the name of a broker,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dealer, commercial bank, trust company or other nominee, and you wish to tender your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Restricted Notes in the exchange offer, you should promptly contact the person in whose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name your Restricted Notes are held and instruct that person to tender on your behalf. See</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Exchange Offer—Procedures for Tendering Restricted Notes.”</w:t>
            </w:r>
          </w:p>
        </w:tc>
      </w:tr>
      <w:tr>
        <w:trPr>
          <w:trHeight w:val="315"/>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Acceptance of Restricted Notes and Delivery of</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Except under the circumstances summarized above under “Conditions to the Exchange</w:t>
            </w:r>
          </w:p>
        </w:tc>
      </w:tr>
      <w:tr>
        <w:trPr>
          <w:trHeight w:val="238"/>
        </w:trPr>
        <w:tc>
          <w:tcPr>
            <w:tcW w:w="402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Offer,” we will accept for exchange any and all</w:t>
            </w:r>
          </w:p>
        </w:tc>
      </w:tr>
      <w:tr>
        <w:trPr>
          <w:trHeight w:val="186"/>
        </w:trPr>
        <w:tc>
          <w:tcPr>
            <w:tcW w:w="4020" w:type="dxa"/>
            <w:vAlign w:val="bottom"/>
            <w:tcBorders>
              <w:left w:val="single" w:sz="8" w:color="auto"/>
              <w:bottom w:val="single" w:sz="8" w:color="auto"/>
            </w:tcBorders>
          </w:tcPr>
          <w:p>
            <w:pPr>
              <w:spacing w:after="0"/>
              <w:rPr>
                <w:sz w:val="16"/>
                <w:szCs w:val="16"/>
                <w:color w:val="auto"/>
              </w:rPr>
            </w:pPr>
          </w:p>
        </w:tc>
        <w:tc>
          <w:tcPr>
            <w:tcW w:w="7000" w:type="dxa"/>
            <w:vAlign w:val="bottom"/>
            <w:tcBorders>
              <w:bottom w:val="single" w:sz="8" w:color="auto"/>
              <w:right w:val="single" w:sz="8" w:color="auto"/>
            </w:tcBorders>
          </w:tcPr>
          <w:p>
            <w:pPr>
              <w:spacing w:after="0"/>
              <w:rPr>
                <w:sz w:val="16"/>
                <w:szCs w:val="16"/>
                <w:color w:val="auto"/>
              </w:rPr>
            </w:pPr>
          </w:p>
        </w:tc>
      </w:tr>
      <w:tr>
        <w:trPr>
          <w:trHeight w:val="361"/>
        </w:trPr>
        <w:tc>
          <w:tcPr>
            <w:tcW w:w="4020" w:type="dxa"/>
            <w:vAlign w:val="bottom"/>
          </w:tcPr>
          <w:p>
            <w:pPr>
              <w:spacing w:after="0"/>
              <w:rPr>
                <w:sz w:val="24"/>
                <w:szCs w:val="24"/>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320" w:top="455"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335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20" w:right="280"/>
        <w:spacing w:after="0" w:line="258" w:lineRule="auto"/>
        <w:rPr>
          <w:sz w:val="20"/>
          <w:szCs w:val="20"/>
          <w:color w:val="auto"/>
        </w:rPr>
      </w:pPr>
      <w:r>
        <w:rPr>
          <w:rFonts w:ascii="Times New Roman" w:cs="Times New Roman" w:eastAsia="Times New Roman" w:hAnsi="Times New Roman"/>
          <w:sz w:val="18"/>
          <w:szCs w:val="18"/>
          <w:color w:val="auto"/>
        </w:rPr>
        <w:t>Restricted Notes that are validly tendered (and not withdrawn) in the exchange offer prior to 11:59 p.m., New York City time, on the expiration date of the exchange offer. The Exchange Notes to be issued to you in the exchange offer will be delivered by credit to the accounts at DTC of the applicable DTC participants promptly following completion of the exchange offer. See “The Exchange Offer—Terms of the Exchange Offer.”</w:t>
      </w:r>
    </w:p>
    <w:p>
      <w:pPr>
        <w:spacing w:after="0" w:line="98" w:lineRule="exact"/>
        <w:rPr>
          <w:sz w:val="20"/>
          <w:szCs w:val="20"/>
          <w:color w:val="auto"/>
        </w:rPr>
      </w:pPr>
    </w:p>
    <w:p>
      <w:pPr>
        <w:ind w:left="200"/>
        <w:spacing w:after="0"/>
        <w:tabs>
          <w:tab w:leader="none" w:pos="4200" w:val="left"/>
        </w:tabs>
        <w:rPr>
          <w:sz w:val="20"/>
          <w:szCs w:val="20"/>
          <w:color w:val="auto"/>
        </w:rPr>
      </w:pPr>
      <w:r>
        <w:rPr>
          <w:rFonts w:ascii="Times New Roman" w:cs="Times New Roman" w:eastAsia="Times New Roman" w:hAnsi="Times New Roman"/>
          <w:sz w:val="18"/>
          <w:szCs w:val="18"/>
          <w:b w:val="1"/>
          <w:bCs w:val="1"/>
          <w:color w:val="auto"/>
        </w:rPr>
        <w:t>Withdrawal Rights; Non-Acceptance</w:t>
      </w:r>
      <w:r>
        <w:rPr>
          <w:sz w:val="20"/>
          <w:szCs w:val="20"/>
          <w:color w:val="auto"/>
        </w:rPr>
        <w:tab/>
      </w:r>
      <w:r>
        <w:rPr>
          <w:rFonts w:ascii="Times New Roman" w:cs="Times New Roman" w:eastAsia="Times New Roman" w:hAnsi="Times New Roman"/>
          <w:sz w:val="17"/>
          <w:szCs w:val="17"/>
          <w:color w:val="auto"/>
        </w:rPr>
        <w:t>You may withdraw any tender of your Restricted Notes at any time prior to 11:59 p.m.,</w:t>
      </w:r>
    </w:p>
    <w:p>
      <w:pPr>
        <w:spacing w:after="0" w:line="31" w:lineRule="exact"/>
        <w:rPr>
          <w:sz w:val="20"/>
          <w:szCs w:val="20"/>
          <w:color w:val="auto"/>
        </w:rPr>
      </w:pPr>
    </w:p>
    <w:p>
      <w:pPr>
        <w:ind w:left="4220" w:right="340"/>
        <w:spacing w:after="0" w:line="252" w:lineRule="auto"/>
        <w:rPr>
          <w:sz w:val="20"/>
          <w:szCs w:val="20"/>
          <w:color w:val="auto"/>
        </w:rPr>
      </w:pPr>
      <w:r>
        <w:rPr>
          <w:rFonts w:ascii="Times New Roman" w:cs="Times New Roman" w:eastAsia="Times New Roman" w:hAnsi="Times New Roman"/>
          <w:sz w:val="18"/>
          <w:szCs w:val="18"/>
          <w:color w:val="auto"/>
        </w:rPr>
        <w:t>New York City time, on the expiration date of the exchange offer by following the procedures described in this prospectus and the letter of transmittal. Any Restricted Notes that have been tendered for exchange but are withdrawn or otherwise not exchanged for any reason will be returned by credit to the accounts at DTC of the applicable DTC participants, without cost to you, promptly after withdrawal of such Restricted Notes or expiration or termination of the exchange offer, as the case may be. See “The Exchange Offer—Withdrawal Rights.”</w:t>
      </w:r>
    </w:p>
    <w:p>
      <w:pPr>
        <w:sectPr>
          <w:pgSz w:w="11900" w:h="16838" w:orient="portrait"/>
          <w:cols w:equalWidth="0" w:num="1">
            <w:col w:w="11020"/>
          </w:cols>
          <w:pgMar w:left="320" w:top="455" w:right="559" w:bottom="1440" w:gutter="0" w:footer="0" w:header="0"/>
        </w:sectPr>
      </w:pPr>
    </w:p>
    <w:p>
      <w:pPr>
        <w:spacing w:after="0" w:line="90" w:lineRule="exact"/>
        <w:rPr>
          <w:sz w:val="20"/>
          <w:szCs w:val="20"/>
          <w:color w:val="auto"/>
        </w:rPr>
      </w:pPr>
    </w:p>
    <w:p>
      <w:pPr>
        <w:ind w:left="200" w:right="620"/>
        <w:spacing w:after="0" w:line="678" w:lineRule="auto"/>
        <w:rPr>
          <w:sz w:val="20"/>
          <w:szCs w:val="20"/>
          <w:color w:val="auto"/>
        </w:rPr>
      </w:pPr>
      <w:r>
        <w:rPr>
          <w:rFonts w:ascii="Times New Roman" w:cs="Times New Roman" w:eastAsia="Times New Roman" w:hAnsi="Times New Roman"/>
          <w:sz w:val="18"/>
          <w:szCs w:val="18"/>
          <w:b w:val="1"/>
          <w:bCs w:val="1"/>
          <w:color w:val="auto"/>
        </w:rPr>
        <w:t>No Appraisal or Dissenters’ Rights Exchange Agent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Holders of the Restricted Notes do not have any appraisal or dissenters’ rights in connection with the exchange offer.</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the trustee (the “Trustee”) under the Indenture (defined below) governing the Notes, is serving as the exchange agent in connection with the exchange offer.</w:t>
      </w:r>
    </w:p>
    <w:p>
      <w:pPr>
        <w:spacing w:after="0" w:line="77" w:lineRule="exact"/>
        <w:rPr>
          <w:sz w:val="20"/>
          <w:szCs w:val="20"/>
          <w:color w:val="auto"/>
        </w:rPr>
      </w:pPr>
    </w:p>
    <w:p>
      <w:pPr>
        <w:sectPr>
          <w:pgSz w:w="11900" w:h="16838" w:orient="portrait"/>
          <w:cols w:equalWidth="0" w:num="2">
            <w:col w:w="3500" w:space="720"/>
            <w:col w:w="680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tc>
      </w:tr>
      <w:tr>
        <w:trPr>
          <w:trHeight w:val="333"/>
        </w:trPr>
        <w:tc>
          <w:tcPr>
            <w:tcW w:w="384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you will retain Restricted Notes that are not registered under the 1933 Act and that</w:t>
            </w:r>
          </w:p>
        </w:tc>
      </w:tr>
      <w:tr>
        <w:trPr>
          <w:trHeight w:val="216"/>
        </w:trPr>
        <w:tc>
          <w:tcPr>
            <w:tcW w:w="38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will continue to be subject to restrictions on transfer that are described in the legend</w:t>
            </w:r>
          </w:p>
        </w:tc>
      </w:tr>
      <w:tr>
        <w:trPr>
          <w:trHeight w:val="234"/>
        </w:trPr>
        <w:tc>
          <w:tcPr>
            <w:tcW w:w="384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on the Restricted Notes;</w:t>
            </w:r>
          </w:p>
        </w:tc>
      </w:tr>
      <w:tr>
        <w:trPr>
          <w:trHeight w:val="319"/>
        </w:trPr>
        <w:tc>
          <w:tcPr>
            <w:tcW w:w="384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you will not be able, except in very limited instances, to require us to register your</w:t>
            </w:r>
          </w:p>
        </w:tc>
      </w:tr>
      <w:tr>
        <w:trPr>
          <w:trHeight w:val="234"/>
        </w:trPr>
        <w:tc>
          <w:tcPr>
            <w:tcW w:w="384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Restricted Notes under the 1933 Act;</w:t>
            </w:r>
          </w:p>
        </w:tc>
      </w:tr>
      <w:tr>
        <w:trPr>
          <w:trHeight w:val="319"/>
        </w:trPr>
        <w:tc>
          <w:tcPr>
            <w:tcW w:w="384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you will not be able to resell or transfer your Restricted Notes unless they are</w:t>
            </w:r>
          </w:p>
        </w:tc>
      </w:tr>
      <w:tr>
        <w:trPr>
          <w:trHeight w:val="216"/>
        </w:trPr>
        <w:tc>
          <w:tcPr>
            <w:tcW w:w="38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registered under the 1933 Act or unless you resell or transfer them pursuant to an</w:t>
            </w:r>
          </w:p>
        </w:tc>
      </w:tr>
      <w:tr>
        <w:trPr>
          <w:trHeight w:val="234"/>
        </w:trPr>
        <w:tc>
          <w:tcPr>
            <w:tcW w:w="384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exemption from registration under the 1933 Act; and</w:t>
            </w:r>
          </w:p>
        </w:tc>
      </w:tr>
      <w:tr>
        <w:trPr>
          <w:trHeight w:val="319"/>
        </w:trPr>
        <w:tc>
          <w:tcPr>
            <w:tcW w:w="384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the trading market for your Restricted Notes will become more limited to the extent</w:t>
            </w:r>
          </w:p>
        </w:tc>
      </w:tr>
      <w:tr>
        <w:trPr>
          <w:trHeight w:val="234"/>
        </w:trPr>
        <w:tc>
          <w:tcPr>
            <w:tcW w:w="384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that other holders of Restricted Notes participate in the exchange offer.</w:t>
            </w:r>
          </w:p>
        </w:tc>
      </w:tr>
      <w:tr>
        <w:trPr>
          <w:trHeight w:val="315"/>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w:t>
            </w: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Your exchange of Restricted Notes for Exchange Notes in the exchange offer will not result</w:t>
            </w:r>
          </w:p>
        </w:tc>
      </w:tr>
      <w:tr>
        <w:trPr>
          <w:trHeight w:val="220"/>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Considerations</w:t>
            </w: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any gain or loss to you for United States federal income tax purposes. See “Certain</w:t>
            </w:r>
          </w:p>
        </w:tc>
      </w:tr>
      <w:tr>
        <w:trPr>
          <w:trHeight w:val="234"/>
        </w:trPr>
        <w:tc>
          <w:tcPr>
            <w:tcW w:w="3840" w:type="dxa"/>
            <w:vAlign w:val="bottom"/>
          </w:tcPr>
          <w:p>
            <w:pPr>
              <w:spacing w:after="0"/>
              <w:rPr>
                <w:sz w:val="20"/>
                <w:szCs w:val="20"/>
                <w:color w:val="auto"/>
              </w:rPr>
            </w:pP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r>
      <w:tr>
        <w:trPr>
          <w:trHeight w:val="172"/>
        </w:trPr>
        <w:tc>
          <w:tcPr>
            <w:tcW w:w="3840" w:type="dxa"/>
            <w:vAlign w:val="bottom"/>
            <w:tcBorders>
              <w:bottom w:val="single" w:sz="8" w:color="auto"/>
            </w:tcBorders>
          </w:tcPr>
          <w:p>
            <w:pPr>
              <w:spacing w:after="0"/>
              <w:rPr>
                <w:sz w:val="14"/>
                <w:szCs w:val="14"/>
                <w:color w:val="auto"/>
              </w:rPr>
            </w:pPr>
          </w:p>
        </w:tc>
        <w:tc>
          <w:tcPr>
            <w:tcW w:w="7180" w:type="dxa"/>
            <w:vAlign w:val="bottom"/>
            <w:tcBorders>
              <w:bottom w:val="single" w:sz="8" w:color="auto"/>
            </w:tcBorders>
          </w:tcPr>
          <w:p>
            <w:pPr>
              <w:spacing w:after="0"/>
              <w:rPr>
                <w:sz w:val="14"/>
                <w:szCs w:val="14"/>
                <w:color w:val="auto"/>
              </w:rPr>
            </w:pPr>
          </w:p>
        </w:tc>
      </w:tr>
      <w:tr>
        <w:trPr>
          <w:trHeight w:val="361"/>
        </w:trPr>
        <w:tc>
          <w:tcPr>
            <w:tcW w:w="3840" w:type="dxa"/>
            <w:vAlign w:val="bottom"/>
          </w:tcPr>
          <w:p>
            <w:pPr>
              <w:spacing w:after="0"/>
              <w:rPr>
                <w:sz w:val="24"/>
                <w:szCs w:val="24"/>
                <w:color w:val="auto"/>
              </w:rPr>
            </w:pPr>
          </w:p>
        </w:tc>
        <w:tc>
          <w:tcPr>
            <w:tcW w:w="71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020"/>
          </w:cols>
          <w:pgMar w:left="320" w:top="455" w:right="5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6227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Notes</w:t>
      </w:r>
    </w:p>
    <w:p>
      <w:pPr>
        <w:spacing w:after="0" w:line="227" w:lineRule="exact"/>
        <w:rPr>
          <w:sz w:val="20"/>
          <w:szCs w:val="20"/>
          <w:color w:val="auto"/>
        </w:rPr>
      </w:pPr>
    </w:p>
    <w:p>
      <w:pPr>
        <w:ind w:left="200" w:right="2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Exchange Notes. Certain of the terms described below are subject to important limitations and exceptions. The “Description of the Exchange Notes” section of this prospectus contains a more detailed description of the terms of the Exchange Notes.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Sixth Street Lending Partners</w:t>
            </w:r>
          </w:p>
        </w:tc>
      </w:tr>
      <w:tr>
        <w:trPr>
          <w:trHeight w:val="351"/>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$750,000,000 aggregate principal amount of 6.125% Notes due 2030.</w:t>
            </w:r>
          </w:p>
        </w:tc>
      </w:tr>
      <w:tr>
        <w:trPr>
          <w:trHeight w:val="351"/>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Exchange Notes will mature on July 15, 2030.</w:t>
            </w:r>
          </w:p>
        </w:tc>
      </w:tr>
      <w:tr>
        <w:trPr>
          <w:trHeight w:val="333"/>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Exchange Notes will be our general unsecured obligations that rank senior in right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payment to all of our existing and future indebtedness that is expressly subordinated in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right of payment to the Exchange Notes. The Exchange Notes will rank equally in right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payment with all of our existing and future senior liabilities that are not so subordinated, or</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junior, effectively subordinated, or junior, to any of our secured indebtedness (including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unsecured indebtedness that we later secure) to the extent of the value of the assets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securing such indebtedness, and structurally junior to all existing and future indebtedness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other obligations (including trade payables) incurred by our subsidiaries, financing</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vehicles or similar facilities.</w:t>
            </w:r>
          </w:p>
        </w:tc>
      </w:tr>
      <w:tr>
        <w:trPr>
          <w:trHeight w:val="319"/>
        </w:trPr>
        <w:tc>
          <w:tcPr>
            <w:tcW w:w="3280" w:type="dxa"/>
            <w:vAlign w:val="bottom"/>
          </w:tcPr>
          <w:p>
            <w:pPr>
              <w:spacing w:after="0"/>
              <w:rPr>
                <w:sz w:val="24"/>
                <w:szCs w:val="24"/>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As of June 30, 2025, our total consolidated indebtedness, at par value, was approximately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$4.2 billion, $2.1 billion of which was secured, and $2.1 billion of which was unsecured or</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indebtedness of our subsidiaries.</w:t>
            </w:r>
          </w:p>
        </w:tc>
      </w:tr>
      <w:tr>
        <w:trPr>
          <w:trHeight w:val="319"/>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and Payment Dates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Notes bear cash interest from January 13, 2025, at an annual rate of 6.125% payable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on January 15 and July 15 of each year, which began on July 15, 2025. If an interest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payment date falls on a non-business day, the applicable interest payment will be made 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next business day and no additional interest will accrue as a result of such delayed</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payment.</w:t>
            </w:r>
          </w:p>
        </w:tc>
      </w:tr>
      <w:tr>
        <w:trPr>
          <w:trHeight w:val="319"/>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from time to time, at a redemption price (expressed as a percentage of principal amount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rounded to three decimal places) equal to the greater of (1)(a) the sum of the present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redemption date (assuming the Notes matured on June 15, 2030 (the date falling one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month prior to the maturity date of the Exchange Notes) (the “Par Call Date”)) on a semi-</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 months) using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applicable Treasury Rate (as defined below) plus 30 basis points, less (b) interest accrued</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 the date of redemption, or (2) 100% of the principal amount of the Notes to be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redeemed; provided, however, that if we redeem any Notes on or after the Par Call Date,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redemption price for the Notes will be equal to 100% of the principal amount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Notes to be redeemed, plus accrued and unpaid interest thereon to the date redemption.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determined by us in accordance with the below.</w:t>
            </w:r>
          </w:p>
        </w:tc>
      </w:tr>
      <w:tr>
        <w:trPr>
          <w:trHeight w:val="172"/>
        </w:trPr>
        <w:tc>
          <w:tcPr>
            <w:tcW w:w="328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20"/>
          </w:cols>
          <w:pgMar w:left="320" w:top="455"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376"/>
        </w:trPr>
        <w:tc>
          <w:tcPr>
            <w:tcW w:w="376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 of Control; Offer to Repurchase</w:t>
            </w:r>
          </w:p>
        </w:tc>
        <w:tc>
          <w:tcPr>
            <w:tcW w:w="72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If a Change of Control Repurchase Event described under “Description of the Exchange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Notes—Offer to Repurchase Upon a Change of Control Repurchase Event” occurs, holders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 the Exchange Notes will have the right, at their option, to require us to repurchase for</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cash some or all of the Notes at a repurchase price equal to 100% of the principal amount</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 the Notes being repurchased, plus accrued and unpaid interest to, but not including,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repurchase date. See “Description of the Exchange Notes—Offer to Repurchase Upon a</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Change of Control Repurchase Event.”</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exchange offer. In consideration for issuing the Exchange Notes as contemplated in this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prospectus, we will receive in exchange a like principal amount of Restricted Notes,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terms of which are substantially identical to the Exchange Notes. The Restricted Notes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surrendered in exchange for the Exchange Notes will be retired and cancelled and cannot</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be reissued. Accordingly, the issuance of the Exchange Notes will not result in any change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 our capitalization. We have agreed to bear the expenses of the exchange offer. No</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underwriter is being used in connection with the exchange offer.</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Book-Entry Form</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Exchange Notes will be issued in book-entry form and will be represented by</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permanent global certificates deposited with, or on behalf of, DTC, and registered in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Cede &amp; Co., as nominee of DTC. Beneficial interests in any of the Exchange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Notes will be shown on, and transfers will be effected only through, records maintained by</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DTC or its nominee, and any such interest may not be exchanged for certificated securities,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except in limited circumstances described below. See “Description of the Exchange Notes</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—Book-Entry System.”</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Trustee for the Exchange Notes will be U.S. Bank Trust Company, National</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Association.</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Indenture and the Restricted Notes are, and the Exchange Notes will be, governed by</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laws of the State of New York without regard to conflict of laws principles thereof.</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You should refer to the section entitled “Risk Factors” and other information included or</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incorporated by reference in this prospectus for an explanation of certain risks of investing</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 the Exchange Notes. See “Risk Factors.”</w:t>
            </w:r>
          </w:p>
        </w:tc>
      </w:tr>
      <w:tr>
        <w:trPr>
          <w:trHeight w:val="172"/>
        </w:trPr>
        <w:tc>
          <w:tcPr>
            <w:tcW w:w="3760" w:type="dxa"/>
            <w:vAlign w:val="bottom"/>
            <w:tcBorders>
              <w:left w:val="single" w:sz="8" w:color="auto"/>
              <w:bottom w:val="single" w:sz="8" w:color="auto"/>
            </w:tcBorders>
          </w:tcPr>
          <w:p>
            <w:pPr>
              <w:spacing w:after="0"/>
              <w:rPr>
                <w:sz w:val="14"/>
                <w:szCs w:val="14"/>
                <w:color w:val="auto"/>
              </w:rPr>
            </w:pPr>
          </w:p>
        </w:tc>
        <w:tc>
          <w:tcPr>
            <w:tcW w:w="7260" w:type="dxa"/>
            <w:vAlign w:val="bottom"/>
            <w:tcBorders>
              <w:bottom w:val="single" w:sz="8" w:color="auto"/>
              <w:right w:val="single" w:sz="8" w:color="auto"/>
            </w:tcBorders>
          </w:tcPr>
          <w:p>
            <w:pPr>
              <w:spacing w:after="0"/>
              <w:rPr>
                <w:sz w:val="14"/>
                <w:szCs w:val="14"/>
                <w:color w:val="auto"/>
              </w:rPr>
            </w:pPr>
          </w:p>
        </w:tc>
      </w:tr>
      <w:tr>
        <w:trPr>
          <w:trHeight w:val="361"/>
        </w:trPr>
        <w:tc>
          <w:tcPr>
            <w:tcW w:w="3760" w:type="dxa"/>
            <w:vAlign w:val="bottom"/>
          </w:tcPr>
          <w:p>
            <w:pPr>
              <w:spacing w:after="0"/>
              <w:rPr>
                <w:sz w:val="24"/>
                <w:szCs w:val="24"/>
                <w:color w:val="auto"/>
              </w:rPr>
            </w:pPr>
          </w:p>
        </w:tc>
        <w:tc>
          <w:tcPr>
            <w:tcW w:w="7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020"/>
          </w:cols>
          <w:pgMar w:left="320" w:top="455"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60" w:firstLine="440"/>
        <w:spacing w:after="0" w:line="258"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 addition to the other information included in this prospectus, you should carefully consider the risks described under “Cautionary Statement </w:t>
      </w:r>
      <w:hyperlink r:id="rId26">
        <w:r>
          <w:rPr>
            <w:rFonts w:ascii="Times New Roman" w:cs="Times New Roman" w:eastAsia="Times New Roman" w:hAnsi="Times New Roman"/>
            <w:sz w:val="18"/>
            <w:szCs w:val="18"/>
            <w:i w:val="1"/>
            <w:iCs w:val="1"/>
            <w:color w:val="auto"/>
          </w:rPr>
          <w:t xml:space="preserve">Regarding Forward-Looking Statements” and under “Risk Factors” set forth in the Company’s </w:t>
        </w:r>
        <w:r>
          <w:rPr>
            <w:rFonts w:ascii="Times New Roman" w:cs="Times New Roman" w:eastAsia="Times New Roman" w:hAnsi="Times New Roman"/>
            <w:sz w:val="18"/>
            <w:szCs w:val="18"/>
            <w:i w:val="1"/>
            <w:iCs w:val="1"/>
            <w:u w:val="single" w:color="auto"/>
            <w:color w:val="0000EE"/>
          </w:rPr>
          <w:t>Annual Report on Form 10-K for the fiscal year ended</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December 31, 2024</w:t>
        </w:r>
        <w:r>
          <w:rPr>
            <w:rFonts w:ascii="Times New Roman" w:cs="Times New Roman" w:eastAsia="Times New Roman" w:hAnsi="Times New Roman"/>
            <w:sz w:val="18"/>
            <w:szCs w:val="18"/>
            <w:i w:val="1"/>
            <w:iCs w:val="1"/>
            <w:color w:val="000000"/>
          </w:rPr>
          <w:t>, and any updates to those risks contained in the Company’s subsequent Quarterly Reports on Form 10-Q and Current Reports on</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Form 8-K filed with the SEC, all of which are incorporated by reference in this prospectus, other than as specified, and the following risks before investing in the Exchange Notes.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Exchange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unsecured and therefore are effectively subordinated to any secured indebtedness we may incur.</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Exchange Notes are not secured by any of our assets or any of the assets of our subsidiaries. As a result, the Exchange Notes are effectively subordinated to any secured indebtedness we or our subsidiaries have outstanding as of the date of this prospectus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As of June 30, 2025, our total consolidated indebtedness, at par value, was approximately $4.2 billion, $2.1 billion of which was secured and $2.1 billion of which was unsecured indebtedness or indebtedness of our subsidiaries.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subordinated structurally to the indebtedness and other liabilities of our subsidiaries.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obligations exclusively of the Company and not of any of our subsidiaries. None of our subsidiaries is a guarantor of the Exchange Notes and the Exchange Notes are not required to be guaranteed by any subsidiaries we may acquire or create in the future. As of June 30, 2025, none of the indebtedness, at par value, required to be consolidated on our balance sheet was held through subsidiary financing vehicles and secured by certain assets of such subsidiaries. Except to the extent we are a creditor with recognized claims against our subsidiaries, all claims of creditors, including trade creditors, and holders of preferred stock, if any, of our subsidiaries will have priority over our claims (and therefore the claims of our creditors, including holders of the Exchange Notes)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Exchange Notes. In addition, our subsidiaries may incur substantial additional indebtedness in the future, all of which would be structurally senior to the Exchange Notes.</w:t>
      </w:r>
    </w:p>
    <w:p>
      <w:pPr>
        <w:spacing w:after="0" w:line="29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Exchange Notes, if any, could cause the liquidity or market value of the Exchange Notes to decline significantly.</w:t>
      </w:r>
    </w:p>
    <w:p>
      <w:pPr>
        <w:spacing w:after="0" w:line="5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the Exchange Notes of any changes in our credit ratings.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55"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subject to periodic review by the Rating Agencies (as defined herein). There can be no assurance that their respective credit ratings will remain for any given period of time or that such credit ratings will not be lowered or withdrawn entirely by the applicable ratings agency if in its judgment future circumstances relating to the basis of the credit rating, such as adverse changes in our business, financial condition and results of operations, so warrant.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market value of the Exchange Notes.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which could have an adverse effect on the market prices of the Exchange Notes. In general, as market interest rates rise, debt securities bearing interest at fixed rates of interest decline in value. Consequently, if you purchase Exchange Notes bearing interest at fixed rates and market interest rates increase, the market values of those Exchange Notes may decline. We cannot predict the future level of market interest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Exchange Notes contains limited protection for holders of the Exchange Notes.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Exchange Notes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an adverse impact on your investment in the Exchange Notes. In particular, the terms of the Indenture and the Exchange Notes do not place any restrictions on our or our subsidiaries’ ability to:</w:t>
      </w:r>
    </w:p>
    <w:p>
      <w:pPr>
        <w:spacing w:after="0" w:line="85" w:lineRule="exact"/>
        <w:rPr>
          <w:sz w:val="20"/>
          <w:szCs w:val="20"/>
          <w:color w:val="auto"/>
        </w:rPr>
      </w:pPr>
    </w:p>
    <w:p>
      <w:pPr>
        <w:ind w:left="980" w:right="140" w:hanging="432"/>
        <w:spacing w:after="0" w:line="25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Exchange Notes, (2) any indebtedness or other obligations that would be secured and therefore rank effectively senior in right of payment to the Exchange Notes to the extent of the values of the assets securing such debt,</w:t>
      </w:r>
    </w:p>
    <w:p>
      <w:pPr>
        <w:spacing w:after="0" w:line="1" w:lineRule="exact"/>
        <w:rPr>
          <w:rFonts w:ascii="Times New Roman" w:cs="Times New Roman" w:eastAsia="Times New Roman" w:hAnsi="Times New Roman"/>
          <w:sz w:val="18"/>
          <w:szCs w:val="18"/>
          <w:color w:val="auto"/>
        </w:rPr>
      </w:pPr>
    </w:p>
    <w:p>
      <w:pPr>
        <w:ind w:left="980" w:right="1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of ours that is guaranteed by one or more of our subsidiaries and which therefore is structurally senior to the Exchange Notes and (4) securities, indebtedness or obligations issued or incurred by our subsidiaries that would be senior to our equity interests in our subsidiaries and therefore rank structurally senior to the Exchange Notes with respect to the assets of our subsidiaries, in each case other than an incurrence of indebtedness or other obligation that would cause a violation of Section 18(a)(1)(A) of the 1940 Act as modified generally by Section 61(a) of the 1940 Act or any successor provisions, as such obligations may be amended or superseded, giving effect to any exemptive relief granted to us by the SEC;</w:t>
      </w:r>
    </w:p>
    <w:p>
      <w:pPr>
        <w:spacing w:after="0" w:line="95" w:lineRule="exact"/>
        <w:rPr>
          <w:rFonts w:ascii="Times New Roman" w:cs="Times New Roman" w:eastAsia="Times New Roman" w:hAnsi="Times New Roman"/>
          <w:sz w:val="18"/>
          <w:szCs w:val="18"/>
          <w:color w:val="auto"/>
        </w:rPr>
      </w:pPr>
    </w:p>
    <w:p>
      <w:pPr>
        <w:ind w:left="980" w:right="300" w:hanging="432"/>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Exchange Notes;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other than as described under “Description of the Exchange Notes—Events of Default” in this prospectus.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320" w:top="455" w:right="6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8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recapitalize, incur additional debt and take a number of other actions are not limited by the terms of the Exchange Notes and may have important consequences for you as a holder of the Exchange Notes, including making it more difficult for us to satisfy our obligations with respect to the Exchange Notes or negatively affecting the trading value of the Exchange Notes. Other debt we issue or incur in the future could contain more protections for its holders than the Indenture and the Exchange Notes, including additional covenants and events of default. See “Risk Factors—Risks Related to Debt Financing—We borrow money, which magnifies the potential for gain or loss and increases the risk of investing in us.” in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which is incorporated by reference herein. The issuance or incurrence of any such debt with incremental protections could affect the market for and trading levels and prices of the Exchange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Exchange Notes.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redeemable in whole or in part upon certain conditions at any time and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the Exchange Notes being redeemed.</w:t>
      </w:r>
    </w:p>
    <w:p>
      <w:pPr>
        <w:spacing w:after="0" w:line="28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public market for the Exchange Notes. If an active trading market for the Exchange Notes does not develop or is not maintained, you may not be able to sell them.</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a new issue of debt securities for which there currently is no trading market. We do not currently intend to apply for listing of the Exchange Notes on any securities exchange or for quotation of the Exchange Notes on any automated dealer quotation system. If no active trading market develops, you may not be able to resell your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initial purchasers in the private offerings of the outstanding Restricted Notes have advised us that they intend to make a market in the Exchange Notes as permitted by applicable laws and regulations; however, the initial purchasers are not obligated to make a market in any of the Exchange Notes, and they may discontinue their market-making activities at any time without notice. Accordingly, we cannot assure you that an active and liquid trading market will develop or continue for the Exchange Notes, that you will be able to sell your Exchange Notes at a particular time or that the price you receive when you sell will be favorable. To the extent an active trading market does not develop, the liquidity and trading price for the Exchange Notes may be harmed. Accordingly, you may be required to bear the financial risk of an investment in the Exchange Notes for an indefinite period of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Exchange Notes.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Subscription Facility, or under other indebtedness to which we may be a party, that is not waived by the required lenders or holders and the remedies sought by the holders of such indebtedness could make us unable to pay principal, premium, if any, and interest on the Exchange Notes and substantially decrease the market value of the Exchange Notes.</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455"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due and payable, together with accrued and unpaid interest, the lenders under our Revolving Credit Facility, Subscription Facility or other debt we may incur in the future could elect to terminate their commitments, cease making further loans and institute foreclosure proceedings against our assets, and we could be forced into bankruptcy or liquidation.</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or Subscription Facility, could proceed against the collateral securing the debt. Because our Revolving Credit Facility and Subscription Facility have, the Indenture will have, and any future debt will likely have, customary cross-default provisions, if the indebtedness thereunder, hereunder or under any future credit facility is accelerated, we may be unable to repay or finance the amounts due. See “Description of the Exchange Notes” in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Exchange Notes upon a Change of Control Repurchase Event.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may not be able to repurchase the Exchange Notes upon a Change of Control Repurchase Event because we may not have sufficient funds. Upon a Change of Control Repurchase Event, holders of the Exchange Notes may require us to repurchase for cash some or all of the Exchange Notes at a repurchase price equal to 100% of the aggregate principal amount of the Exchange Notes being repurchased, plus accrued and unpaid interest to, but not including, the repurchase date. The source of funds for that purchase of Exchange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Exchange Notes tendered.</w:t>
      </w:r>
    </w:p>
    <w:p>
      <w:pPr>
        <w:spacing w:after="0" w:line="189" w:lineRule="exact"/>
        <w:rPr>
          <w:sz w:val="20"/>
          <w:szCs w:val="20"/>
          <w:color w:val="auto"/>
        </w:rPr>
      </w:pPr>
    </w:p>
    <w:p>
      <w:pPr>
        <w:jc w:val="both"/>
        <w:ind w:right="40" w:firstLine="440"/>
        <w:spacing w:after="0" w:line="255" w:lineRule="auto"/>
        <w:rPr>
          <w:sz w:val="20"/>
          <w:szCs w:val="20"/>
          <w:color w:val="auto"/>
        </w:rPr>
      </w:pPr>
      <w:r>
        <w:rPr>
          <w:rFonts w:ascii="Times New Roman" w:cs="Times New Roman" w:eastAsia="Times New Roman" w:hAnsi="Times New Roman"/>
          <w:sz w:val="18"/>
          <w:szCs w:val="18"/>
          <w:color w:val="auto"/>
        </w:rPr>
        <w:t>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Exchange Notes.</w:t>
      </w:r>
    </w:p>
    <w:p>
      <w:pPr>
        <w:spacing w:after="0" w:line="3"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See “Description of the Exchange Notes—Offer to Repurchase Upon a Change of Control Repurchase Event” in this prospectus for additional information.</w:t>
      </w:r>
    </w:p>
    <w:p>
      <w:pPr>
        <w:spacing w:after="0" w:line="2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corporate-level taxes which could adversely affect our cash flow and consequently adversely affect our ability to make payments on the Notes.</w:t>
      </w:r>
    </w:p>
    <w:p>
      <w:pPr>
        <w:spacing w:after="0" w:line="5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may be subject to certain corporate-level taxes regardless of whether we continue to qualify as a regulated investment company (“RIC”) under Subchapter M of the Internal Revenue Code of 1986, as amended. Additionally, should we fail to qualify as a RIC, we would be subject to corporate-level taxes on all of our taxable income. The imposition of corporate-level taxes could adversely affect our cash flow and consequently adversely affect our ability to make payments on the Exchange Notes.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320" w:top="455" w:right="5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Restricted Notes, they will continue to be restricted securities and may become less liquid.</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Restricted Notes that you do not validly tender or that we do not accept will, following the exchange offer, continue to be restricted securities, and you may not offer to sell them except under an exemption from, or in a transaction not subject to, the 1933 Act and applicable state securities laws. We will issue the Exchange Notes in exchange for the Restricted Notes in the exchange offer only following the satisfaction of the procedures and conditions set forth in “The Exchange Offer—Procedures for Tendering Restricted Notes.”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Broker-dealers may need to comply with the registration and prospectus delivery requirements of the 1933 Act.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1933 Act in connection with any resale transaction by that broker-dealer. Any profit on the resale of the Exchange Notes and any commission or concessions received by a broker-dealer may be deemed to be underwriting compensation under the 1933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the Exchange Notes in the exchange offer if the exchange offer procedures are not validly followed.</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0"/>
          </w:cols>
          <w:pgMar w:left="320" w:top="455" w:right="7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we have filed with the SEC, the following factors, among others, could cause actual results to differ materially from forward-looking statements or historical performance:</w:t>
      </w:r>
    </w:p>
    <w:p>
      <w:pPr>
        <w:spacing w:after="0" w:line="67" w:lineRule="exact"/>
        <w:rPr>
          <w:sz w:val="20"/>
          <w:szCs w:val="20"/>
          <w:color w:val="auto"/>
        </w:rPr>
      </w:pPr>
    </w:p>
    <w:p>
      <w:pPr>
        <w:ind w:left="980" w:right="16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980" w:right="140" w:hanging="432"/>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80" w:right="36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You should not place undue reliance on these forward-looking statements, which apply only as of the date of this report. These risks and uncertainties include those described or identified in the section entitled “Item 1A. Risk Factors” and elsewhere in this prospectus. We do not undertake any obligation to update or revise any forward-looking statements or any other information contained herein, except as required by applicable law. Because we are an investment company, the forward-looking statements and projections contained in this prospectus are excluded from the safe harbor protection provided by Section 21E of the U.S. Securities Exchange Act of 1934 Act, as amended (the “1934 Act”).</w:t>
      </w:r>
    </w:p>
    <w:p>
      <w:pPr>
        <w:spacing w:after="0" w:line="188" w:lineRule="exact"/>
        <w:rPr>
          <w:sz w:val="20"/>
          <w:szCs w:val="20"/>
          <w:color w:val="auto"/>
        </w:rPr>
      </w:pPr>
    </w:p>
    <w:p>
      <w:pPr>
        <w:ind w:firstLine="440"/>
        <w:spacing w:after="0" w:line="254"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Discussions containing these forward-looking statements may be found in the sections titled “Management’s Discussion and Analysis of Financial </w:t>
      </w:r>
      <w:hyperlink r:id="rId26">
        <w:r>
          <w:rPr>
            <w:rFonts w:ascii="Times New Roman" w:cs="Times New Roman" w:eastAsia="Times New Roman" w:hAnsi="Times New Roman"/>
            <w:sz w:val="18"/>
            <w:szCs w:val="18"/>
            <w:color w:val="auto"/>
          </w:rPr>
          <w:t xml:space="preserve">Condition and Results of Operations” incorporated by reference from the Company’s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December 31, 2024</w:t>
        </w:r>
        <w:r>
          <w:rPr>
            <w:rFonts w:ascii="Times New Roman" w:cs="Times New Roman" w:eastAsia="Times New Roman" w:hAnsi="Times New Roman"/>
            <w:sz w:val="18"/>
            <w:szCs w:val="18"/>
            <w:color w:val="000000"/>
          </w:rPr>
          <w:t xml:space="preserve">, and Quarterly Reports on Form 10-Q of the Company, as well as any amendments filed with the SEC. We discuss in </w:t>
        </w:r>
      </w:hyperlink>
      <w:r>
        <w:rPr>
          <w:rFonts w:ascii="Times New Roman" w:cs="Times New Roman" w:eastAsia="Times New Roman" w:hAnsi="Times New Roman"/>
          <w:sz w:val="18"/>
          <w:szCs w:val="18"/>
          <w:color w:val="0000EE"/>
        </w:rPr>
        <w:t xml:space="preserve">greater </w:t>
      </w:r>
      <w:r>
        <w:rPr>
          <w:rFonts w:ascii="Times New Roman" w:cs="Times New Roman" w:eastAsia="Times New Roman" w:hAnsi="Times New Roman"/>
          <w:sz w:val="18"/>
          <w:szCs w:val="18"/>
          <w:color w:val="000000"/>
        </w:rPr>
        <w:t>detail,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incorporate by reference into this prospectus in their entirety, many of these risks and uncertainties in the sections titled “Risk Factors” in this prospectus, and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000000"/>
        </w:rPr>
        <w:t>, and the Company’s subsequent Quarterly Reports on Form 10-Q. These projections and forward-looking statements apply only as of the date of this prospectus. Moreover, we assume no duty and do not undertake to update the forward-looking statements, except as required by applicable law. These forward-looking statements apply only as of the date of this prospectus. Moreover, we assume no duty and do not undertake to update the forward-looking statements, except as required by applicable law.</w:t>
      </w:r>
    </w:p>
    <w:p>
      <w:pPr>
        <w:spacing w:after="0" w:line="12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320" w:top="455"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We issued $750,000,000 aggregate principal amount of the Restricted Notes in a transaction not requiring registration under the 1933 Act on January 13, 2025.</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Restricted Notes were issued, and the Exchange Notes will be issued, pursuant to a base indenture dated as of March 11, 2024 (the “Base Indenture”) and the fourth supplemental indenture to the Base Indenture dated as of January 13, 2025 (the “Fourth Supplemental Indenture” and, together with the Base Indenture, the “Indenture”), between us and the Trustee.</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Restricted Notes, we entered into a registration rights agreement, which requires that we file this registration statement under the 1933 Act with respect to the Exchange Notes to be issued in the exchange offer and, upon the effectiveness of this registration statement, offer to you the opportunity to exchange your Restricted Notes for a like principal amount of Exchange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registration rights agreement, we agreed, for the benefit of the holders of the Restricted Notes, to use commercially reasonable efforts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12" w:lineRule="exact"/>
        <w:rPr>
          <w:sz w:val="20"/>
          <w:szCs w:val="20"/>
          <w:color w:val="auto"/>
        </w:rPr>
      </w:pPr>
    </w:p>
    <w:p>
      <w:pPr>
        <w:ind w:left="980" w:right="100" w:hanging="432"/>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85" w:lineRule="exact"/>
        <w:rPr>
          <w:rFonts w:ascii="Times New Roman" w:cs="Times New Roman" w:eastAsia="Times New Roman" w:hAnsi="Times New Roman"/>
          <w:sz w:val="18"/>
          <w:szCs w:val="18"/>
          <w:color w:val="auto"/>
        </w:rPr>
      </w:pPr>
    </w:p>
    <w:p>
      <w:pPr>
        <w:ind w:left="980" w:right="40" w:hanging="432"/>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w:t>
      </w:r>
    </w:p>
    <w:p>
      <w:pPr>
        <w:spacing w:after="0" w:line="85" w:lineRule="exact"/>
        <w:rPr>
          <w:rFonts w:ascii="Times New Roman" w:cs="Times New Roman" w:eastAsia="Times New Roman" w:hAnsi="Times New Roman"/>
          <w:sz w:val="18"/>
          <w:szCs w:val="18"/>
          <w:color w:val="auto"/>
        </w:rPr>
      </w:pPr>
    </w:p>
    <w:p>
      <w:pPr>
        <w:ind w:left="980" w:hanging="432"/>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such period be less than 20 business days after the commencement of the exchange offer. If there is a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Restricted Notes will again be increased pursuant to the foregoing provisions.</w:t>
      </w:r>
    </w:p>
    <w:p>
      <w:pPr>
        <w:spacing w:after="0" w:line="19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 file a shelf registration statement covering the resale of the Notes and use its commercially reasonable efforts to cause such registration statement to be declared effective.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320" w:top="455" w:right="5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right="180" w:firstLine="440"/>
        <w:spacing w:after="0" w:line="289" w:lineRule="auto"/>
        <w:rPr>
          <w:sz w:val="20"/>
          <w:szCs w:val="20"/>
          <w:color w:val="auto"/>
        </w:rPr>
      </w:pPr>
      <w:r>
        <w:rPr>
          <w:rFonts w:ascii="Times New Roman" w:cs="Times New Roman" w:eastAsia="Times New Roman" w:hAnsi="Times New Roman"/>
          <w:sz w:val="17"/>
          <w:szCs w:val="17"/>
          <w:color w:val="auto"/>
        </w:rPr>
        <w:t>The Exchange Notes will be issued without a restrictive legend, and except as set forth below, you may resell or otherwise transfer them without registration under the 1933 Act. After we complete the exchange offer, our obligation to register the exchange of Exchange Notes for Restricted Notes will terminate. A copy of the registration rights agreement has been filed as an exhibit to the registration statement of which this prospectus is a part.</w:t>
      </w:r>
    </w:p>
    <w:p>
      <w:pPr>
        <w:spacing w:after="0" w:line="15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Based on interpretations by the staff of the SEC set forth in no-action letters issued to third parties unrelated to us, including </w:t>
      </w:r>
      <w:r>
        <w:rPr>
          <w:rFonts w:ascii="Times New Roman" w:cs="Times New Roman" w:eastAsia="Times New Roman" w:hAnsi="Times New Roman"/>
          <w:sz w:val="18"/>
          <w:szCs w:val="18"/>
          <w:i w:val="1"/>
          <w:iCs w:val="1"/>
          <w:color w:val="auto"/>
        </w:rPr>
        <w:t>Exxon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w:t>
      </w:r>
      <w:r>
        <w:rPr>
          <w:rFonts w:ascii="Times New Roman" w:cs="Times New Roman" w:eastAsia="Times New Roman" w:hAnsi="Times New Roman"/>
          <w:sz w:val="18"/>
          <w:szCs w:val="18"/>
          <w:color w:val="auto"/>
        </w:rPr>
        <w:t>, SEC no-action letter (April 13, 1988),</w:t>
      </w:r>
      <w:r>
        <w:rPr>
          <w:rFonts w:ascii="Times New Roman" w:cs="Times New Roman" w:eastAsia="Times New Roman" w:hAnsi="Times New Roman"/>
          <w:sz w:val="18"/>
          <w:szCs w:val="18"/>
          <w:i w:val="1"/>
          <w:iCs w:val="1"/>
          <w:color w:val="auto"/>
        </w:rPr>
        <w:t xml:space="preserve"> Morgan, Stanley &amp; Co. Inc.</w:t>
      </w:r>
      <w:r>
        <w:rPr>
          <w:rFonts w:ascii="Times New Roman" w:cs="Times New Roman" w:eastAsia="Times New Roman" w:hAnsi="Times New Roman"/>
          <w:sz w:val="18"/>
          <w:szCs w:val="18"/>
          <w:color w:val="auto"/>
        </w:rPr>
        <w:t>, SEC no-action letter (June 5, 1991) and</w:t>
      </w:r>
      <w:r>
        <w:rPr>
          <w:rFonts w:ascii="Times New Roman" w:cs="Times New Roman" w:eastAsia="Times New Roman" w:hAnsi="Times New Roman"/>
          <w:sz w:val="18"/>
          <w:szCs w:val="18"/>
          <w:i w:val="1"/>
          <w:iCs w:val="1"/>
          <w:color w:val="auto"/>
        </w:rPr>
        <w:t xml:space="preserve"> Shearman &amp; Sterling</w:t>
      </w:r>
      <w:r>
        <w:rPr>
          <w:rFonts w:ascii="Times New Roman" w:cs="Times New Roman" w:eastAsia="Times New Roman" w:hAnsi="Times New Roman"/>
          <w:sz w:val="18"/>
          <w:szCs w:val="18"/>
          <w:color w:val="auto"/>
        </w:rPr>
        <w:t>,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1933 Act. Our belief, however, is based on your representations to us that:</w:t>
      </w:r>
    </w:p>
    <w:p>
      <w:pPr>
        <w:spacing w:after="0" w:line="91" w:lineRule="exact"/>
        <w:rPr>
          <w:sz w:val="20"/>
          <w:szCs w:val="20"/>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engaging in and do not intend to engage in a distribution of the Exchange Notes;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 arrangement or understanding with any person or entity to participate in the distribution of the Exchange Notes;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that term is defined in Rule 405 under the 1933 Act;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Restricted Notes acquired directly from us for your own account;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these representations.</w:t>
      </w:r>
    </w:p>
    <w:p>
      <w:pPr>
        <w:spacing w:after="0" w:line="225" w:lineRule="exact"/>
        <w:rPr>
          <w:sz w:val="20"/>
          <w:szCs w:val="20"/>
          <w:color w:val="auto"/>
        </w:rPr>
      </w:pPr>
    </w:p>
    <w:p>
      <w:pPr>
        <w:ind w:right="740" w:firstLine="440"/>
        <w:spacing w:after="0" w:line="266" w:lineRule="auto"/>
        <w:rPr>
          <w:sz w:val="20"/>
          <w:szCs w:val="20"/>
          <w:color w:val="auto"/>
        </w:rPr>
      </w:pPr>
      <w:r>
        <w:rPr>
          <w:rFonts w:ascii="Times New Roman" w:cs="Times New Roman" w:eastAsia="Times New Roman" w:hAnsi="Times New Roman"/>
          <w:sz w:val="18"/>
          <w:szCs w:val="18"/>
          <w:color w:val="auto"/>
        </w:rPr>
        <w:t>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1933 Act in order to resell your Restricted Notes.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not asked the staff for a no-action letter in connection with the exchange offer, however, and we cannot assure you that the staff would make a similar determination with respect to the exchange offer.</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you are not eligible to participate in the exchange offer, you can elect to have your Restricted Notes registered for resale on a “shelf” registration statement pursuant to Rule 415 under the 1933 Act. In the event that we are obligated to file a shelf registration statement, we will be required to use commercially reasonable efforts to keep the shelf registration statement effective for so long as such Restricted Notes remain registrable securities under the applicable registration rights agreement. Other than as set forth in this paragraph, you will not have the right to require us to register your Restricted Notes under the 1933 Act. See “—Procedures for Tendering Restricted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p>
      <w:pPr>
        <w:spacing w:after="0" w:line="131" w:lineRule="exact"/>
        <w:rPr>
          <w:sz w:val="20"/>
          <w:szCs w:val="20"/>
          <w:color w:val="auto"/>
        </w:rPr>
      </w:pPr>
    </w:p>
    <w:p>
      <w:pPr>
        <w:ind w:left="980" w:right="480" w:hanging="432"/>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retain your Restricted Notes that are not registered under the 1933 Act and they will continue to be subject to restrictions on transfer that are described in the legend on the Restricted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55"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right="100" w:hanging="432"/>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require us to register your Restricted Notes under the 1933 Act unless, as set forth above, you do not receive freely tradable Exchange Notes in the exchange offer or are not eligible to participate in the exchange offer, and we are obligated to file a shelf registration statement;</w:t>
      </w:r>
    </w:p>
    <w:p>
      <w:pPr>
        <w:spacing w:after="0" w:line="81"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resell or otherwise transfer your Restricted Notes unless they are registered under the 1933 Act or unless you offer to resell or transfer them pursuant to an exemption under the 1933 Act; and</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your Restricted Notes will become more limited to the extent that other holders of Restricted Notes participate in the exchange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the terms and subject to the conditions set forth in this prospectus and in the accompanying letter of transmittal, we will accept any and all Restricted Notes validly tendered and not withdrawn prior to 11:59 p.m., New York City time, 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2025,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The Exchange Notes issued to you in the exchange offer will be delivered by credit to the accounts at DTC of the applicable DTC participants.</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(except for Restricted Notes sold pursuant to the shelf registration statement described above). The Exchange Notes will be issued under and entitled to the benefits of the same indenture that authorized the issuance of the Restricted Notes.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$750,000,000 aggregate principal amount of the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validly tendered Restricted Notes if and when we have given oral (any such oral notice to be promptly confirmed in writing) or written notice of our acceptance to U.S. Bank Trust Company, National Association,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w:t>
      </w:r>
    </w:p>
    <w:p>
      <w:pPr>
        <w:spacing w:after="0" w:line="18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You will not be required to pay brokerage commissions or fees or transfer taxes, except as set forth under “—Transfer Taxes,” with respect to the exchange of your Restricted Notes in the exchange offer. We will pay all charges and expenses, other than certain applicable taxes, in connection with the exchange offer. See “—Fees and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 Extension; Amendment</w:t>
      </w:r>
    </w:p>
    <w:p>
      <w:pPr>
        <w:spacing w:after="0" w:line="117"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The expiration date for the exchange offer will be 11:59 p.m., New York City time, 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2025, unless we determine, in our sole discretion, to extend the exchange offer, in which case it will expire at the later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320" w:top="455" w:right="5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date and time to which it is extended. We do not currently intend to extend the exchange offer, however, although we reserve the right to do so. If we extend the exchange offer, we may delay acceptance of any Restricted Notes by giving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reserve the right, in our sole discretion:</w:t>
      </w:r>
    </w:p>
    <w:p>
      <w:pPr>
        <w:spacing w:after="0" w:line="131" w:lineRule="exact"/>
        <w:rPr>
          <w:sz w:val="20"/>
          <w:szCs w:val="20"/>
          <w:color w:val="auto"/>
        </w:rPr>
      </w:pPr>
    </w:p>
    <w:p>
      <w:pPr>
        <w:ind w:left="980" w:right="280" w:hanging="432"/>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tendered Restricted Notes upon the expiration of the exchange offer, and extend the exchange offer with respect to untendered Restricted Notes;</w:t>
      </w:r>
    </w:p>
    <w:p>
      <w:pPr>
        <w:spacing w:after="0" w:line="67" w:lineRule="exact"/>
        <w:rPr>
          <w:rFonts w:ascii="Times New Roman" w:cs="Times New Roman" w:eastAsia="Times New Roman" w:hAnsi="Times New Roman"/>
          <w:sz w:val="18"/>
          <w:szCs w:val="18"/>
          <w:color w:val="auto"/>
        </w:rPr>
      </w:pPr>
    </w:p>
    <w:p>
      <w:pPr>
        <w:ind w:left="980" w:right="40" w:hanging="432"/>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to delay accepting any Restricted Notes, to extend the exchange offer or to terminate the exchange offer if, in our reasonable judgment, any of the conditions set forth under “—Conditions” have not been satisfied or waived, to terminate the exchange offer by giving oral (any such oral notice to be promptly confirmed in writing) or written notice of such delay or termination to the exchange agent; or</w:t>
      </w:r>
    </w:p>
    <w:p>
      <w:pPr>
        <w:spacing w:after="0" w:line="85"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waive the terms and conditions of the exchange offer in any manner by complying with Rule 14e-l(d) under the Exchange Act, to the extent that rule applies.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“Description of the Exchange Notes—Book-Entry System.”</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“—Purpose and Effect of the Exchange Offer,” and be received by the exchange agent prior to 11:59 p.m., New York City time, on the expiration date.</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320" w:top="455"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w:t>
      </w:r>
    </w:p>
    <w:p>
      <w:pPr>
        <w:spacing w:after="0" w:line="89" w:lineRule="exact"/>
        <w:rPr>
          <w:sz w:val="20"/>
          <w:szCs w:val="20"/>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invalidly tender your Restricted Notes;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not cured any defects or irregularities in your tender;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waived those defects, irregularities or invalid tender.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reserve the right in our sole discretion to:</w:t>
      </w:r>
    </w:p>
    <w:p>
      <w:pPr>
        <w:spacing w:after="0" w:line="130"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make offers for, or offer Exchange Notes for, any Restricted Notes that remain outstanding subsequent to the expiration of the exchange offer;</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exchange offer;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purchase Restricted Notes in the open market, in privately negotiated transactions or otherwise.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any of these purchases of or offers for Restricted Notes could differ from the terms of the exchange offer.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Transfer</w:t>
      </w:r>
    </w:p>
    <w:p>
      <w:pPr>
        <w:spacing w:after="0" w:line="121"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exchange agent will make a request to establish an account with respect to the Restricted Notes at DTC for purposes of the exchange offer after the date of this prospectus, and any financial institution that is a participant in DTC’s systems may make book-entry delivery of Restricted Notes being tendered by causing DTC to transfer such Restricted Notes into the exchange agent’s account at DTC in accordance with DTC’s procedures for transfer.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320" w:top="455"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11:59 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11:59 p.m., New York City time, on the expiration date.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Guaranteed Delivery Procedures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Guaranteed delivery procedures are not available in connection with the exchange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withdraw tenders of your Restricted Notes at any time prior to 11:59 p.m., New York City time, on the expiration date of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your withdrawal to be effective, the exchange agent must receive an electronic ATOP transmission of the notice of withdrawal at its address set forth below under “—Exchange Agent,” prior to 11:59 p.m., New York City time, on the expiration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of withdrawal must:</w:t>
      </w:r>
    </w:p>
    <w:p>
      <w:pPr>
        <w:spacing w:after="0" w:line="131" w:lineRule="exact"/>
        <w:rPr>
          <w:sz w:val="20"/>
          <w:szCs w:val="20"/>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DTC account number of the DTC participant that tendered such Restricted Notes;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principal amount of Restricted Notes to be withdrawn;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account number of the DTC participant to which the withdrawn Restricted Notes should be credited;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statement that the holder is withdrawing its election to have the Restricted Notes exchanged.</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“—Procedures for Tendering Restricted Notes” above at any time on or prior to 11:59 p.m., New York City time, on the expiration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do not have any appraisal or dissenters’ rights in connection with the exchange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exchange offer, and subject to our obligations under the registration rights agreement, we will not be required to accept for exchange, or to issue Exchange Notes in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320" w:top="455"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exchange for, any Restricted Notes and may terminate or amend the exchange offer, if at any time before the acceptance of any Restricted Notes for exchange any one of the following events occurs:</w:t>
      </w:r>
    </w:p>
    <w:p>
      <w:pPr>
        <w:spacing w:after="0" w:line="67" w:lineRule="exact"/>
        <w:rPr>
          <w:sz w:val="20"/>
          <w:szCs w:val="20"/>
          <w:color w:val="auto"/>
        </w:rPr>
      </w:pPr>
    </w:p>
    <w:p>
      <w:pPr>
        <w:ind w:left="980" w:right="620" w:hanging="432"/>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injunction, order or decree has been issued by any court or any governmental agency that would prohibit, prevent or otherwise materially impair our ability to complete the exchange offer; or</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violates any applicable law or any applicable interpretation of the staff of the SEC.</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w:t>
      </w:r>
    </w:p>
    <w:p>
      <w:pPr>
        <w:spacing w:after="0" w:line="183"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exchange offer is not conditioned on any minimum principal amount of Restricted Notes being tendered for exchange.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have appointed U.S. Bank Trust Company, National Association as exchange agent for the exchange offer. Questions, requests for assistance and requests for additional copies of this prospectus, the Letter of Transmittal and other related documents should be directed to the exchange agent addressed as follows:</w:t>
      </w:r>
    </w:p>
    <w:p>
      <w:pPr>
        <w:spacing w:after="0" w:line="17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U.S. Bank Trust Company, National Association, as Exchange Agent</w:t>
      </w:r>
    </w:p>
    <w:p>
      <w:pPr>
        <w:spacing w:after="0" w:line="1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By Registered or Certified Mail, Overnight Delivery on or before</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11:59 p.m. New York City Time on the Expiration Date: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Actions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 Fillmore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For Information or Confirmation by Telephone Call: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(800) 934-6802</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By Email or Facsimile Transmission (for Eligible Institutions only):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cts.specfinance@usbank.com</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Facsimile: (651) 466-7367</w:t>
      </w:r>
    </w:p>
    <w:p>
      <w:pPr>
        <w:spacing w:after="0" w:line="20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A LETTER OF TRANSMITTAL TO AN ADDRESS OTHER THAN AS SET FORTH ABOVE, OR TRANSMISSION OF SUCH LETTER OF TRANSMITTAL VIA FACSIMILE OTHER THAN AS SET FORTH ABOVE, WILL NOT CONSTITUTE A VALID DELIVERY.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exchange agent also acts as the Trustee under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not pay brokers, dealers or others soliciting acceptances of the exchange offer. The principal solicitation is being made by 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solicitations, however, may be made in person, by email or by telephone by our officers and employees.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320" w:top="455" w:right="5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We will pay the estimated cash expenses to be incurred in connection with the exchange offer. These are estimated in the aggregate to be approximately $200,000, which includes fees and expenses of the exchange agent and accounting, legal, printing and related fees and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the Company pursuant to the exchange offer.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recognize any gain or loss for accounting purposes upon the consummation of the exchange offer. We will amortize the expense of the exchange offer over the term of the Exchange Notes under generally accepted accounting principles in the United States of America (“GAAP”).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55"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EXCHANGE NOTES</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We issued the Restricted Notes, and will issue the Exchange Notes, under the Base Indenture and the Fourth Supplemental Indenture. 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will have the meanings given to them in the Notes or the Indenture,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will have rights under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Restricted Notes are, and the Exchange Notes will be, our general senior unsecured obligations ranking equally in right of payment with all of our other senior unsecured indebtedness from time to time outstanding. The Notes will mature on July 15, 2030, unless previously redeemed or repurchased in full by us as provided below under “—Optional Redemption” or “—Offer to Repurchase Upon a Change of Control Repurchase Event.” The Exchange Notes and the Restricted Notes that remain outstanding after the exchange offer will be a single series under the Indenture.</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bear, and the Exchange Notes will bear, cash interest at the rate of 6.125% per annum from January 13, 2025, to the stated maturity or date of earlier redemption. Interest on the Notes will be payable semi-annually in arrears on each of January 15 and July 15, commencing July 15, 2025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January 15 and July 15 (whether or not a business day), respectively.</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comprised of twelve 30-day months.</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If an interest payment date or the stated maturity date or date of early redemption of the Notes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We issued the Restricted Notes in an aggregate principal amount of $750 million January 13, 2025, in a transaction not requiring registration under the 1933 Act.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(in any such case, other than any Exchange Notes, “Additional Notes”) under the Indenture with the same ranking and the same interest rate, maturity and other terms as the Notes of a series; provided that, if such Additional Notes are not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320" w:top="455"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fungible with the Notes of the applicable series (or any other tranche of Additional Notes) for U.S. federal income tax purposes, then such Additional Notes will have different CUSIP numbers from the Notes of such series (and any such other tranche of Additional Notes). Any Additional Notes and the existing Notes of a series will constitute a single series under the Indenture and all references to the relevant Notes herein will include the Additional Notes unless the context otherwise requires.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coupons in minimum denominations of $2,000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w:t>
      </w:r>
    </w:p>
    <w:p>
      <w:pPr>
        <w:spacing w:after="0" w:line="19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w:t>
      </w:r>
    </w:p>
    <w:p>
      <w:pPr>
        <w:spacing w:after="0" w:line="178"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The Notes will not be subject to any sinking fund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amounts will be set aside by us to ensure repayment of the Notes at maturity). As a result, our ability to repay the Notes at maturity will depend on our financial condition on the date that we are required to repay the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 from time to time, at a redemption price (expressed as a percentage of principal amount and rounded to three decimal places) equal to the greater of:</w:t>
      </w:r>
    </w:p>
    <w:p>
      <w:pPr>
        <w:spacing w:after="0" w:line="67" w:lineRule="exact"/>
        <w:rPr>
          <w:sz w:val="20"/>
          <w:szCs w:val="20"/>
          <w:color w:val="auto"/>
        </w:rPr>
      </w:pPr>
    </w:p>
    <w:p>
      <w:pPr>
        <w:jc w:val="both"/>
        <w:ind w:left="980" w:right="120" w:hanging="432"/>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30 basis points less (b) interest accrued to the date of redemption, or</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of the Notes.</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at any time on or after the Par Call Date, the Company may redeem some of or all of the Notes, at any time and from time to time, at a redemption price equal to 100% of the principal amount of the Notes to be redeemed plus, in each case, accrued and unpaid interest, if any, to, but excluding, the redemption date.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we choose to redeem any Notes, we will deliver a notice of redemption to holders of the Notes to be redeemed not less than 10 nor more than 60 days before the redemption date. If we are redeeming less than all of the Notes, the particular Notes to be redeemed will be selected in accordance with the applicable procedures of the Trustee and, so long as the Notes are registered to DTC or its nominee, the DTC;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5"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such partial redemption will reduce the portion of the principal amount of a Note not redeemed to less than $2,000. If any Note is to be redeemed in part only, the notice of redemption that relates to the Note will state the portion of the principal amount of the Note to be redeemed. Unless we default in payment of the redemption price, on and after the redemption date, interest will cease to accrue on the Notes or portions of the Notes called for redemption.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us in accordance with the below.</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—one yield corresponding to the Treasury constant maturity on H.15 immediately shorter than and one yield corresponding to the Treasury constant maturity on H.15 immediately longer than the Remaining Life—and shall interpolate to the applicable Par Call Date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of the Notes, as applicable. If there is no United States Treasury security maturing on the applicable Par Call Date of the Notes but there are two or more United States Treasury securities with a maturity date equally distant from the applicable Par Call Date of the Notes, one with a maturity date preceding the applicable Par Call Date of the Notes and one with a maturity date following the applicable Par Call Date of the Notes, we shall select the United States Treasury security with a maturity date preceding the applicable Par Call Date of the Notes. If there are two or more United States Treasury securities maturing on the applicable Par Call Date of the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7"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Our actions and determinations in determining the redemption price of any of the Notes shall be conclusive and binding for all purposes, absent manifest error. For the avoidance of doubt, the Trustee will not be responsible or liable for determining, confirming, or verifying the redemption price.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320" w:top="455"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67" w:lineRule="exact"/>
        <w:rPr>
          <w:sz w:val="20"/>
          <w:szCs w:val="20"/>
          <w:color w:val="auto"/>
        </w:rPr>
      </w:pPr>
    </w:p>
    <w:p>
      <w:pPr>
        <w:ind w:left="980" w:hanging="540"/>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130" w:lineRule="exact"/>
        <w:rPr>
          <w:rFonts w:ascii="Times New Roman" w:cs="Times New Roman" w:eastAsia="Times New Roman" w:hAnsi="Times New Roman"/>
          <w:sz w:val="18"/>
          <w:szCs w:val="18"/>
          <w:color w:val="auto"/>
        </w:rPr>
      </w:pPr>
    </w:p>
    <w:p>
      <w:pPr>
        <w:ind w:left="980" w:right="640" w:hanging="540"/>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980" w:right="500" w:hanging="540"/>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properly tendered the purchase price for the Notes, and the Trustee will promptly authenticate and mail (or cause to be transferred by book-entry) to each holder an Exchange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Exchange Note will be in a minimum principal amount of $2,000 or an integral multiple of $1,000 in excess thereof.</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76" w:lineRule="exact"/>
        <w:rPr>
          <w:sz w:val="20"/>
          <w:szCs w:val="20"/>
          <w:color w:val="auto"/>
        </w:rPr>
      </w:pPr>
    </w:p>
    <w:p>
      <w:pPr>
        <w:ind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and credit facility provide that certain change of control events will constitute an event of default thereunder entitling the lenders to accelerate any indebtedness outstanding under the credit facility at that time and to terminate the financing arrangements. See “Management’s Discussion and Analysis of Financial Condition and Results of Operations—Financial Condition, Liquidity and Capital Resources” in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and/or our most recently Quarterly Report on Form 10-Q, each of which is incorporated by reference herein, for a general discussion of our and our subsidiaries’ indebtedness.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320" w:top="455"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Related to the Exchange Notes—We may not be able to repurchase the Notes upon a Change of Control Repurchase Event” in this prospectus for more information.</w:t>
      </w:r>
    </w:p>
    <w:p>
      <w:pPr>
        <w:spacing w:after="0" w:line="18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the Exchange Notes:</w:t>
      </w:r>
    </w:p>
    <w:p>
      <w:pPr>
        <w:spacing w:after="0" w:line="11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9" w:lineRule="exact"/>
        <w:rPr>
          <w:sz w:val="20"/>
          <w:szCs w:val="20"/>
          <w:color w:val="auto"/>
        </w:rPr>
      </w:pPr>
    </w:p>
    <w:p>
      <w:pPr>
        <w:ind w:right="140" w:firstLine="448"/>
        <w:spacing w:after="0" w:line="258"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Sixth Street Lending Partners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lease, transfer, conveyance or disposition;</w:t>
      </w:r>
    </w:p>
    <w:p>
      <w:pPr>
        <w:spacing w:after="0" w:line="183" w:lineRule="exact"/>
        <w:rPr>
          <w:rFonts w:ascii="Times New Roman" w:cs="Times New Roman" w:eastAsia="Times New Roman" w:hAnsi="Times New Roman"/>
          <w:sz w:val="18"/>
          <w:szCs w:val="18"/>
          <w:color w:val="auto"/>
        </w:rPr>
      </w:pPr>
    </w:p>
    <w:p>
      <w:pPr>
        <w:ind w:right="220" w:firstLine="448"/>
        <w:spacing w:after="0" w:line="261"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Sixth Street Lending Partners,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right="280" w:firstLine="448"/>
        <w:spacing w:after="0" w:line="282"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Sixth Street Lending Partners’ stockholders of any plan or proposal relating to the liquidation or dissolution of Sixth Street Lending Partners.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Subsidiary</w:t>
      </w:r>
      <w:r>
        <w:rPr>
          <w:rFonts w:ascii="Times New Roman" w:cs="Times New Roman" w:eastAsia="Times New Roman" w:hAnsi="Times New Roman"/>
          <w:sz w:val="18"/>
          <w:szCs w:val="18"/>
          <w:color w:val="auto"/>
        </w:rPr>
        <w:t>” means any subsidiary of Sixth Street Lending Partners, 50% or more of the outstanding equity interests of which are owned by Sixth Street Lending Partners and its direct or indirect</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320" w:top="455" w:right="5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subsidiaries and of which Sixth Street Lending Partners possesses, directly or indirectly, the power to direct or cause the direction of the management or policies, whether through the ownership of voting equity interests, by agreement or otherwise.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(i) us, (ii) one or more of our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980" w:hanging="540"/>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30" w:lineRule="exact"/>
        <w:rPr>
          <w:rFonts w:ascii="Times New Roman" w:cs="Times New Roman" w:eastAsia="Times New Roman" w:hAnsi="Times New Roman"/>
          <w:sz w:val="18"/>
          <w:szCs w:val="18"/>
          <w:color w:val="auto"/>
        </w:rPr>
      </w:pPr>
    </w:p>
    <w:p>
      <w:pPr>
        <w:ind w:left="980" w:right="40" w:hanging="540"/>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ind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Consolidation or Sale of Assets</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transfer, lease, conveyance or disposition) in any one transaction or series of related transactions unless:</w:t>
      </w:r>
    </w:p>
    <w:p>
      <w:pPr>
        <w:spacing w:after="0" w:line="85" w:lineRule="exact"/>
        <w:rPr>
          <w:sz w:val="20"/>
          <w:szCs w:val="20"/>
          <w:color w:val="auto"/>
        </w:rPr>
      </w:pPr>
    </w:p>
    <w:p>
      <w:pPr>
        <w:ind w:left="980" w:right="60" w:hanging="432"/>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320" w:top="455" w:right="5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and the applicable registration rights agreement to be performed by us;</w:t>
      </w:r>
    </w:p>
    <w:p>
      <w:pPr>
        <w:spacing w:after="0" w:line="85"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980" w:right="320" w:hanging="432"/>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Covenants</w:t>
      </w:r>
    </w:p>
    <w:p>
      <w:pPr>
        <w:spacing w:after="0" w:line="133" w:lineRule="exact"/>
        <w:rPr>
          <w:sz w:val="20"/>
          <w:szCs w:val="20"/>
          <w:color w:val="auto"/>
        </w:rPr>
      </w:pPr>
    </w:p>
    <w:p>
      <w:pPr>
        <w:ind w:left="980" w:right="280" w:hanging="432"/>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980" w:right="20" w:hanging="432"/>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17" w:lineRule="exact"/>
        <w:rPr>
          <w:sz w:val="20"/>
          <w:szCs w:val="20"/>
          <w:color w:val="auto"/>
        </w:rPr>
      </w:pPr>
    </w:p>
    <w:p>
      <w:pPr>
        <w:ind w:left="5420" w:right="1220" w:hanging="4972"/>
        <w:spacing w:after="0" w:line="454" w:lineRule="auto"/>
        <w:tabs>
          <w:tab w:leader="none" w:pos="6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 31</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240" w:firstLine="448"/>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161" w:lineRule="exact"/>
        <w:rPr>
          <w:rFonts w:ascii="Times New Roman" w:cs="Times New Roman" w:eastAsia="Times New Roman" w:hAnsi="Times New Roman"/>
          <w:sz w:val="18"/>
          <w:szCs w:val="18"/>
          <w:color w:val="auto"/>
        </w:rPr>
      </w:pPr>
    </w:p>
    <w:p>
      <w:pPr>
        <w:ind w:right="260" w:firstLine="448"/>
        <w:spacing w:after="0" w:line="312" w:lineRule="auto"/>
        <w:tabs>
          <w:tab w:leader="none" w:pos="6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139" w:lineRule="exact"/>
        <w:rPr>
          <w:rFonts w:ascii="Times New Roman" w:cs="Times New Roman" w:eastAsia="Times New Roman" w:hAnsi="Times New Roman"/>
          <w:sz w:val="17"/>
          <w:szCs w:val="17"/>
          <w:color w:val="auto"/>
        </w:rPr>
      </w:pPr>
    </w:p>
    <w:p>
      <w:pPr>
        <w:ind w:firstLine="448"/>
        <w:spacing w:after="0" w:line="254"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188" w:lineRule="exact"/>
        <w:rPr>
          <w:rFonts w:ascii="Times New Roman" w:cs="Times New Roman" w:eastAsia="Times New Roman" w:hAnsi="Times New Roman"/>
          <w:sz w:val="18"/>
          <w:szCs w:val="18"/>
          <w:color w:val="auto"/>
        </w:rPr>
      </w:pPr>
    </w:p>
    <w:p>
      <w:pPr>
        <w:ind w:right="120" w:firstLine="448"/>
        <w:spacing w:after="0" w:line="266"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175" w:lineRule="exact"/>
        <w:rPr>
          <w:rFonts w:ascii="Times New Roman" w:cs="Times New Roman" w:eastAsia="Times New Roman" w:hAnsi="Times New Roman"/>
          <w:sz w:val="18"/>
          <w:szCs w:val="18"/>
          <w:color w:val="auto"/>
        </w:rPr>
      </w:pPr>
    </w:p>
    <w:p>
      <w:pPr>
        <w:ind w:left="700" w:hanging="252"/>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320" w:top="455" w:right="5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54" w:lineRule="exact"/>
        <w:rPr>
          <w:sz w:val="20"/>
          <w:szCs w:val="20"/>
          <w:color w:val="auto"/>
        </w:rPr>
      </w:pPr>
    </w:p>
    <w:p>
      <w:pPr>
        <w:ind w:left="1080" w:hanging="209"/>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17" w:lineRule="exact"/>
        <w:rPr>
          <w:rFonts w:ascii="Times New Roman" w:cs="Times New Roman" w:eastAsia="Times New Roman" w:hAnsi="Times New Roman"/>
          <w:sz w:val="18"/>
          <w:szCs w:val="18"/>
          <w:color w:val="auto"/>
        </w:rPr>
      </w:pPr>
    </w:p>
    <w:p>
      <w:pPr>
        <w:ind w:left="440" w:right="540" w:firstLine="431"/>
        <w:spacing w:after="0" w:line="282" w:lineRule="auto"/>
        <w:tabs>
          <w:tab w:leader="none" w:pos="11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have made written request to the Trustee to institute proceedings in respect of such event of default;</w:t>
      </w:r>
    </w:p>
    <w:p>
      <w:pPr>
        <w:spacing w:after="0" w:line="53" w:lineRule="exact"/>
        <w:rPr>
          <w:rFonts w:ascii="Times New Roman" w:cs="Times New Roman" w:eastAsia="Times New Roman" w:hAnsi="Times New Roman"/>
          <w:sz w:val="18"/>
          <w:szCs w:val="18"/>
          <w:color w:val="auto"/>
        </w:rPr>
      </w:pPr>
    </w:p>
    <w:p>
      <w:pPr>
        <w:ind w:left="440" w:right="460" w:firstLine="431"/>
        <w:spacing w:after="0" w:line="282" w:lineRule="auto"/>
        <w:tabs>
          <w:tab w:leader="none" w:pos="11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440" w:right="700" w:firstLine="431"/>
        <w:spacing w:after="0" w:line="282" w:lineRule="auto"/>
        <w:tabs>
          <w:tab w:leader="none" w:pos="11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53" w:lineRule="exact"/>
        <w:rPr>
          <w:rFonts w:ascii="Times New Roman" w:cs="Times New Roman" w:eastAsia="Times New Roman" w:hAnsi="Times New Roman"/>
          <w:sz w:val="18"/>
          <w:szCs w:val="18"/>
          <w:color w:val="auto"/>
        </w:rPr>
      </w:pPr>
    </w:p>
    <w:p>
      <w:pPr>
        <w:ind w:left="440" w:right="140" w:firstLine="431"/>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offering memorandum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100 Wall Street, New York, New York 10005.</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320" w:top="455"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Notes</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below, Notes will be issued in registered, global form, without interest coupons (the “Global Notes”). The Global Notes will be issued in minimum denominations of $2,000 and integral multiples of $1,000 in excess thereof. Exchange Notes will be issued at the closing of this offering only against payment in immediately available funds.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Global Notes will be deposited upon issuance with the Trustee as custodian for DTC and registered in the name of DTC’s nominee, Cede &amp; Co., in each case for credit to an account of a direct or indirect participant in DTC as described below.</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but not in part, only to DTC, to a nominee of DTC or to a successor of DTC or its nominee. Beneficial interests in the Global Notes may not be exchanged for notes in registered, certificated form (the “Certificated Notes”) except in the limited circumstances described below. See “—Certificated Notes.” Except in the limited circumstances described below, owners of beneficial interests in the Global Notes will not be entitled to receive physical delivery of notes in certificated form.</w:t>
      </w:r>
    </w:p>
    <w:p>
      <w:pPr>
        <w:spacing w:after="0" w:line="18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Procedures for Global Notes</w:t>
      </w:r>
    </w:p>
    <w:p>
      <w:pPr>
        <w:spacing w:after="0" w:line="11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initial purchasers are responsible for those operations or procedures.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5420" w:right="3980" w:hanging="4872"/>
        <w:spacing w:after="0" w:line="454" w:lineRule="auto"/>
        <w:tabs>
          <w:tab w:leader="none" w:pos="9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 35</w:t>
      </w:r>
    </w:p>
    <w:p>
      <w:pPr>
        <w:sectPr>
          <w:pgSz w:w="11900" w:h="16838" w:orient="portrait"/>
          <w:cols w:equalWidth="0" w:num="1">
            <w:col w:w="11020"/>
          </w:cols>
          <w:pgMar w:left="320" w:top="455"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w:t>
      </w:r>
    </w:p>
    <w:p>
      <w:pPr>
        <w:spacing w:after="0" w:line="189"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So long as the Notes are held in global form, Euroclear, Clearstream and/or DTC, as applicable, (or their respective nominees) will be considered the sole holders of Global Notes for all purposes under the Indenture. As such, participants must rely on the procedures of Euroclear, Clearstream and/or DTC and indirect participants must rely on the procedures of Euroclear, Clearstream and/ or DTC and the participants through which they own interests in the Notes, or Book-Entry Interests, in order to exercise any rights of holders under the Indenture.</w:t>
      </w:r>
    </w:p>
    <w:p>
      <w:pPr>
        <w:spacing w:after="0" w:line="180"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So long as DTC, Euroclear or Clearstream’s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81" w:lineRule="exact"/>
        <w:rPr>
          <w:sz w:val="20"/>
          <w:szCs w:val="20"/>
          <w:color w:val="auto"/>
        </w:rPr>
      </w:pPr>
    </w:p>
    <w:p>
      <w:pPr>
        <w:ind w:left="980" w:hanging="43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30" w:lineRule="exact"/>
        <w:rPr>
          <w:rFonts w:ascii="Times New Roman" w:cs="Times New Roman" w:eastAsia="Times New Roman" w:hAnsi="Times New Roman"/>
          <w:sz w:val="18"/>
          <w:szCs w:val="18"/>
          <w:color w:val="auto"/>
        </w:rPr>
      </w:pPr>
    </w:p>
    <w:p>
      <w:pPr>
        <w:ind w:left="980" w:right="160" w:hanging="432"/>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62"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Euroclear or Clearstream to exercise any rights of a holder of Notes under the Indenture (and, if the investor is not a participant or an indirect participant in DTC, Euroclear or Clearstream, on the procedures of the DTC, Euroclear or Clearstream participant through which the investor owns its interest).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with respect to the Notes represented by a Global Note will be made by the Trustee to DTC, Euroclear or Clearstream’s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Euroclear or Clearstream, or for maintaining, supervising or reviewing any records of DTC, Euroclear or Clearstream relating to those interests.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320" w:top="455" w:right="5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Payments by participants and indirect participants in DTC, Euroclear or Clearstream to the owners of beneficial interests in a Global Note will be governed by standing instructions and customary industry practice and will be the responsibility of those participants or indirect participants and DTC, Euroclear or Clearstream.</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Euroclear or Clearstream will be effected under DTC, Euroclear or Clearstream’s procedures and will be settled in same-day funds.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Certificated Notes</w:t>
      </w:r>
    </w:p>
    <w:p>
      <w:pPr>
        <w:spacing w:after="0" w:line="11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Euroclear or Clearstream identifies as a beneficial owner of the related Notes only if:</w:t>
      </w:r>
    </w:p>
    <w:p>
      <w:pPr>
        <w:spacing w:after="0" w:line="67" w:lineRule="exact"/>
        <w:rPr>
          <w:sz w:val="20"/>
          <w:szCs w:val="20"/>
          <w:color w:val="auto"/>
        </w:rPr>
      </w:pPr>
    </w:p>
    <w:p>
      <w:pPr>
        <w:ind w:left="980" w:right="260" w:hanging="43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Euroclear or Clearstream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320" w:top="455"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The exchange of Restricted Notes for Exchange Notes in the exchange offer will not constitute a taxable event to holders for U.S. federal income tax purposes. Consequently, for U.S. federal income tax purposes, (i) you will not recognize gain or loss as a result of the exchange, (ii) the holding period of the Exchange Notes you receive will include the holding period of the Restricted Notes exchanged therefor and (iii) the basis of the Exchange Notes you receive will be the same as the basis of the Restricted Notes exchanged therefor immediately before the exchange. The foregoing discussion is based on consultation with our counsel, Simpson Thacher &amp; Bartlett LLP, the opinion of which is included as an exhibit to this registration statement.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any event, persons considering the exchange of Restricted Notes for Exchange Notes should consult their own tax advisors concerning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consequences in light of their particular situations as well as any consequences arising under the laws of any other taxing jurisdiction.</w:t>
      </w:r>
    </w:p>
    <w:p>
      <w:pPr>
        <w:spacing w:after="0" w:line="205" w:lineRule="exact"/>
        <w:rPr>
          <w:sz w:val="20"/>
          <w:szCs w:val="20"/>
          <w:color w:val="auto"/>
        </w:rPr>
      </w:pPr>
    </w:p>
    <w:p>
      <w:pPr>
        <w:ind w:right="100" w:firstLine="4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xml:space="preserve">” in Part 1A and Item 1 of Part 1, respectively, of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which is incorporated herein by reference.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320" w:top="455"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firstLine="440"/>
        <w:spacing w:after="0" w:line="253"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following table of financial highlights is intended to help a prospective investor understand the Company’s financial performance for the periods shown. The financial data set forth in the following table as of and for the year ended December 31, 2024 are derived from our consolidated financial statements, which have been audited by KPMG LLP, an independent registered public accounting firm whose report thereon is incorporated by </w:t>
      </w:r>
      <w:hyperlink r:id="rId26">
        <w:r>
          <w:rPr>
            <w:rFonts w:ascii="Times New Roman" w:cs="Times New Roman" w:eastAsia="Times New Roman" w:hAnsi="Times New Roman"/>
            <w:sz w:val="18"/>
            <w:szCs w:val="18"/>
            <w:color w:val="auto"/>
          </w:rPr>
          <w:t xml:space="preserve">reference in this prospectus, certain documents incorporated by reference in this prospectus, or the Company’s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fiscal year ended December 31, 2024</w:t>
        </w:r>
        <w:r>
          <w:rPr>
            <w:rFonts w:ascii="Times New Roman" w:cs="Times New Roman" w:eastAsia="Times New Roman" w:hAnsi="Times New Roman"/>
            <w:sz w:val="18"/>
            <w:szCs w:val="18"/>
            <w:color w:val="000000"/>
          </w:rPr>
          <w:t>, which may be obtained from www.sec.gov or upon request. The Company’s unaudited financial statements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included in the Company’s </w:t>
      </w:r>
      <w:hyperlink r:id="rId29">
        <w:r>
          <w:rPr>
            <w:rFonts w:ascii="Times New Roman" w:cs="Times New Roman" w:eastAsia="Times New Roman" w:hAnsi="Times New Roman"/>
            <w:sz w:val="18"/>
            <w:szCs w:val="18"/>
            <w:u w:val="single" w:color="auto"/>
            <w:color w:val="0000EE"/>
          </w:rPr>
          <w:t>Quarterly Report on Form 10-Q for the quarter ended June 30, 2025</w:t>
        </w:r>
      </w:hyperlink>
      <w:r>
        <w:rPr>
          <w:rFonts w:ascii="Times New Roman" w:cs="Times New Roman" w:eastAsia="Times New Roman" w:hAnsi="Times New Roman"/>
          <w:sz w:val="18"/>
          <w:szCs w:val="18"/>
          <w:color w:val="000000"/>
        </w:rPr>
        <w:t xml:space="preserve">, are incorporated by reference herein. You should read these financial highlights in conjunction with our consolidated financial statements and notes thereto and “Management’s Discussion and Analysis of Financial Condition and Results of Operations” incorporated by reference in this prospectus, any documents incorporated by reference in this prospectus or the accompanying prospectus supplement, or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000000"/>
        </w:rPr>
        <w:t>, or Quarterly Report on Form 10-Q filed with the SEC.</w:t>
      </w:r>
    </w:p>
    <w:p>
      <w:pPr>
        <w:spacing w:after="0" w:line="194" w:lineRule="exact"/>
        <w:rPr>
          <w:rFonts w:ascii="Times New Roman" w:cs="Times New Roman" w:eastAsia="Times New Roman" w:hAnsi="Times New Roman"/>
          <w:sz w:val="18"/>
          <w:szCs w:val="18"/>
          <w:color w:val="0000EE"/>
        </w:rPr>
      </w:pPr>
    </w:p>
    <w:p>
      <w:pPr>
        <w:ind w:left="440"/>
        <w:spacing w:after="0"/>
        <w:rPr>
          <w:sz w:val="20"/>
          <w:szCs w:val="20"/>
          <w:color w:val="auto"/>
        </w:rPr>
      </w:pPr>
      <w:r>
        <w:rPr>
          <w:rFonts w:ascii="Times New Roman" w:cs="Times New Roman" w:eastAsia="Times New Roman" w:hAnsi="Times New Roman"/>
          <w:sz w:val="18"/>
          <w:szCs w:val="18"/>
          <w:color w:val="auto"/>
        </w:rPr>
        <w:t>The following are the financial highlights for one share of Common Shares outstanding for the six months ended June 30, 2025:</w:t>
      </w:r>
    </w:p>
    <w:p>
      <w:pPr>
        <w:spacing w:after="0" w:line="187" w:lineRule="exact"/>
        <w:rPr>
          <w:rFonts w:ascii="Times New Roman" w:cs="Times New Roman" w:eastAsia="Times New Roman" w:hAnsi="Times New Roman"/>
          <w:sz w:val="18"/>
          <w:szCs w:val="18"/>
          <w:color w:val="0000EE"/>
        </w:rPr>
      </w:pPr>
    </w:p>
    <w:tbl>
      <w:tblPr>
        <w:tblLayout w:type="fixed"/>
        <w:tblInd w:w="178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6"/>
                <w:szCs w:val="26"/>
                <w:b w:val="1"/>
                <w:bCs w:val="1"/>
                <w:color w:val="auto"/>
                <w:vertAlign w:val="superscript"/>
              </w:rPr>
              <w:t>(1)</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investment income</w:t>
            </w:r>
            <w:r>
              <w:rPr>
                <w:rFonts w:ascii="Times New Roman" w:cs="Times New Roman" w:eastAsia="Times New Roman" w:hAnsi="Times New Roman"/>
                <w:sz w:val="25"/>
                <w:szCs w:val="25"/>
                <w:color w:val="auto"/>
                <w:vertAlign w:val="superscript"/>
              </w:rPr>
              <w:t>(2)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realized and unrealized gains (loss)</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Net Common Share Issuance</w:t>
            </w:r>
            <w:r>
              <w:rPr>
                <w:rFonts w:ascii="Times New Roman" w:cs="Times New Roman" w:eastAsia="Times New Roman" w:hAnsi="Times New Roman"/>
                <w:sz w:val="25"/>
                <w:szCs w:val="25"/>
                <w:color w:val="auto"/>
                <w:vertAlign w:val="superscript"/>
              </w:rPr>
              <w:t>(3)</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Dividends Declared</w:t>
            </w:r>
            <w:r>
              <w:rPr>
                <w:rFonts w:ascii="Times New Roman" w:cs="Times New Roman" w:eastAsia="Times New Roman" w:hAnsi="Times New Roman"/>
                <w:sz w:val="25"/>
                <w:szCs w:val="25"/>
                <w:color w:val="auto"/>
                <w:vertAlign w:val="superscript"/>
              </w:rPr>
              <w:t>(4)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6"/>
                <w:szCs w:val="26"/>
                <w:color w:val="auto"/>
                <w:vertAlign w:val="superscript"/>
              </w:rPr>
              <w:t>(5)</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143,143,972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Ratios/Supplemental Data</w:t>
            </w:r>
            <w:r>
              <w:rPr>
                <w:rFonts w:ascii="Times New Roman" w:cs="Times New Roman" w:eastAsia="Times New Roman" w:hAnsi="Times New Roman"/>
                <w:sz w:val="25"/>
                <w:szCs w:val="25"/>
                <w:b w:val="1"/>
                <w:bCs w:val="1"/>
                <w:color w:val="auto"/>
                <w:vertAlign w:val="superscript"/>
              </w:rPr>
              <w:t>(6)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expenses to average net assets with</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rate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4,212,253</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rFonts w:ascii="Times New Roman" w:cs="Times New Roman" w:eastAsia="Times New Roman" w:hAnsi="Times New Roman"/>
          <w:sz w:val="18"/>
          <w:szCs w:val="18"/>
          <w:color w:val="0000EE"/>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9" w:lineRule="exact"/>
        <w:rPr>
          <w:rFonts w:ascii="Times New Roman" w:cs="Times New Roman" w:eastAsia="Times New Roman" w:hAnsi="Times New Roman"/>
          <w:sz w:val="18"/>
          <w:szCs w:val="18"/>
          <w:color w:val="auto"/>
        </w:rPr>
      </w:pPr>
    </w:p>
    <w:p>
      <w:pPr>
        <w:ind w:left="440" w:right="140" w:hanging="432"/>
        <w:spacing w:after="0" w:line="250"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13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320" w:top="455" w:right="5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440" w:right="80" w:hanging="432"/>
        <w:spacing w:after="0" w:line="261"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440" w:hanging="43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excluding nonrecurring expenses, such as organization costs, are annualized.</w:t>
      </w:r>
    </w:p>
    <w:p>
      <w:pPr>
        <w:spacing w:after="0" w:line="20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financial highlights for one share of Common Shares outstanding for the year ended December 31, 2024:</w:t>
      </w:r>
    </w:p>
    <w:p>
      <w:pPr>
        <w:spacing w:after="0" w:line="187" w:lineRule="exact"/>
        <w:rPr>
          <w:sz w:val="20"/>
          <w:szCs w:val="20"/>
          <w:color w:val="auto"/>
        </w:rPr>
      </w:pPr>
    </w:p>
    <w:tbl>
      <w:tblPr>
        <w:tblLayout w:type="fixed"/>
        <w:tblInd w:w="178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6"/>
                <w:szCs w:val="26"/>
                <w:b w:val="1"/>
                <w:bCs w:val="1"/>
                <w:color w:val="auto"/>
                <w:vertAlign w:val="superscript"/>
              </w:rPr>
              <w:t>(4)</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investment income</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realized and unrealized gain (loss)</w:t>
            </w:r>
            <w:r>
              <w:rPr>
                <w:rFonts w:ascii="Times New Roman" w:cs="Times New Roman" w:eastAsia="Times New Roman" w:hAnsi="Times New Roman"/>
                <w:sz w:val="25"/>
                <w:szCs w:val="25"/>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Common Share Issuance</w:t>
            </w:r>
            <w:r>
              <w:rPr>
                <w:rFonts w:ascii="Times New Roman" w:cs="Times New Roman" w:eastAsia="Times New Roman" w:hAnsi="Times New Roman"/>
                <w:sz w:val="25"/>
                <w:szCs w:val="25"/>
                <w:color w:val="auto"/>
                <w:vertAlign w:val="superscript"/>
              </w:rPr>
              <w:t>(3)</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6"/>
                <w:szCs w:val="26"/>
                <w:color w:val="auto"/>
                <w:vertAlign w:val="superscript"/>
              </w:rPr>
              <w:t>(2)</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140,208,028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Ratios/Supplemental Data </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4,036,470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27"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440" w:hanging="432"/>
        <w:spacing w:after="0" w:line="250"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440" w:hanging="432"/>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excluding nonrecurring expenses, such as organization costs, are annualized.</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60"/>
          </w:cols>
          <w:pgMar w:left="320" w:top="455" w:right="7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firstLine="440"/>
        <w:spacing w:after="0" w:line="267"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information in “Management’s Discussion and Analysis of Financial Condition and Results of Operations” in Part II, Item 7 of the </w:t>
      </w:r>
      <w:hyperlink r:id="rId29">
        <w:r>
          <w:rPr>
            <w:rFonts w:ascii="Times New Roman" w:cs="Times New Roman" w:eastAsia="Times New Roman" w:hAnsi="Times New Roman"/>
            <w:sz w:val="18"/>
            <w:szCs w:val="18"/>
            <w:i w:val="1"/>
            <w:iCs w:val="1"/>
            <w:color w:val="auto"/>
          </w:rPr>
          <w:t xml:space="preserve">Company’s </w:t>
        </w:r>
        <w:r>
          <w:rPr>
            <w:rFonts w:ascii="Times New Roman" w:cs="Times New Roman" w:eastAsia="Times New Roman" w:hAnsi="Times New Roman"/>
            <w:sz w:val="18"/>
            <w:szCs w:val="18"/>
            <w:i w:val="1"/>
            <w:iCs w:val="1"/>
            <w:u w:val="single" w:color="auto"/>
            <w:color w:val="0000EE"/>
          </w:rPr>
          <w:t>Annual Report on Form 10-K for the fiscal year ended December 31, 2024</w:t>
        </w:r>
        <w:r>
          <w:rPr>
            <w:rFonts w:ascii="Times New Roman" w:cs="Times New Roman" w:eastAsia="Times New Roman" w:hAnsi="Times New Roman"/>
            <w:sz w:val="18"/>
            <w:szCs w:val="18"/>
            <w:i w:val="1"/>
            <w:iCs w:val="1"/>
            <w:color w:val="auto"/>
          </w:rPr>
          <w:t xml:space="preserve">, and Part I, Item 2 of the Company’s </w:t>
        </w:r>
        <w:r>
          <w:rPr>
            <w:rFonts w:ascii="Times New Roman" w:cs="Times New Roman" w:eastAsia="Times New Roman" w:hAnsi="Times New Roman"/>
            <w:sz w:val="18"/>
            <w:szCs w:val="18"/>
            <w:i w:val="1"/>
            <w:iCs w:val="1"/>
            <w:u w:val="single" w:color="auto"/>
            <w:color w:val="0000EE"/>
          </w:rPr>
          <w:t>Quarterly Report on Form</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10-Q for the quarterly period ended June 30, 2025</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is incorporated herein by reference.</w:t>
        </w:r>
      </w:hyperlink>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0"/>
          </w:cols>
          <w:pgMar w:left="320" w:top="455" w:right="6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firstLine="440"/>
        <w:spacing w:after="0" w:line="267"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“Quantitative and Qualitative Disclosures About Market Risk” in Part II, Item 7A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10-K for the fiscal year ended December 31, 2024</w:t>
        </w:r>
        <w:r>
          <w:rPr>
            <w:rFonts w:ascii="Times New Roman" w:cs="Times New Roman" w:eastAsia="Times New Roman" w:hAnsi="Times New Roman"/>
            <w:sz w:val="18"/>
            <w:szCs w:val="18"/>
            <w:i w:val="1"/>
            <w:iCs w:val="1"/>
            <w:color w:val="000000"/>
          </w:rPr>
          <w:t>, and Part I, Item 3 of the Company’s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Quarterly Report on Form 10-Q for the quarterly period ended</w:t>
        </w:r>
      </w:hyperlink>
      <w:r>
        <w:rPr>
          <w:rFonts w:ascii="Times New Roman" w:cs="Times New Roman" w:eastAsia="Times New Roman" w:hAnsi="Times New Roman"/>
          <w:sz w:val="18"/>
          <w:szCs w:val="18"/>
          <w:i w:val="1"/>
          <w:iCs w:val="1"/>
          <w:color w:val="0000EE"/>
        </w:rPr>
        <w:t xml:space="preserve"> </w:t>
      </w:r>
      <w:hyperlink r:id="rId29">
        <w:r>
          <w:rPr>
            <w:rFonts w:ascii="Times New Roman" w:cs="Times New Roman" w:eastAsia="Times New Roman" w:hAnsi="Times New Roman"/>
            <w:sz w:val="18"/>
            <w:szCs w:val="18"/>
            <w:i w:val="1"/>
            <w:iCs w:val="1"/>
            <w:u w:val="single" w:color="auto"/>
            <w:color w:val="0000EE"/>
          </w:rPr>
          <w:t>June 30, 2025</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is incorporated herein by reference.</w:t>
        </w:r>
      </w:hyperlink>
    </w:p>
    <w:p>
      <w:pPr>
        <w:spacing w:after="0" w:line="108" w:lineRule="exact"/>
        <w:rPr>
          <w:rFonts w:ascii="Times New Roman" w:cs="Times New Roman" w:eastAsia="Times New Roman" w:hAnsi="Times New Roman"/>
          <w:sz w:val="18"/>
          <w:szCs w:val="18"/>
          <w:i w:val="1"/>
          <w:iCs w:val="1"/>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320" w:top="455" w:right="6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resales or other transfers of Exchange Notes by such broker-dealers.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1933 Act, and any profit on any such resale of Exchange Notes and any commissions or concessions received by any such persons may be deemed to be underwriting compensation under the 1933 Act. The accompanying Letter of Transmittal states that, by acknowledging that it will deliver and by delivering a prospectus, such broker-dealer will not be deemed to admit that it is an “underwriter” of the Exchange Notes within the meaning of the 1933 Act.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320" w:top="455"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227" w:lineRule="exact"/>
        <w:rPr>
          <w:sz w:val="20"/>
          <w:szCs w:val="20"/>
          <w:color w:val="auto"/>
        </w:rPr>
      </w:pPr>
    </w:p>
    <w:p>
      <w:pPr>
        <w:ind w:firstLine="440"/>
        <w:spacing w:after="0" w:line="28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in “Business” in Part I, Item 1 of the Company’s </w:t>
      </w:r>
      <w:hyperlink r:id="rId26">
        <w:r>
          <w:rPr>
            <w:rFonts w:ascii="Times New Roman" w:cs="Times New Roman" w:eastAsia="Times New Roman" w:hAnsi="Times New Roman"/>
            <w:sz w:val="18"/>
            <w:szCs w:val="18"/>
            <w:i w:val="1"/>
            <w:iCs w:val="1"/>
            <w:u w:val="single" w:color="auto"/>
            <w:color w:val="0000EE"/>
          </w:rPr>
          <w:t>Annual Report on Form 10-K for the fiscal year ended December 31, 2024</w:t>
        </w:r>
      </w:hyperlink>
      <w:r>
        <w:rPr>
          <w:rFonts w:ascii="Times New Roman" w:cs="Times New Roman" w:eastAsia="Times New Roman" w:hAnsi="Times New Roman"/>
          <w:sz w:val="18"/>
          <w:szCs w:val="18"/>
          <w:i w:val="1"/>
          <w:iCs w:val="1"/>
          <w:color w:val="auto"/>
        </w:rPr>
        <w:t>, is incorporated herein by reference.</w:t>
      </w:r>
    </w:p>
    <w:p>
      <w:pPr>
        <w:spacing w:after="0" w:line="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00"/>
          </w:cols>
          <w:pgMar w:left="320" w:top="455" w:right="7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REGULATION OF THE COMPANY</w:t>
      </w:r>
    </w:p>
    <w:p>
      <w:pPr>
        <w:spacing w:after="0" w:line="227" w:lineRule="exact"/>
        <w:rPr>
          <w:sz w:val="20"/>
          <w:szCs w:val="20"/>
          <w:color w:val="auto"/>
        </w:rPr>
      </w:pPr>
    </w:p>
    <w:p>
      <w:pPr>
        <w:ind w:firstLine="440"/>
        <w:spacing w:after="0" w:line="284"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“Business—Regulation as a Business Development Company” in Part I, Item 1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10-K for the fiscal year ended December 31, 2024</w:t>
        </w:r>
        <w:r>
          <w:rPr>
            <w:rFonts w:ascii="Times New Roman" w:cs="Times New Roman" w:eastAsia="Times New Roman" w:hAnsi="Times New Roman"/>
            <w:sz w:val="18"/>
            <w:szCs w:val="18"/>
            <w:i w:val="1"/>
            <w:iCs w:val="1"/>
            <w:color w:val="000000"/>
          </w:rPr>
          <w:t>, is incorporated herein by reference.</w:t>
        </w:r>
      </w:hyperlink>
    </w:p>
    <w:p>
      <w:pPr>
        <w:spacing w:after="0" w:line="9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20"/>
          </w:cols>
          <w:pgMar w:left="320" w:top="455" w:right="9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firstLine="440"/>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Information about our senior securities is shown as of the dates indicated in the below table. The report of our independent registered public </w:t>
      </w:r>
      <w:hyperlink r:id="rId26">
        <w:r>
          <w:rPr>
            <w:rFonts w:ascii="Times New Roman" w:cs="Times New Roman" w:eastAsia="Times New Roman" w:hAnsi="Times New Roman"/>
            <w:sz w:val="18"/>
            <w:szCs w:val="18"/>
            <w:color w:val="auto"/>
          </w:rPr>
          <w:t xml:space="preserve">accounting firm, KPMG LLP, on the senior securities table as of December 31, 2024 is included in the Company’s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fiscal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is incorporated by reference to the registration statement of which this prospectus is a part.</w:t>
        </w:r>
      </w:hyperlink>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00" w:type="dxa"/>
            <w:vAlign w:val="bottom"/>
            <w:gridSpan w:val="3"/>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00" w:type="dxa"/>
            <w:vAlign w:val="bottom"/>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Exclusive 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Involuntary</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Liquidating</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b w:val="1"/>
                <w:bCs w:val="1"/>
                <w:color w:val="auto"/>
              </w:rPr>
              <w:t>Class and Year/Period</w:t>
            </w:r>
          </w:p>
        </w:tc>
        <w:tc>
          <w:tcPr>
            <w:tcW w:w="1700" w:type="dxa"/>
            <w:vAlign w:val="bottom"/>
            <w:gridSpan w:val="3"/>
          </w:tcPr>
          <w:p>
            <w:pPr>
              <w:jc w:val="right"/>
              <w:ind w:right="820"/>
              <w:spacing w:after="0" w:line="202" w:lineRule="exact"/>
              <w:rPr>
                <w:sz w:val="20"/>
                <w:szCs w:val="20"/>
                <w:color w:val="auto"/>
              </w:rPr>
            </w:pP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23"/>
                <w:szCs w:val="23"/>
                <w:b w:val="1"/>
                <w:bCs w:val="1"/>
                <w:color w:val="auto"/>
                <w:vertAlign w:val="superscript"/>
              </w:rPr>
              <w:t>(1)</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Coverage</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0" w:type="dxa"/>
            <w:vAlign w:val="bottom"/>
          </w:tcPr>
          <w:p>
            <w:pPr>
              <w:spacing w:after="0"/>
              <w:rPr>
                <w:sz w:val="1"/>
                <w:szCs w:val="1"/>
                <w:color w:val="auto"/>
              </w:rPr>
            </w:pPr>
          </w:p>
        </w:tc>
      </w:tr>
      <w:tr>
        <w:trPr>
          <w:trHeight w:val="205"/>
        </w:trPr>
        <w:tc>
          <w:tcPr>
            <w:tcW w:w="4360" w:type="dxa"/>
            <w:vAlign w:val="bottom"/>
            <w:gridSpan w:val="7"/>
            <w:vMerge w:val="continue"/>
          </w:tcPr>
          <w:p>
            <w:pPr>
              <w:spacing w:after="0"/>
              <w:rPr>
                <w:sz w:val="17"/>
                <w:szCs w:val="17"/>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460" w:type="dxa"/>
            <w:vAlign w:val="bottom"/>
            <w:gridSpan w:val="3"/>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Per Unit</w:t>
            </w:r>
            <w:r>
              <w:rPr>
                <w:rFonts w:ascii="Times New Roman" w:cs="Times New Roman" w:eastAsia="Times New Roman" w:hAnsi="Times New Roman"/>
                <w:sz w:val="23"/>
                <w:szCs w:val="23"/>
                <w:b w:val="1"/>
                <w:bCs w:val="1"/>
                <w:color w:val="auto"/>
                <w:vertAlign w:val="superscript"/>
              </w:rPr>
              <w:t>(2)</w:t>
            </w:r>
          </w:p>
        </w:tc>
        <w:tc>
          <w:tcPr>
            <w:tcW w:w="1580" w:type="dxa"/>
            <w:vAlign w:val="bottom"/>
            <w:gridSpan w:val="2"/>
          </w:tcPr>
          <w:p>
            <w:pPr>
              <w:jc w:val="right"/>
              <w:ind w:right="780"/>
              <w:spacing w:after="0" w:line="205" w:lineRule="exact"/>
              <w:rPr>
                <w:sz w:val="20"/>
                <w:szCs w:val="20"/>
                <w:color w:val="auto"/>
              </w:rPr>
            </w:pPr>
            <w:r>
              <w:rPr>
                <w:rFonts w:ascii="Times New Roman" w:cs="Times New Roman" w:eastAsia="Times New Roman" w:hAnsi="Times New Roman"/>
                <w:sz w:val="16"/>
                <w:szCs w:val="16"/>
                <w:b w:val="1"/>
                <w:bCs w:val="1"/>
                <w:color w:val="auto"/>
              </w:rPr>
              <w:t>Per Unit</w:t>
            </w:r>
            <w:r>
              <w:rPr>
                <w:rFonts w:ascii="Times New Roman" w:cs="Times New Roman" w:eastAsia="Times New Roman" w:hAnsi="Times New Roman"/>
                <w:sz w:val="23"/>
                <w:szCs w:val="23"/>
                <w:b w:val="1"/>
                <w:bCs w:val="1"/>
                <w:color w:val="auto"/>
                <w:vertAlign w:val="superscript"/>
              </w:rPr>
              <w:t>(3)</w:t>
            </w:r>
          </w:p>
        </w:tc>
        <w:tc>
          <w:tcPr>
            <w:tcW w:w="102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6"/>
                <w:szCs w:val="16"/>
                <w:b w:val="1"/>
                <w:bCs w:val="1"/>
                <w:color w:val="auto"/>
              </w:rPr>
              <w:t>Per Unit</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34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Facility</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June 30, 2025 (unaudited)</w:t>
            </w:r>
          </w:p>
        </w:tc>
        <w:tc>
          <w:tcPr>
            <w:tcW w:w="2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CCEEFF"/>
            </w:tcBorders>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2,090.1</w:t>
            </w: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2,002.4</w:t>
            </w:r>
          </w:p>
        </w:tc>
        <w:tc>
          <w:tcPr>
            <w:tcW w:w="1580" w:type="dxa"/>
            <w:vAlign w:val="bottom"/>
            <w:tcBorders>
              <w:top w:val="single" w:sz="8" w:color="CCEEFF"/>
            </w:tcBorders>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1,929.6</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193.3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2,456.0</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538.0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2,016.2</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Subscription Facility</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 (unaudited)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2,002.4</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1,496.8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1,929.6</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1,054.7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2,456.0</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2029 Notes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June 30, 2025 (unaudited)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744.9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2,002.4</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744.3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1,929.6</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January 2030 Notes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 (unaudited)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599.2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2,002.4</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599.1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1,929.6</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July 2030 Notes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June 30, 2025 (unaudited)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745.5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2,002.4</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40" w:right="740" w:hanging="432"/>
        <w:spacing w:after="0" w:line="261"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ind w:left="440" w:right="320" w:hanging="432"/>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440" w:hanging="432"/>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40" w:hanging="432"/>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320" w:top="455"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June 30, 2025, for each portfolio company in which the Company had an investment. Percentages shown for class of securities held by the Company represent percentage of the class owned and do not necessarily represent voting ownership or economic ownership.</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board of trustees (the “Board of Trustees”) approved the valuation of the Company’s investment portfolio, as of June 30, 2025, at fair value as determined in good faith using a consistently applied valuation process in accordance with the Company’s documented valuation policy that has been reviewed and approved by the Board of Trustees, who also approve in good faith the valuation of such securities as of the end of each quarter. For more information relating to the Company’s investments, see the Company’s financial statements incorporated by reference in this prospectus.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Debt Investments</w:t>
      </w:r>
    </w:p>
    <w:p>
      <w:pPr>
        <w:spacing w:after="0" w:line="217" w:lineRule="auto"/>
        <w:rPr>
          <w:sz w:val="20"/>
          <w:szCs w:val="20"/>
          <w:color w:val="auto"/>
        </w:rPr>
      </w:pPr>
      <w:r>
        <w:rPr>
          <w:rFonts w:ascii="Times New Roman" w:cs="Times New Roman" w:eastAsia="Times New Roman" w:hAnsi="Times New Roman"/>
          <w:sz w:val="13"/>
          <w:szCs w:val="13"/>
          <w:b w:val="1"/>
          <w:bCs w:val="1"/>
          <w:color w:val="auto"/>
        </w:rPr>
        <w:t>Automotive</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Truck-Lite Co.,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20600 Civic Center Drive</w:t>
      </w:r>
    </w:p>
    <w:p>
      <w:pPr>
        <w:spacing w:after="0"/>
        <w:rPr>
          <w:sz w:val="20"/>
          <w:szCs w:val="20"/>
          <w:color w:val="auto"/>
        </w:rPr>
      </w:pPr>
      <w:r>
        <w:rPr>
          <w:rFonts w:ascii="Times New Roman" w:cs="Times New Roman" w:eastAsia="Times New Roman" w:hAnsi="Times New Roman"/>
          <w:sz w:val="13"/>
          <w:szCs w:val="13"/>
          <w:color w:val="auto"/>
        </w:rPr>
        <w:t>Southfield, MI 48076 USA</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Business Services</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Artisan Bidco,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185 Devonshire Street Suite 100</w:t>
      </w:r>
    </w:p>
    <w:p>
      <w:pPr>
        <w:spacing w:after="0"/>
        <w:rPr>
          <w:sz w:val="20"/>
          <w:szCs w:val="20"/>
          <w:color w:val="auto"/>
        </w:rPr>
      </w:pPr>
      <w:r>
        <w:rPr>
          <w:rFonts w:ascii="Times New Roman" w:cs="Times New Roman" w:eastAsia="Times New Roman" w:hAnsi="Times New Roman"/>
          <w:sz w:val="13"/>
          <w:szCs w:val="13"/>
          <w:color w:val="auto"/>
        </w:rPr>
        <w:t>Boston, MA 02110 USA</w:t>
      </w:r>
    </w:p>
    <w:p>
      <w:pPr>
        <w:spacing w:after="0" w:line="200" w:lineRule="exact"/>
        <w:rPr>
          <w:sz w:val="20"/>
          <w:szCs w:val="20"/>
          <w:color w:val="auto"/>
        </w:rPr>
      </w:pPr>
    </w:p>
    <w:p>
      <w:pPr>
        <w:spacing w:after="0" w:line="339" w:lineRule="exact"/>
        <w:rPr>
          <w:sz w:val="20"/>
          <w:szCs w:val="20"/>
          <w:color w:val="auto"/>
        </w:rPr>
      </w:pPr>
    </w:p>
    <w:p>
      <w:pPr>
        <w:ind w:right="620"/>
        <w:spacing w:after="0" w:line="205" w:lineRule="auto"/>
        <w:rPr>
          <w:sz w:val="20"/>
          <w:szCs w:val="20"/>
          <w:color w:val="auto"/>
        </w:rPr>
      </w:pPr>
      <w:r>
        <w:rPr>
          <w:rFonts w:ascii="Times New Roman" w:cs="Times New Roman" w:eastAsia="Times New Roman" w:hAnsi="Times New Roman"/>
          <w:sz w:val="13"/>
          <w:szCs w:val="13"/>
          <w:color w:val="auto"/>
        </w:rPr>
        <w:t xml:space="preserve">Azurite Intermediate Holdings, Inc.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17200 Laguna Canyon Road Irvine, CA 92618 USA</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1801 West End Ave</w:t>
      </w:r>
    </w:p>
    <w:p>
      <w:pPr>
        <w:spacing w:after="0" w:line="216" w:lineRule="auto"/>
        <w:rPr>
          <w:sz w:val="20"/>
          <w:szCs w:val="20"/>
          <w:color w:val="auto"/>
        </w:rPr>
      </w:pPr>
      <w:r>
        <w:rPr>
          <w:rFonts w:ascii="Times New Roman" w:cs="Times New Roman" w:eastAsia="Times New Roman" w:hAnsi="Times New Roman"/>
          <w:sz w:val="13"/>
          <w:szCs w:val="13"/>
          <w:color w:val="auto"/>
        </w:rPr>
        <w:t>Suite 300</w:t>
      </w:r>
    </w:p>
    <w:p>
      <w:pPr>
        <w:spacing w:after="0" w:line="217" w:lineRule="auto"/>
        <w:rPr>
          <w:sz w:val="20"/>
          <w:szCs w:val="20"/>
          <w:color w:val="auto"/>
        </w:rPr>
      </w:pPr>
      <w:r>
        <w:rPr>
          <w:rFonts w:ascii="Times New Roman" w:cs="Times New Roman" w:eastAsia="Times New Roman" w:hAnsi="Times New Roman"/>
          <w:sz w:val="13"/>
          <w:szCs w:val="13"/>
          <w:color w:val="auto"/>
        </w:rPr>
        <w:t>Nashville, TN 37203</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Crewline Buyer,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One Letterman Drive</w:t>
      </w:r>
    </w:p>
    <w:p>
      <w:pPr>
        <w:spacing w:after="0" w:line="217" w:lineRule="auto"/>
        <w:rPr>
          <w:sz w:val="20"/>
          <w:szCs w:val="20"/>
          <w:color w:val="auto"/>
        </w:rPr>
      </w:pPr>
      <w:r>
        <w:rPr>
          <w:rFonts w:ascii="Times New Roman" w:cs="Times New Roman" w:eastAsia="Times New Roman" w:hAnsi="Times New Roman"/>
          <w:sz w:val="13"/>
          <w:szCs w:val="13"/>
          <w:color w:val="auto"/>
        </w:rPr>
        <w:t>Building C, Suite 410</w:t>
      </w:r>
    </w:p>
    <w:p>
      <w:pPr>
        <w:spacing w:after="0" w:line="217" w:lineRule="auto"/>
        <w:rPr>
          <w:sz w:val="20"/>
          <w:szCs w:val="20"/>
          <w:color w:val="auto"/>
        </w:rPr>
      </w:pPr>
      <w:r>
        <w:rPr>
          <w:rFonts w:ascii="Times New Roman" w:cs="Times New Roman" w:eastAsia="Times New Roman" w:hAnsi="Times New Roman"/>
          <w:sz w:val="13"/>
          <w:szCs w:val="13"/>
          <w:color w:val="auto"/>
        </w:rPr>
        <w:t>San Francisco, CA 94120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5"/>
          <w:szCs w:val="15"/>
          <w:color w:val="auto"/>
          <w:vertAlign w:val="superscript"/>
        </w:rPr>
        <w:t>(3)(4)(12)</w:t>
      </w:r>
    </w:p>
    <w:p>
      <w:pPr>
        <w:spacing w:after="0" w:line="217" w:lineRule="auto"/>
        <w:rPr>
          <w:sz w:val="20"/>
          <w:szCs w:val="20"/>
          <w:color w:val="auto"/>
        </w:rPr>
      </w:pPr>
      <w:r>
        <w:rPr>
          <w:rFonts w:ascii="Times New Roman" w:cs="Times New Roman" w:eastAsia="Times New Roman" w:hAnsi="Times New Roman"/>
          <w:sz w:val="13"/>
          <w:szCs w:val="13"/>
          <w:color w:val="auto"/>
        </w:rPr>
        <w:t>199 Bay Street</w:t>
      </w:r>
    </w:p>
    <w:p>
      <w:pPr>
        <w:spacing w:after="0" w:line="217" w:lineRule="auto"/>
        <w:rPr>
          <w:sz w:val="20"/>
          <w:szCs w:val="20"/>
          <w:color w:val="auto"/>
        </w:rPr>
      </w:pPr>
      <w:r>
        <w:rPr>
          <w:rFonts w:ascii="Times New Roman" w:cs="Times New Roman" w:eastAsia="Times New Roman" w:hAnsi="Times New Roman"/>
          <w:sz w:val="13"/>
          <w:szCs w:val="13"/>
          <w:color w:val="auto"/>
        </w:rPr>
        <w:t>Suite: 4610</w:t>
      </w:r>
    </w:p>
    <w:p>
      <w:pPr>
        <w:spacing w:after="0" w:line="217" w:lineRule="auto"/>
        <w:rPr>
          <w:sz w:val="20"/>
          <w:szCs w:val="20"/>
          <w:color w:val="auto"/>
        </w:rPr>
      </w:pPr>
      <w:r>
        <w:rPr>
          <w:rFonts w:ascii="Times New Roman" w:cs="Times New Roman" w:eastAsia="Times New Roman" w:hAnsi="Times New Roman"/>
          <w:sz w:val="13"/>
          <w:szCs w:val="13"/>
          <w:color w:val="auto"/>
        </w:rPr>
        <w:t>Toronto, Ontario M5L 1E9</w:t>
      </w:r>
    </w:p>
    <w:p>
      <w:pPr>
        <w:spacing w:after="0"/>
        <w:rPr>
          <w:sz w:val="20"/>
          <w:szCs w:val="20"/>
          <w:color w:val="auto"/>
        </w:rPr>
      </w:pPr>
      <w:r>
        <w:rPr>
          <w:rFonts w:ascii="Times New Roman" w:cs="Times New Roman" w:eastAsia="Times New Roman" w:hAnsi="Times New Roman"/>
          <w:sz w:val="13"/>
          <w:szCs w:val="13"/>
          <w:color w:val="auto"/>
        </w:rPr>
        <w:t>Canada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Elements Finco Limited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4th Floor, Heathrow Approach</w:t>
      </w:r>
    </w:p>
    <w:p>
      <w:pPr>
        <w:spacing w:after="0" w:line="217" w:lineRule="auto"/>
        <w:rPr>
          <w:sz w:val="20"/>
          <w:szCs w:val="20"/>
          <w:color w:val="auto"/>
        </w:rPr>
      </w:pPr>
      <w:r>
        <w:rPr>
          <w:rFonts w:ascii="Times New Roman" w:cs="Times New Roman" w:eastAsia="Times New Roman" w:hAnsi="Times New Roman"/>
          <w:sz w:val="13"/>
          <w:szCs w:val="13"/>
          <w:color w:val="auto"/>
        </w:rPr>
        <w:t>470 London Road</w:t>
      </w:r>
    </w:p>
    <w:p>
      <w:pPr>
        <w:spacing w:after="0" w:line="217" w:lineRule="auto"/>
        <w:rPr>
          <w:sz w:val="20"/>
          <w:szCs w:val="20"/>
          <w:color w:val="auto"/>
        </w:rPr>
      </w:pPr>
      <w:r>
        <w:rPr>
          <w:rFonts w:ascii="Times New Roman" w:cs="Times New Roman" w:eastAsia="Times New Roman" w:hAnsi="Times New Roman"/>
          <w:sz w:val="13"/>
          <w:szCs w:val="13"/>
          <w:color w:val="auto"/>
        </w:rPr>
        <w:t>Slough SL3 8QY</w:t>
      </w: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7"/>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18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Net Assets</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5"/>
        </w:trPr>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($299,016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2/2032)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2/13/2024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+ 5.75%</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  296,144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299,867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($113,569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11/2029)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11/7/2023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+ 7.00%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11.21%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111,818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113,853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First-lien loan (EUR 51,601</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3"/>
                <w:szCs w:val="13"/>
                <w:color w:val="auto"/>
              </w:rPr>
              <w:t>60,723</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par, due 11/2029)</w:t>
            </w:r>
          </w:p>
        </w:tc>
        <w:tc>
          <w:tcPr>
            <w:tcW w:w="7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11/7/2023</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 + 7.00%</w:t>
            </w:r>
          </w:p>
        </w:tc>
        <w:tc>
          <w:tcPr>
            <w:tcW w:w="11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9.36%</w:t>
            </w: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54,578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51,730)</w:t>
            </w:r>
          </w:p>
        </w:tc>
        <w:tc>
          <w:tcPr>
            <w:tcW w:w="8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($6,473 par, due 11/2029)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11/7/2023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SOFR + 7.00%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11.17%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6,228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6,515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($213,750 par,</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3/2031)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3/19/2024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+ 6.00%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10.33%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210,459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214,938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holdco loan</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11.77%</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($206,478 par, due 10/2030)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4/18/2023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+ 7.50%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PIK</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202,849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210,092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4"/>
        </w:trPr>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($152,696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11/2030)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11/8/2023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+ 6.75%</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11.08%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149,194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154,377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($950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4/2031)</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+ 4.35%</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8.65%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956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6"/>
        </w:trPr>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($25,327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9.33%</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62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due 4/2031)</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4/29/2024</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SOFR + 5.00%</w:t>
            </w:r>
          </w:p>
        </w:tc>
        <w:tc>
          <w:tcPr>
            <w:tcW w:w="11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w w:val="99"/>
              </w:rPr>
              <w:t>(incl. 2.25% PIK)</w:t>
            </w: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25,156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25,580</w:t>
            </w:r>
          </w:p>
        </w:tc>
        <w:tc>
          <w:tcPr>
            <w:tcW w:w="8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0.6%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First-lien loan ($20,857 par,</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due 4/2031)</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1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9.33%</w:t>
            </w: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20,683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21,066</w:t>
            </w: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62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loan (GBP 117,318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9.72%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162,776</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4/2031)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4/29/2024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 + 5.50%</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9"/>
              </w:rPr>
              <w:t>(incl. 2.50% PIK)</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146,028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5"/>
              </w:rPr>
              <w:t>(GBP 118,784)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-3502660</wp:posOffset>
            </wp:positionV>
            <wp:extent cx="6995160"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-3331210</wp:posOffset>
            </wp:positionV>
            <wp:extent cx="6995160" cy="9683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95160" cy="9683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-2096770</wp:posOffset>
            </wp:positionV>
            <wp:extent cx="6995160" cy="43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995160" cy="4375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-1222375</wp:posOffset>
            </wp:positionV>
            <wp:extent cx="6995160" cy="436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995160" cy="4368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60" w:space="720"/>
            <w:col w:w="774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32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0"/>
                <w:szCs w:val="10"/>
                <w:color w:val="auto"/>
              </w:rPr>
              <w:t xml:space="preserve">Galileo Parent, Inc. </w:t>
            </w:r>
            <w:r>
              <w:rPr>
                <w:rFonts w:ascii="Times New Roman" w:cs="Times New Roman" w:eastAsia="Times New Roman" w:hAnsi="Times New Roman"/>
                <w:sz w:val="14"/>
                <w:szCs w:val="14"/>
                <w:color w:val="auto"/>
                <w:vertAlign w:val="superscript"/>
              </w:rPr>
              <w:t>(3)</w:t>
            </w:r>
          </w:p>
        </w:tc>
        <w:tc>
          <w:tcPr>
            <w:tcW w:w="17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Prudential Tower, 800 Boylston Street</w:t>
            </w:r>
          </w:p>
        </w:tc>
        <w:tc>
          <w:tcPr>
            <w:tcW w:w="1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40"/>
        </w:trPr>
        <w:tc>
          <w:tcPr>
            <w:tcW w:w="32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Boston, MA 02199</w:t>
            </w:r>
          </w:p>
        </w:tc>
        <w:tc>
          <w:tcPr>
            <w:tcW w:w="174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($148,792 par,</w:t>
            </w:r>
          </w:p>
        </w:tc>
        <w:tc>
          <w:tcPr>
            <w:tcW w:w="7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44"/>
        </w:trPr>
        <w:tc>
          <w:tcPr>
            <w:tcW w:w="3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USA</w:t>
            </w:r>
          </w:p>
        </w:tc>
        <w:tc>
          <w:tcPr>
            <w:tcW w:w="174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due 5/2030)</w:t>
            </w:r>
          </w:p>
        </w:tc>
        <w:tc>
          <w:tcPr>
            <w:tcW w:w="70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5/3/2023</w:t>
            </w:r>
          </w:p>
        </w:tc>
        <w:tc>
          <w:tcPr>
            <w:tcW w:w="12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SOFR + 5.75%</w:t>
            </w:r>
          </w:p>
        </w:tc>
        <w:tc>
          <w:tcPr>
            <w:tcW w:w="920" w:type="dxa"/>
            <w:vAlign w:val="bottom"/>
            <w:shd w:val="clear" w:color="auto" w:fill="CCEEFF"/>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rPr>
              <w:t>10.05%</w:t>
            </w:r>
          </w:p>
        </w:tc>
        <w:tc>
          <w:tcPr>
            <w:tcW w:w="820" w:type="dxa"/>
            <w:vAlign w:val="bottom"/>
            <w:shd w:val="clear" w:color="auto" w:fill="CCEEFF"/>
          </w:tcPr>
          <w:p>
            <w:pPr>
              <w:jc w:val="right"/>
              <w:ind w:right="197"/>
              <w:spacing w:after="0" w:line="144" w:lineRule="exact"/>
              <w:rPr>
                <w:sz w:val="20"/>
                <w:szCs w:val="20"/>
                <w:color w:val="auto"/>
              </w:rPr>
            </w:pPr>
            <w:r>
              <w:rPr>
                <w:rFonts w:ascii="Times New Roman" w:cs="Times New Roman" w:eastAsia="Times New Roman" w:hAnsi="Times New Roman"/>
                <w:sz w:val="13"/>
                <w:szCs w:val="13"/>
                <w:color w:val="auto"/>
              </w:rPr>
              <w:t>145,707</w:t>
            </w:r>
          </w:p>
        </w:tc>
        <w:tc>
          <w:tcPr>
            <w:tcW w:w="980" w:type="dxa"/>
            <w:vAlign w:val="bottom"/>
            <w:shd w:val="clear" w:color="auto" w:fill="CCEEFF"/>
          </w:tcPr>
          <w:p>
            <w:pPr>
              <w:jc w:val="right"/>
              <w:ind w:right="237"/>
              <w:spacing w:after="0" w:line="144" w:lineRule="exact"/>
              <w:rPr>
                <w:sz w:val="20"/>
                <w:szCs w:val="20"/>
                <w:color w:val="auto"/>
              </w:rPr>
            </w:pPr>
            <w:r>
              <w:rPr>
                <w:rFonts w:ascii="Times New Roman" w:cs="Times New Roman" w:eastAsia="Times New Roman" w:hAnsi="Times New Roman"/>
                <w:sz w:val="13"/>
                <w:szCs w:val="13"/>
                <w:color w:val="auto"/>
              </w:rPr>
              <w:t>150,280</w:t>
            </w:r>
          </w:p>
        </w:tc>
        <w:tc>
          <w:tcPr>
            <w:tcW w:w="1340" w:type="dxa"/>
            <w:vAlign w:val="bottom"/>
            <w:shd w:val="clear" w:color="auto" w:fill="CCEEFF"/>
          </w:tcPr>
          <w:p>
            <w:pPr>
              <w:jc w:val="right"/>
              <w:ind w:right="697"/>
              <w:spacing w:after="0" w:line="144" w:lineRule="exact"/>
              <w:rPr>
                <w:sz w:val="20"/>
                <w:szCs w:val="20"/>
                <w:color w:val="auto"/>
              </w:rPr>
            </w:pPr>
            <w:r>
              <w:rPr>
                <w:rFonts w:ascii="Times New Roman" w:cs="Times New Roman" w:eastAsia="Times New Roman" w:hAnsi="Times New Roman"/>
                <w:sz w:val="13"/>
                <w:szCs w:val="13"/>
                <w:color w:val="auto"/>
              </w:rPr>
              <w:t>3.6%</w:t>
            </w:r>
          </w:p>
        </w:tc>
      </w:tr>
      <w:tr>
        <w:trPr>
          <w:trHeight w:val="135"/>
        </w:trPr>
        <w:tc>
          <w:tcPr>
            <w:tcW w:w="3280" w:type="dxa"/>
            <w:vAlign w:val="bottom"/>
            <w:shd w:val="clear" w:color="auto" w:fill="CCEEFF"/>
          </w:tcPr>
          <w:p>
            <w:pPr>
              <w:spacing w:after="0"/>
              <w:rPr>
                <w:sz w:val="11"/>
                <w:szCs w:val="11"/>
                <w:color w:val="auto"/>
              </w:rPr>
            </w:pPr>
          </w:p>
        </w:tc>
        <w:tc>
          <w:tcPr>
            <w:tcW w:w="17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revolving loan</w:t>
            </w:r>
          </w:p>
        </w:tc>
        <w:tc>
          <w:tcPr>
            <w:tcW w:w="7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53"/>
        </w:trPr>
        <w:tc>
          <w:tcPr>
            <w:tcW w:w="3280" w:type="dxa"/>
            <w:vAlign w:val="bottom"/>
            <w:shd w:val="clear" w:color="auto" w:fill="CCEEFF"/>
          </w:tcPr>
          <w:p>
            <w:pPr>
              <w:spacing w:after="0"/>
              <w:rPr>
                <w:sz w:val="13"/>
                <w:szCs w:val="13"/>
                <w:color w:val="auto"/>
              </w:rPr>
            </w:pPr>
          </w:p>
        </w:tc>
        <w:tc>
          <w:tcPr>
            <w:tcW w:w="1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($15,481 par, due 5/2030)</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5/3/2023</w:t>
            </w:r>
          </w:p>
        </w:tc>
        <w:tc>
          <w:tcPr>
            <w:tcW w:w="1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SOFR + 5.75%</w:t>
            </w: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10.05%</w:t>
            </w:r>
          </w:p>
        </w:tc>
        <w:tc>
          <w:tcPr>
            <w:tcW w:w="8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15,029</w:t>
            </w:r>
          </w:p>
        </w:tc>
        <w:tc>
          <w:tcPr>
            <w:tcW w:w="9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15,716</w:t>
            </w:r>
          </w:p>
        </w:tc>
        <w:tc>
          <w:tcPr>
            <w:tcW w:w="134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0.4%</w:t>
            </w: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320" w:top="455" w:right="5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Lynx BidCo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75 rue Francois Mermet</w:t>
      </w:r>
    </w:p>
    <w:p>
      <w:pPr>
        <w:spacing w:after="0" w:line="217" w:lineRule="auto"/>
        <w:rPr>
          <w:sz w:val="20"/>
          <w:szCs w:val="20"/>
          <w:color w:val="auto"/>
        </w:rPr>
      </w:pPr>
      <w:r>
        <w:rPr>
          <w:rFonts w:ascii="Times New Roman" w:cs="Times New Roman" w:eastAsia="Times New Roman" w:hAnsi="Times New Roman"/>
          <w:sz w:val="13"/>
          <w:szCs w:val="13"/>
          <w:color w:val="auto"/>
        </w:rPr>
        <w:t>69160 Tassin-la-Demi-Lune</w:t>
      </w: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LÄUtenring 16</w:t>
      </w:r>
    </w:p>
    <w:p>
      <w:pPr>
        <w:spacing w:after="0" w:line="217" w:lineRule="auto"/>
        <w:rPr>
          <w:sz w:val="20"/>
          <w:szCs w:val="20"/>
          <w:color w:val="auto"/>
        </w:rPr>
      </w:pPr>
      <w:r>
        <w:rPr>
          <w:rFonts w:ascii="Times New Roman" w:cs="Times New Roman" w:eastAsia="Times New Roman" w:hAnsi="Times New Roman"/>
          <w:sz w:val="13"/>
          <w:szCs w:val="13"/>
          <w:color w:val="auto"/>
        </w:rPr>
        <w:t>85235 Pfaffenhofen</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1005 West 8th Street</w:t>
      </w:r>
    </w:p>
    <w:p>
      <w:pPr>
        <w:spacing w:after="0" w:line="217" w:lineRule="auto"/>
        <w:rPr>
          <w:sz w:val="20"/>
          <w:szCs w:val="20"/>
          <w:color w:val="auto"/>
        </w:rPr>
      </w:pPr>
      <w:r>
        <w:rPr>
          <w:rFonts w:ascii="Times New Roman" w:cs="Times New Roman" w:eastAsia="Times New Roman" w:hAnsi="Times New Roman"/>
          <w:sz w:val="13"/>
          <w:szCs w:val="13"/>
          <w:color w:val="auto"/>
        </w:rPr>
        <w:t>Deer Park, TX 77536</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Wrangler TopCo, LLC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9171 Towne Center Drive</w:t>
      </w:r>
    </w:p>
    <w:p>
      <w:pPr>
        <w:spacing w:after="0" w:line="217" w:lineRule="auto"/>
        <w:rPr>
          <w:sz w:val="20"/>
          <w:szCs w:val="20"/>
          <w:color w:val="auto"/>
        </w:rPr>
      </w:pPr>
      <w:r>
        <w:rPr>
          <w:rFonts w:ascii="Times New Roman" w:cs="Times New Roman" w:eastAsia="Times New Roman" w:hAnsi="Times New Roman"/>
          <w:sz w:val="13"/>
          <w:szCs w:val="13"/>
          <w:color w:val="auto"/>
        </w:rPr>
        <w:t>Suite 200</w:t>
      </w:r>
    </w:p>
    <w:p>
      <w:pPr>
        <w:spacing w:after="0" w:line="217" w:lineRule="auto"/>
        <w:rPr>
          <w:sz w:val="20"/>
          <w:szCs w:val="20"/>
          <w:color w:val="auto"/>
        </w:rPr>
      </w:pPr>
      <w:r>
        <w:rPr>
          <w:rFonts w:ascii="Times New Roman" w:cs="Times New Roman" w:eastAsia="Times New Roman" w:hAnsi="Times New Roman"/>
          <w:sz w:val="13"/>
          <w:szCs w:val="13"/>
          <w:color w:val="auto"/>
        </w:rPr>
        <w:t>San Diego, CA 92122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Chemicals</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1-3 Boulevard De La Foire</w:t>
      </w:r>
    </w:p>
    <w:p>
      <w:pPr>
        <w:spacing w:after="0" w:line="217" w:lineRule="auto"/>
        <w:rPr>
          <w:sz w:val="20"/>
          <w:szCs w:val="20"/>
          <w:color w:val="auto"/>
        </w:rPr>
      </w:pPr>
      <w:r>
        <w:rPr>
          <w:rFonts w:ascii="Times New Roman" w:cs="Times New Roman" w:eastAsia="Times New Roman" w:hAnsi="Times New Roman"/>
          <w:sz w:val="13"/>
          <w:szCs w:val="13"/>
          <w:color w:val="auto"/>
        </w:rPr>
        <w:t>1528 Luxembourg</w:t>
      </w:r>
    </w:p>
    <w:p>
      <w:pPr>
        <w:spacing w:after="0"/>
        <w:rPr>
          <w:sz w:val="20"/>
          <w:szCs w:val="20"/>
          <w:color w:val="auto"/>
        </w:rPr>
      </w:pPr>
      <w:r>
        <w:rPr>
          <w:rFonts w:ascii="Times New Roman" w:cs="Times New Roman" w:eastAsia="Times New Roman" w:hAnsi="Times New Roman"/>
          <w:sz w:val="13"/>
          <w:szCs w:val="13"/>
          <w:color w:val="auto"/>
        </w:rPr>
        <w:t>Luxembourg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FGI Acquisition Corp.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Scandinavia Mill</w:t>
      </w:r>
    </w:p>
    <w:p>
      <w:pPr>
        <w:spacing w:after="0" w:line="235" w:lineRule="auto"/>
        <w:rPr>
          <w:sz w:val="20"/>
          <w:szCs w:val="20"/>
          <w:color w:val="auto"/>
        </w:rPr>
      </w:pPr>
      <w:r>
        <w:rPr>
          <w:rFonts w:ascii="Times New Roman" w:cs="Times New Roman" w:eastAsia="Times New Roman" w:hAnsi="Times New Roman"/>
          <w:sz w:val="12"/>
          <w:szCs w:val="12"/>
          <w:color w:val="auto"/>
        </w:rPr>
        <w:t>Hunsworth Lane, Cleckheaton BD19 4LN</w:t>
      </w: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Communications</w:t>
      </w:r>
    </w:p>
    <w:p>
      <w:pPr>
        <w:spacing w:after="0" w:line="189" w:lineRule="auto"/>
        <w:rPr>
          <w:sz w:val="20"/>
          <w:szCs w:val="20"/>
          <w:color w:val="auto"/>
        </w:rPr>
      </w:pPr>
      <w:r>
        <w:rPr>
          <w:rFonts w:ascii="Times New Roman" w:cs="Times New Roman" w:eastAsia="Times New Roman" w:hAnsi="Times New Roman"/>
          <w:sz w:val="11"/>
          <w:szCs w:val="11"/>
          <w:color w:val="auto"/>
        </w:rPr>
        <w:t>Aurelia Netherlands MidCo 2 B.V.</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Grensen 5</w:t>
      </w:r>
    </w:p>
    <w:p>
      <w:pPr>
        <w:spacing w:after="0" w:line="217" w:lineRule="auto"/>
        <w:rPr>
          <w:sz w:val="20"/>
          <w:szCs w:val="20"/>
          <w:color w:val="auto"/>
        </w:rPr>
      </w:pPr>
      <w:r>
        <w:rPr>
          <w:rFonts w:ascii="Times New Roman" w:cs="Times New Roman" w:eastAsia="Times New Roman" w:hAnsi="Times New Roman"/>
          <w:sz w:val="13"/>
          <w:szCs w:val="13"/>
          <w:color w:val="auto"/>
        </w:rPr>
        <w:t>Oslo</w:t>
      </w:r>
    </w:p>
    <w:p>
      <w:pPr>
        <w:spacing w:after="0"/>
        <w:rPr>
          <w:sz w:val="20"/>
          <w:szCs w:val="20"/>
          <w:color w:val="auto"/>
        </w:rPr>
      </w:pPr>
      <w:r>
        <w:rPr>
          <w:rFonts w:ascii="Times New Roman" w:cs="Times New Roman" w:eastAsia="Times New Roman" w:hAnsi="Times New Roman"/>
          <w:sz w:val="13"/>
          <w:szCs w:val="13"/>
          <w:color w:val="auto"/>
        </w:rPr>
        <w:t>Norway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4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ind w:right="97"/>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($41,138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11.32%</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7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due 7/2031)</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7/5/2024</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SOFR + 7.11%</w:t>
            </w:r>
          </w:p>
        </w:tc>
        <w:tc>
          <w:tcPr>
            <w:tcW w:w="116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w w:val="99"/>
              </w:rPr>
              <w:t>(incl. 5.61% PIK)</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40,012</w:t>
            </w:r>
          </w:p>
        </w:tc>
        <w:tc>
          <w:tcPr>
            <w:tcW w:w="1120" w:type="dxa"/>
            <w:vAlign w:val="bottom"/>
            <w:gridSpan w:val="3"/>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40,641</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70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loan (EUR 17,297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60"/>
              <w:spacing w:after="0" w:line="140" w:lineRule="exact"/>
              <w:rPr>
                <w:sz w:val="20"/>
                <w:szCs w:val="20"/>
                <w:color w:val="auto"/>
              </w:rPr>
            </w:pPr>
            <w:r>
              <w:rPr>
                <w:rFonts w:ascii="Times New Roman" w:cs="Times New Roman" w:eastAsia="Times New Roman" w:hAnsi="Times New Roman"/>
                <w:sz w:val="13"/>
                <w:szCs w:val="13"/>
                <w:color w:val="auto"/>
              </w:rPr>
              <w:t>9.47%</w:t>
            </w:r>
          </w:p>
        </w:tc>
        <w:tc>
          <w:tcPr>
            <w:tcW w:w="580" w:type="dxa"/>
            <w:vAlign w:val="bottom"/>
          </w:tcPr>
          <w:p>
            <w:pPr>
              <w:spacing w:after="0"/>
              <w:rPr>
                <w:sz w:val="12"/>
                <w:szCs w:val="12"/>
                <w:color w:val="auto"/>
              </w:rPr>
            </w:pPr>
          </w:p>
        </w:tc>
        <w:tc>
          <w:tcPr>
            <w:tcW w:w="11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20,151</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7/2031)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7/5/2024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+ 7.11%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9"/>
              </w:rPr>
              <w:t>(incl. 5.61%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18,357</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17,167)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0.5%</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910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1,084</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10/2029)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10/27/2023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+ 7.00%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9.17%</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924)</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First-lien loan (EUR 910 par,</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20" w:type="dxa"/>
            <w:vAlign w:val="bottom"/>
            <w:gridSpan w:val="3"/>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3"/>
                <w:szCs w:val="13"/>
                <w:color w:val="auto"/>
              </w:rPr>
              <w:t>1,095</w:t>
            </w: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10/2029)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12/19/2024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E + 6.25%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8.42%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(EUR 933)</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1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($104,105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due 4/2031)</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4/30/2024</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1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9.53%</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102,547</w:t>
            </w:r>
          </w:p>
        </w:tc>
        <w:tc>
          <w:tcPr>
            <w:tcW w:w="11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104,105</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($5,954 par, due 4/2030)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4/30/2024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+ 5.25%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9.58%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5,954</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($135,629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9/2029)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7/7/2023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10.32%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133,304</w:t>
            </w:r>
          </w:p>
        </w:tc>
        <w:tc>
          <w:tcPr>
            <w:tcW w:w="14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137,575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1,390,566</w:t>
            </w:r>
          </w:p>
        </w:tc>
        <w:tc>
          <w:tcPr>
            <w:tcW w:w="1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1,447,477</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34.4%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11,549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13,958</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7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par, due 9/2028)</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9/6/2022</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E + 7.00%</w:t>
            </w:r>
          </w:p>
        </w:tc>
        <w:tc>
          <w:tcPr>
            <w:tcW w:w="116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9.10%</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11,583</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11,891)</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70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loan (GBP 19,592</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27,384</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7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par, due 9/2028)</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9/6/2022</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 + 7.00%</w:t>
            </w:r>
          </w:p>
        </w:tc>
        <w:tc>
          <w:tcPr>
            <w:tcW w:w="116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11.22%</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23,104</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(GBP 19,983)</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70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loan (NOK 7,427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749</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7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par, due 9/2028)</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9/6/2022</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N + 7.00%</w:t>
            </w:r>
          </w:p>
        </w:tc>
        <w:tc>
          <w:tcPr>
            <w:tcW w:w="116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11.59%</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711</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(NOK 7,575)</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70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revolving loan (GBP</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392</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281 par, due 9/2028)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9/6/2022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 + 7.00%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11.22%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(GBP 286)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($90,000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6/2032)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6/4/2025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+ 5.50%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88,214</w:t>
            </w:r>
          </w:p>
        </w:tc>
        <w:tc>
          <w:tcPr>
            <w:tcW w:w="14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88,650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123,979</w:t>
            </w:r>
          </w:p>
        </w:tc>
        <w:tc>
          <w:tcPr>
            <w:tcW w:w="1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131,133</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326,566</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384,297</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5/2031)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5/22/2024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+ 4.75%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354,463</w:t>
            </w:r>
          </w:p>
        </w:tc>
        <w:tc>
          <w:tcPr>
            <w:tcW w:w="14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327,382)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9.1%</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-3494405</wp:posOffset>
            </wp:positionV>
            <wp:extent cx="6995160" cy="531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995160" cy="53149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-2439670</wp:posOffset>
            </wp:positionV>
            <wp:extent cx="6995160" cy="436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-1882775</wp:posOffset>
            </wp:positionV>
            <wp:extent cx="6995160"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-905510</wp:posOffset>
            </wp:positionV>
            <wp:extent cx="6995160" cy="351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-433705</wp:posOffset>
            </wp:positionV>
            <wp:extent cx="6995160"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720"/>
            <w:col w:w="788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31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0"/>
                <w:szCs w:val="10"/>
                <w:color w:val="auto"/>
              </w:rPr>
              <w:t xml:space="preserve">X Holdings. Inc. </w:t>
            </w:r>
            <w:r>
              <w:rPr>
                <w:rFonts w:ascii="Times New Roman" w:cs="Times New Roman" w:eastAsia="Times New Roman" w:hAnsi="Times New Roman"/>
                <w:sz w:val="13"/>
                <w:szCs w:val="13"/>
                <w:color w:val="auto"/>
                <w:vertAlign w:val="superscript"/>
              </w:rPr>
              <w:t>(3)(12)</w:t>
            </w:r>
          </w:p>
        </w:tc>
        <w:tc>
          <w:tcPr>
            <w:tcW w:w="1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865 FM 1209 Bldg 2</w:t>
            </w:r>
          </w:p>
        </w:tc>
        <w:tc>
          <w:tcPr>
            <w:tcW w:w="1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Bastrop, TX 78602</w:t>
            </w:r>
          </w:p>
        </w:tc>
        <w:tc>
          <w:tcPr>
            <w:tcW w:w="174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($37,543 par,</w:t>
            </w: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USA</w:t>
            </w:r>
          </w:p>
        </w:tc>
        <w:tc>
          <w:tcPr>
            <w:tcW w:w="174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due 10/2029)</w:t>
            </w:r>
          </w:p>
        </w:tc>
        <w:tc>
          <w:tcPr>
            <w:tcW w:w="78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3/7/2025</w:t>
            </w:r>
          </w:p>
        </w:tc>
        <w:tc>
          <w:tcPr>
            <w:tcW w:w="9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SOFR + 6.60%</w:t>
            </w:r>
          </w:p>
        </w:tc>
        <w:tc>
          <w:tcPr>
            <w:tcW w:w="1220" w:type="dxa"/>
            <w:vAlign w:val="bottom"/>
            <w:shd w:val="clear" w:color="auto" w:fill="CCEEFF"/>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rPr>
              <w:t>10.93%</w:t>
            </w: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36,478</w:t>
            </w:r>
          </w:p>
        </w:tc>
        <w:tc>
          <w:tcPr>
            <w:tcW w:w="9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36,634</w:t>
            </w:r>
          </w:p>
        </w:tc>
        <w:tc>
          <w:tcPr>
            <w:tcW w:w="1480" w:type="dxa"/>
            <w:vAlign w:val="bottom"/>
            <w:gridSpan w:val="2"/>
            <w:shd w:val="clear" w:color="auto" w:fill="CCEEFF"/>
          </w:tcPr>
          <w:p>
            <w:pPr>
              <w:jc w:val="right"/>
              <w:ind w:right="780"/>
              <w:spacing w:after="0" w:line="144"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11"/>
                <w:szCs w:val="11"/>
                <w:color w:val="auto"/>
              </w:rPr>
            </w:pPr>
          </w:p>
        </w:tc>
        <w:tc>
          <w:tcPr>
            <w:tcW w:w="17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($29,710 par,</w:t>
            </w: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40" w:type="dxa"/>
            <w:vAlign w:val="bottom"/>
            <w:shd w:val="clear" w:color="auto" w:fill="CCEEFF"/>
          </w:tcPr>
          <w:p>
            <w:pPr>
              <w:spacing w:after="0"/>
              <w:rPr>
                <w:sz w:val="13"/>
                <w:szCs w:val="13"/>
                <w:color w:val="auto"/>
              </w:rPr>
            </w:pPr>
          </w:p>
        </w:tc>
        <w:tc>
          <w:tcPr>
            <w:tcW w:w="1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due 10/2029)</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5/6/2025</w:t>
            </w: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9.50%</w:t>
            </w: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28,975</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28,865</w:t>
            </w: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419,916</w:t>
            </w:r>
          </w:p>
        </w:tc>
        <w:tc>
          <w:tcPr>
            <w:tcW w:w="1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449,796</w:t>
            </w:r>
          </w:p>
        </w:tc>
        <w:tc>
          <w:tcPr>
            <w:tcW w:w="200" w:type="dxa"/>
            <w:vAlign w:val="bottom"/>
            <w:vMerge w:val="continue"/>
          </w:tcPr>
          <w:p>
            <w:pPr>
              <w:spacing w:after="0"/>
              <w:rPr>
                <w:sz w:val="12"/>
                <w:szCs w:val="12"/>
                <w:color w:val="auto"/>
              </w:rPr>
            </w:pPr>
          </w:p>
        </w:tc>
        <w:tc>
          <w:tcPr>
            <w:tcW w:w="148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1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Kangaroo Bidco AS </w:t>
            </w:r>
            <w:r>
              <w:rPr>
                <w:rFonts w:ascii="Times New Roman" w:cs="Times New Roman" w:eastAsia="Times New Roman" w:hAnsi="Times New Roman"/>
                <w:sz w:val="13"/>
                <w:szCs w:val="13"/>
                <w:color w:val="auto"/>
                <w:vertAlign w:val="superscript"/>
              </w:rPr>
              <w:t>(3)(4)</w:t>
            </w:r>
          </w:p>
        </w:tc>
        <w:tc>
          <w:tcPr>
            <w:tcW w:w="1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14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Fridtjof Nansens Plass 7,</w:t>
            </w:r>
          </w:p>
        </w:tc>
        <w:tc>
          <w:tcPr>
            <w:tcW w:w="174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($157,500 par,</w:t>
            </w: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Oslo, 0160, Norway</w:t>
            </w:r>
          </w:p>
        </w:tc>
        <w:tc>
          <w:tcPr>
            <w:tcW w:w="1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due 11/2030)</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11/2/2023</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SOFR + 6.25%</w:t>
            </w: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10.43%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153,639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160,650</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17"/>
        </w:trPr>
        <w:tc>
          <w:tcPr>
            <w:tcW w:w="3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Severin Acquisition, LLC </w:t>
            </w:r>
            <w:r>
              <w:rPr>
                <w:rFonts w:ascii="Times New Roman" w:cs="Times New Roman" w:eastAsia="Times New Roman" w:hAnsi="Times New Roman"/>
                <w:sz w:val="13"/>
                <w:szCs w:val="13"/>
                <w:color w:val="auto"/>
                <w:vertAlign w:val="superscript"/>
              </w:rPr>
              <w:t>(3)</w:t>
            </w:r>
          </w:p>
        </w:tc>
        <w:tc>
          <w:tcPr>
            <w:tcW w:w="1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150 Parkshore Drive</w:t>
            </w:r>
          </w:p>
        </w:tc>
        <w:tc>
          <w:tcPr>
            <w:tcW w:w="1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Folsom, CA 95630</w:t>
            </w:r>
          </w:p>
        </w:tc>
        <w:tc>
          <w:tcPr>
            <w:tcW w:w="174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($184,846 par,</w:t>
            </w: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97"/>
              <w:spacing w:after="0" w:line="140" w:lineRule="exact"/>
              <w:rPr>
                <w:sz w:val="20"/>
                <w:szCs w:val="20"/>
                <w:color w:val="auto"/>
              </w:rPr>
            </w:pPr>
            <w:r>
              <w:rPr>
                <w:rFonts w:ascii="Times New Roman" w:cs="Times New Roman" w:eastAsia="Times New Roman" w:hAnsi="Times New Roman"/>
                <w:sz w:val="13"/>
                <w:szCs w:val="13"/>
                <w:color w:val="auto"/>
              </w:rPr>
              <w:t>9.33%</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1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due 10/2031)</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10/1/2024</w:t>
            </w: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SOFR + 5.00%</w:t>
            </w:r>
          </w:p>
        </w:tc>
        <w:tc>
          <w:tcPr>
            <w:tcW w:w="12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(incl. 2.25% PIK)</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184,822</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184,846</w:t>
            </w: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320" w:top="455" w:right="5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Electronics</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Sapphire Software Buyer,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690 East Middlefield Road</w:t>
      </w:r>
    </w:p>
    <w:p>
      <w:pPr>
        <w:spacing w:after="0" w:line="217" w:lineRule="auto"/>
        <w:rPr>
          <w:sz w:val="20"/>
          <w:szCs w:val="20"/>
          <w:color w:val="auto"/>
        </w:rPr>
      </w:pPr>
      <w:r>
        <w:rPr>
          <w:rFonts w:ascii="Times New Roman" w:cs="Times New Roman" w:eastAsia="Times New Roman" w:hAnsi="Times New Roman"/>
          <w:sz w:val="13"/>
          <w:szCs w:val="13"/>
          <w:color w:val="auto"/>
        </w:rPr>
        <w:t>Mountain View, California 94043</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Financial Services</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Linnoitustie 6</w:t>
      </w:r>
    </w:p>
    <w:p>
      <w:pPr>
        <w:spacing w:after="0"/>
        <w:rPr>
          <w:sz w:val="20"/>
          <w:szCs w:val="20"/>
          <w:color w:val="auto"/>
        </w:rPr>
      </w:pPr>
      <w:r>
        <w:rPr>
          <w:rFonts w:ascii="Times New Roman" w:cs="Times New Roman" w:eastAsia="Times New Roman" w:hAnsi="Times New Roman"/>
          <w:sz w:val="13"/>
          <w:szCs w:val="13"/>
          <w:color w:val="auto"/>
        </w:rPr>
        <w:t>02600, Norway</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Arlberg Bidco, LLC </w:t>
      </w:r>
      <w:r>
        <w:rPr>
          <w:rFonts w:ascii="Times New Roman" w:cs="Times New Roman" w:eastAsia="Times New Roman" w:hAnsi="Times New Roman"/>
          <w:sz w:val="15"/>
          <w:szCs w:val="15"/>
          <w:color w:val="auto"/>
          <w:vertAlign w:val="superscript"/>
        </w:rPr>
        <w:t>(3)(4)(5)</w:t>
      </w:r>
    </w:p>
    <w:p>
      <w:pPr>
        <w:spacing w:after="0" w:line="217" w:lineRule="auto"/>
        <w:rPr>
          <w:sz w:val="20"/>
          <w:szCs w:val="20"/>
          <w:color w:val="auto"/>
        </w:rPr>
      </w:pPr>
      <w:r>
        <w:rPr>
          <w:rFonts w:ascii="Times New Roman" w:cs="Times New Roman" w:eastAsia="Times New Roman" w:hAnsi="Times New Roman"/>
          <w:sz w:val="13"/>
          <w:szCs w:val="13"/>
          <w:color w:val="auto"/>
        </w:rPr>
        <w:t>46 rue de l’Arbe Sec</w:t>
      </w:r>
    </w:p>
    <w:p>
      <w:pPr>
        <w:spacing w:after="0" w:line="217" w:lineRule="auto"/>
        <w:rPr>
          <w:sz w:val="20"/>
          <w:szCs w:val="20"/>
          <w:color w:val="auto"/>
        </w:rPr>
      </w:pPr>
      <w:r>
        <w:rPr>
          <w:rFonts w:ascii="Times New Roman" w:cs="Times New Roman" w:eastAsia="Times New Roman" w:hAnsi="Times New Roman"/>
          <w:sz w:val="13"/>
          <w:szCs w:val="13"/>
          <w:color w:val="auto"/>
        </w:rPr>
        <w:t>75001 Paris</w:t>
      </w: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5"/>
          <w:szCs w:val="15"/>
          <w:color w:val="auto"/>
          <w:vertAlign w:val="superscript"/>
        </w:rPr>
        <w:t>(3)(5)</w:t>
      </w:r>
    </w:p>
    <w:p>
      <w:pPr>
        <w:spacing w:after="0" w:line="217" w:lineRule="auto"/>
        <w:rPr>
          <w:sz w:val="20"/>
          <w:szCs w:val="20"/>
          <w:color w:val="auto"/>
        </w:rPr>
      </w:pPr>
      <w:r>
        <w:rPr>
          <w:rFonts w:ascii="Times New Roman" w:cs="Times New Roman" w:eastAsia="Times New Roman" w:hAnsi="Times New Roman"/>
          <w:sz w:val="13"/>
          <w:szCs w:val="13"/>
          <w:color w:val="auto"/>
        </w:rPr>
        <w:t>6100 W. 96th Street, Suite 100</w:t>
      </w:r>
    </w:p>
    <w:p>
      <w:pPr>
        <w:spacing w:after="0" w:line="217" w:lineRule="auto"/>
        <w:rPr>
          <w:sz w:val="20"/>
          <w:szCs w:val="20"/>
          <w:color w:val="auto"/>
        </w:rPr>
      </w:pPr>
      <w:r>
        <w:rPr>
          <w:rFonts w:ascii="Times New Roman" w:cs="Times New Roman" w:eastAsia="Times New Roman" w:hAnsi="Times New Roman"/>
          <w:sz w:val="13"/>
          <w:szCs w:val="13"/>
          <w:color w:val="auto"/>
        </w:rPr>
        <w:t>Indianapolis, IN 46278</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Fullsteam Operations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540 Devall Drive</w:t>
      </w:r>
    </w:p>
    <w:p>
      <w:pPr>
        <w:spacing w:after="0" w:line="217" w:lineRule="auto"/>
        <w:rPr>
          <w:sz w:val="20"/>
          <w:szCs w:val="20"/>
          <w:color w:val="auto"/>
        </w:rPr>
      </w:pPr>
      <w:r>
        <w:rPr>
          <w:rFonts w:ascii="Times New Roman" w:cs="Times New Roman" w:eastAsia="Times New Roman" w:hAnsi="Times New Roman"/>
          <w:sz w:val="13"/>
          <w:szCs w:val="13"/>
          <w:color w:val="auto"/>
        </w:rPr>
        <w:t>Suite 301</w:t>
      </w:r>
    </w:p>
    <w:p>
      <w:pPr>
        <w:spacing w:after="0" w:line="217" w:lineRule="auto"/>
        <w:rPr>
          <w:sz w:val="20"/>
          <w:szCs w:val="20"/>
          <w:color w:val="auto"/>
        </w:rPr>
      </w:pPr>
      <w:r>
        <w:rPr>
          <w:rFonts w:ascii="Times New Roman" w:cs="Times New Roman" w:eastAsia="Times New Roman" w:hAnsi="Times New Roman"/>
          <w:sz w:val="13"/>
          <w:szCs w:val="13"/>
          <w:color w:val="auto"/>
        </w:rPr>
        <w:t>Auburn, AL 36832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GreenShoot BidCo B.V.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Prinsengracht 769 A</w:t>
      </w:r>
    </w:p>
    <w:p>
      <w:pPr>
        <w:spacing w:after="0" w:line="217" w:lineRule="auto"/>
        <w:rPr>
          <w:sz w:val="20"/>
          <w:szCs w:val="20"/>
          <w:color w:val="auto"/>
        </w:rPr>
      </w:pPr>
      <w:r>
        <w:rPr>
          <w:rFonts w:ascii="Times New Roman" w:cs="Times New Roman" w:eastAsia="Times New Roman" w:hAnsi="Times New Roman"/>
          <w:sz w:val="13"/>
          <w:szCs w:val="13"/>
          <w:color w:val="auto"/>
        </w:rPr>
        <w:t>1017JZ Amsterdam</w:t>
      </w: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216" w:lineRule="auto"/>
        <w:rPr>
          <w:sz w:val="20"/>
          <w:szCs w:val="20"/>
          <w:color w:val="auto"/>
        </w:rPr>
      </w:pPr>
      <w:r>
        <w:rPr>
          <w:rFonts w:ascii="Times New Roman" w:cs="Times New Roman" w:eastAsia="Times New Roman" w:hAnsi="Times New Roman"/>
          <w:sz w:val="13"/>
          <w:szCs w:val="13"/>
          <w:color w:val="auto"/>
        </w:rPr>
        <w:t>Volante Technologies, Inc.</w:t>
      </w:r>
    </w:p>
    <w:p>
      <w:pPr>
        <w:spacing w:after="0" w:line="217" w:lineRule="auto"/>
        <w:rPr>
          <w:sz w:val="20"/>
          <w:szCs w:val="20"/>
          <w:color w:val="auto"/>
        </w:rPr>
      </w:pPr>
      <w:r>
        <w:rPr>
          <w:rFonts w:ascii="Times New Roman" w:cs="Times New Roman" w:eastAsia="Times New Roman" w:hAnsi="Times New Roman"/>
          <w:sz w:val="13"/>
          <w:szCs w:val="13"/>
          <w:color w:val="auto"/>
        </w:rPr>
        <w:t>Harborside 5</w:t>
      </w:r>
    </w:p>
    <w:p>
      <w:pPr>
        <w:spacing w:after="0" w:line="217" w:lineRule="auto"/>
        <w:rPr>
          <w:sz w:val="20"/>
          <w:szCs w:val="20"/>
          <w:color w:val="auto"/>
        </w:rPr>
      </w:pPr>
      <w:r>
        <w:rPr>
          <w:rFonts w:ascii="Times New Roman" w:cs="Times New Roman" w:eastAsia="Times New Roman" w:hAnsi="Times New Roman"/>
          <w:sz w:val="13"/>
          <w:szCs w:val="13"/>
          <w:color w:val="auto"/>
        </w:rPr>
        <w:t>185 Hudson Street, Suite 1605</w:t>
      </w:r>
    </w:p>
    <w:p>
      <w:pPr>
        <w:spacing w:after="0" w:line="216" w:lineRule="auto"/>
        <w:rPr>
          <w:sz w:val="20"/>
          <w:szCs w:val="20"/>
          <w:color w:val="auto"/>
        </w:rPr>
      </w:pPr>
      <w:r>
        <w:rPr>
          <w:rFonts w:ascii="Times New Roman" w:cs="Times New Roman" w:eastAsia="Times New Roman" w:hAnsi="Times New Roman"/>
          <w:sz w:val="13"/>
          <w:szCs w:val="13"/>
          <w:color w:val="auto"/>
        </w:rPr>
        <w:t>Jersey City, NJ 07311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Healthcare</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5"/>
          <w:szCs w:val="15"/>
          <w:color w:val="auto"/>
          <w:vertAlign w:val="superscript"/>
        </w:rPr>
        <w:t>(3)(4)(5)</w:t>
      </w:r>
    </w:p>
    <w:p>
      <w:pPr>
        <w:spacing w:after="0" w:line="217" w:lineRule="auto"/>
        <w:rPr>
          <w:sz w:val="20"/>
          <w:szCs w:val="20"/>
          <w:color w:val="auto"/>
        </w:rPr>
      </w:pPr>
      <w:r>
        <w:rPr>
          <w:rFonts w:ascii="Times New Roman" w:cs="Times New Roman" w:eastAsia="Times New Roman" w:hAnsi="Times New Roman"/>
          <w:sz w:val="13"/>
          <w:szCs w:val="13"/>
          <w:color w:val="auto"/>
        </w:rPr>
        <w:t>De Lairessestraat 145</w:t>
      </w:r>
    </w:p>
    <w:p>
      <w:pPr>
        <w:spacing w:after="0" w:line="217" w:lineRule="auto"/>
        <w:rPr>
          <w:sz w:val="20"/>
          <w:szCs w:val="20"/>
          <w:color w:val="auto"/>
        </w:rPr>
      </w:pPr>
      <w:r>
        <w:rPr>
          <w:rFonts w:ascii="Times New Roman" w:cs="Times New Roman" w:eastAsia="Times New Roman" w:hAnsi="Times New Roman"/>
          <w:sz w:val="13"/>
          <w:szCs w:val="13"/>
          <w:color w:val="auto"/>
        </w:rPr>
        <w:t>1075 HJ Amsterdam</w:t>
      </w: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Eventus Buyer,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6330 Quadrangle Dr #500</w:t>
      </w:r>
    </w:p>
    <w:p>
      <w:pPr>
        <w:spacing w:after="0" w:line="217" w:lineRule="auto"/>
        <w:rPr>
          <w:sz w:val="20"/>
          <w:szCs w:val="20"/>
          <w:color w:val="auto"/>
        </w:rPr>
      </w:pPr>
      <w:r>
        <w:rPr>
          <w:rFonts w:ascii="Times New Roman" w:cs="Times New Roman" w:eastAsia="Times New Roman" w:hAnsi="Times New Roman"/>
          <w:sz w:val="13"/>
          <w:szCs w:val="13"/>
          <w:color w:val="auto"/>
        </w:rPr>
        <w:t>Chapel Hill, NC 27517</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Ingenovis Health Finance, LLC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5700 South Quebec Street</w:t>
      </w:r>
    </w:p>
    <w:p>
      <w:pPr>
        <w:spacing w:after="0" w:line="217" w:lineRule="auto"/>
        <w:rPr>
          <w:sz w:val="20"/>
          <w:szCs w:val="20"/>
          <w:color w:val="auto"/>
        </w:rPr>
      </w:pPr>
      <w:r>
        <w:rPr>
          <w:rFonts w:ascii="Times New Roman" w:cs="Times New Roman" w:eastAsia="Times New Roman" w:hAnsi="Times New Roman"/>
          <w:sz w:val="13"/>
          <w:szCs w:val="13"/>
          <w:color w:val="auto"/>
        </w:rPr>
        <w:t>Suite 300</w:t>
      </w:r>
    </w:p>
    <w:p>
      <w:pPr>
        <w:spacing w:after="0" w:line="217" w:lineRule="auto"/>
        <w:rPr>
          <w:sz w:val="20"/>
          <w:szCs w:val="20"/>
          <w:color w:val="auto"/>
        </w:rPr>
      </w:pPr>
      <w:r>
        <w:rPr>
          <w:rFonts w:ascii="Times New Roman" w:cs="Times New Roman" w:eastAsia="Times New Roman" w:hAnsi="Times New Roman"/>
          <w:sz w:val="13"/>
          <w:szCs w:val="13"/>
          <w:color w:val="auto"/>
        </w:rPr>
        <w:t>Greenwood Village, CO 80111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5"/>
          <w:szCs w:val="15"/>
          <w:color w:val="auto"/>
          <w:vertAlign w:val="superscript"/>
        </w:rPr>
        <w:t>(3)(5)</w:t>
      </w:r>
    </w:p>
    <w:p>
      <w:pPr>
        <w:spacing w:after="0" w:line="235" w:lineRule="auto"/>
        <w:rPr>
          <w:sz w:val="20"/>
          <w:szCs w:val="20"/>
          <w:color w:val="auto"/>
        </w:rPr>
      </w:pPr>
      <w:r>
        <w:rPr>
          <w:rFonts w:ascii="Times New Roman" w:cs="Times New Roman" w:eastAsia="Times New Roman" w:hAnsi="Times New Roman"/>
          <w:sz w:val="12"/>
          <w:szCs w:val="12"/>
          <w:color w:val="auto"/>
        </w:rPr>
        <w:t>205 West Wacker Drive, Suite 1800</w:t>
      </w:r>
    </w:p>
    <w:p>
      <w:pPr>
        <w:spacing w:after="0" w:line="217" w:lineRule="auto"/>
        <w:rPr>
          <w:sz w:val="20"/>
          <w:szCs w:val="20"/>
          <w:color w:val="auto"/>
        </w:rPr>
      </w:pPr>
      <w:r>
        <w:rPr>
          <w:rFonts w:ascii="Times New Roman" w:cs="Times New Roman" w:eastAsia="Times New Roman" w:hAnsi="Times New Roman"/>
          <w:sz w:val="13"/>
          <w:szCs w:val="13"/>
          <w:color w:val="auto"/>
        </w:rPr>
        <w:t>Chicago, IL 60606</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9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6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72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8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170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First-lien revolving loan ($9,730</w:t>
            </w: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par, due 10/2031)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10/1/2024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+ 4.75%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9.08%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9,529</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9,730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347,990</w:t>
            </w: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355,226</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8.4%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2"/>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($225,810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9/2031)</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9/30/2024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223,545</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225,178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(EUR 727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859</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5/2030)</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5/30/2023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+ 5.75%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761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732)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($5,000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2/2031)</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2/14/2025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4,938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($7,618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7/2029)</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7/20/2023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10.28%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7,418</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7,751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($91,919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11/2029)</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11/27/2023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+ 8.40%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12.73%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89,750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93,987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CCEEFF"/>
          </w:tcPr>
          <w:p>
            <w:pPr>
              <w:spacing w:after="0"/>
              <w:rPr>
                <w:sz w:val="10"/>
                <w:szCs w:val="10"/>
                <w:color w:val="auto"/>
              </w:rPr>
            </w:pPr>
          </w:p>
        </w:tc>
        <w:tc>
          <w:tcPr>
            <w:tcW w:w="18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First-lien loan ($29,973 par, due</w:t>
            </w: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11/2029)</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2/23/2024</w:t>
            </w: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SOFR + 7.15%</w:t>
            </w:r>
          </w:p>
        </w:tc>
        <w:tc>
          <w:tcPr>
            <w:tcW w:w="9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11.48%</w:t>
            </w: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29,415</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31,286</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 ($1,768</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par, due 11/2029)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11/27/2023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SOFR + 8.40%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12.71%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1,847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(EUR 5,107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5,930</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5/2030)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5/28/2024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+ 5.75%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5,422</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5,052)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4"/>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($3,332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9/2028)</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9/29/2023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16.50%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16.50%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3,457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142,678</w:t>
            </w: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150,055</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3.6%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(EUR 5,932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7,085</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2/2029)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+ 6.50%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8.48%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6,223</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6,036)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($48,349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11/2030)</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11/1/2024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47,620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47,734</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revolving loan ($3,493</w:t>
            </w: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par, due 11/2030)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11/1/2024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9.79%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3,428</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35"/>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revolving loan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($10,000 par, due 5/2030)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5/13/2025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10.31%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9,611</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9,700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($114,259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3/2029)</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3/24/2023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+ 6.25%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111,814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115,445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-6041390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-5235575</wp:posOffset>
            </wp:positionV>
            <wp:extent cx="699516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-4935220</wp:posOffset>
            </wp:positionV>
            <wp:extent cx="699516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-4498340</wp:posOffset>
            </wp:positionV>
            <wp:extent cx="699516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-4146550</wp:posOffset>
            </wp:positionV>
            <wp:extent cx="6995160" cy="351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995160" cy="35179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-3443605</wp:posOffset>
            </wp:positionV>
            <wp:extent cx="6995160" cy="779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995160" cy="77978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-2312035</wp:posOffset>
            </wp:positionV>
            <wp:extent cx="6995160" cy="436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-1755140</wp:posOffset>
            </wp:positionV>
            <wp:extent cx="699516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-1317625</wp:posOffset>
            </wp:positionV>
            <wp:extent cx="6995160" cy="522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995160" cy="5226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-357505</wp:posOffset>
            </wp:positionV>
            <wp:extent cx="6995160" cy="3511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pacing w:after="0" w:line="9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2">
            <w:col w:w="2640" w:space="720"/>
            <w:col w:w="7660"/>
          </w:cols>
          <w:pgMar w:left="320" w:top="455" w:right="5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Symplr Software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315 Capitol St STE 100</w:t>
      </w:r>
    </w:p>
    <w:p>
      <w:pPr>
        <w:spacing w:after="0" w:line="217" w:lineRule="auto"/>
        <w:rPr>
          <w:sz w:val="20"/>
          <w:szCs w:val="20"/>
          <w:color w:val="auto"/>
        </w:rPr>
      </w:pPr>
      <w:r>
        <w:rPr>
          <w:rFonts w:ascii="Times New Roman" w:cs="Times New Roman" w:eastAsia="Times New Roman" w:hAnsi="Times New Roman"/>
          <w:sz w:val="13"/>
          <w:szCs w:val="13"/>
          <w:color w:val="auto"/>
        </w:rPr>
        <w:t>Houston, TX 77002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Hotel, Gaming, and Leisure</w:t>
      </w:r>
    </w:p>
    <w:p>
      <w:pPr>
        <w:spacing w:after="0" w:line="181" w:lineRule="auto"/>
        <w:rPr>
          <w:sz w:val="20"/>
          <w:szCs w:val="20"/>
          <w:color w:val="auto"/>
        </w:rPr>
      </w:pPr>
      <w:r>
        <w:rPr>
          <w:rFonts w:ascii="Times New Roman" w:cs="Times New Roman" w:eastAsia="Times New Roman" w:hAnsi="Times New Roman"/>
          <w:sz w:val="12"/>
          <w:szCs w:val="12"/>
          <w:color w:val="auto"/>
        </w:rPr>
        <w:t xml:space="preserve">AVSC Holding Corp. </w:t>
      </w:r>
      <w:r>
        <w:rPr>
          <w:rFonts w:ascii="Times New Roman" w:cs="Times New Roman" w:eastAsia="Times New Roman" w:hAnsi="Times New Roman"/>
          <w:sz w:val="17"/>
          <w:szCs w:val="17"/>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5100 North River Road</w:t>
      </w:r>
    </w:p>
    <w:p>
      <w:pPr>
        <w:spacing w:after="0" w:line="217" w:lineRule="auto"/>
        <w:rPr>
          <w:sz w:val="20"/>
          <w:szCs w:val="20"/>
          <w:color w:val="auto"/>
        </w:rPr>
      </w:pPr>
      <w:r>
        <w:rPr>
          <w:rFonts w:ascii="Times New Roman" w:cs="Times New Roman" w:eastAsia="Times New Roman" w:hAnsi="Times New Roman"/>
          <w:sz w:val="13"/>
          <w:szCs w:val="13"/>
          <w:color w:val="auto"/>
        </w:rPr>
        <w:t>Suite 300</w:t>
      </w:r>
    </w:p>
    <w:p>
      <w:pPr>
        <w:spacing w:after="0" w:line="217" w:lineRule="auto"/>
        <w:rPr>
          <w:sz w:val="20"/>
          <w:szCs w:val="20"/>
          <w:color w:val="auto"/>
        </w:rPr>
      </w:pPr>
      <w:r>
        <w:rPr>
          <w:rFonts w:ascii="Times New Roman" w:cs="Times New Roman" w:eastAsia="Times New Roman" w:hAnsi="Times New Roman"/>
          <w:sz w:val="13"/>
          <w:szCs w:val="13"/>
          <w:color w:val="auto"/>
        </w:rPr>
        <w:t>Schiller Park, IL 60176</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16" w:lineRule="auto"/>
        <w:rPr>
          <w:sz w:val="20"/>
          <w:szCs w:val="20"/>
          <w:color w:val="auto"/>
        </w:rPr>
      </w:pPr>
      <w:r>
        <w:rPr>
          <w:rFonts w:ascii="Times New Roman" w:cs="Times New Roman" w:eastAsia="Times New Roman" w:hAnsi="Times New Roman"/>
          <w:sz w:val="13"/>
          <w:szCs w:val="13"/>
          <w:color w:val="auto"/>
        </w:rPr>
        <w:t>Equinox Holdings, Inc.</w:t>
      </w:r>
    </w:p>
    <w:p>
      <w:pPr>
        <w:spacing w:after="0" w:line="217" w:lineRule="auto"/>
        <w:rPr>
          <w:sz w:val="20"/>
          <w:szCs w:val="20"/>
          <w:color w:val="auto"/>
        </w:rPr>
      </w:pPr>
      <w:r>
        <w:rPr>
          <w:rFonts w:ascii="Times New Roman" w:cs="Times New Roman" w:eastAsia="Times New Roman" w:hAnsi="Times New Roman"/>
          <w:sz w:val="13"/>
          <w:szCs w:val="13"/>
          <w:color w:val="auto"/>
        </w:rPr>
        <w:t>31 Hudson Yards</w:t>
      </w:r>
    </w:p>
    <w:p>
      <w:pPr>
        <w:spacing w:after="0" w:line="217" w:lineRule="auto"/>
        <w:rPr>
          <w:sz w:val="20"/>
          <w:szCs w:val="20"/>
          <w:color w:val="auto"/>
        </w:rPr>
      </w:pPr>
      <w:r>
        <w:rPr>
          <w:rFonts w:ascii="Times New Roman" w:cs="Times New Roman" w:eastAsia="Times New Roman" w:hAnsi="Times New Roman"/>
          <w:sz w:val="13"/>
          <w:szCs w:val="13"/>
          <w:color w:val="auto"/>
        </w:rPr>
        <w:t>New York, NY 10001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62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4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6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5"/>
              </w:rPr>
              <w:t xml:space="preserve">Value </w:t>
            </w:r>
            <w:r>
              <w:rPr>
                <w:rFonts w:ascii="Times New Roman" w:cs="Times New Roman" w:eastAsia="Times New Roman" w:hAnsi="Times New Roman"/>
                <w:sz w:val="17"/>
                <w:szCs w:val="17"/>
                <w:b w:val="1"/>
                <w:bCs w:val="1"/>
                <w:color w:val="auto"/>
                <w:w w:val="95"/>
                <w:vertAlign w:val="superscript"/>
              </w:rPr>
              <w:t>(6)</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380"/>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($1,276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12/2027)</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4/15/2025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+ 4.60%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8.88%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1,161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179,759</w:t>
            </w:r>
          </w:p>
        </w:tc>
        <w:tc>
          <w:tcPr>
            <w:tcW w:w="140" w:type="dxa"/>
            <w:vAlign w:val="bottom"/>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184,553</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4.3%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7"/>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($247,799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12/2031)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12/5/2024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242,670</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244,369</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5.8%</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($202,497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12.55%</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 xml:space="preserve">due 3/2029) </w:t>
            </w:r>
            <w:r>
              <w:rPr>
                <w:rFonts w:ascii="Times New Roman" w:cs="Times New Roman" w:eastAsia="Times New Roman" w:hAnsi="Times New Roman"/>
                <w:sz w:val="16"/>
                <w:szCs w:val="16"/>
                <w:color w:val="auto"/>
                <w:vertAlign w:val="superscript"/>
              </w:rPr>
              <w:t>(3)</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3/8/2024</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SOFR + 8.25%</w:t>
            </w:r>
          </w:p>
        </w:tc>
        <w:tc>
          <w:tcPr>
            <w:tcW w:w="116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w w:val="99"/>
              </w:rPr>
              <w:t>(incl. 4.13% PIK)</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200,038</w:t>
            </w:r>
          </w:p>
        </w:tc>
        <w:tc>
          <w:tcPr>
            <w:tcW w:w="1000" w:type="dxa"/>
            <w:vAlign w:val="bottom"/>
            <w:gridSpan w:val="3"/>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207,560</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4.9%</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Second-lien loan ($10,148 par,</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6/2027)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3/13/2024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16.00%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16.00%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10,655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-1145540</wp:posOffset>
            </wp:positionV>
            <wp:extent cx="699516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-956945</wp:posOffset>
            </wp:positionV>
            <wp:extent cx="6995160" cy="436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995160" cy="4368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00" w:space="720"/>
            <w:col w:w="770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32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0"/>
                <w:szCs w:val="10"/>
                <w:color w:val="auto"/>
              </w:rPr>
              <w:t xml:space="preserve">Sport Alliance GmbH </w:t>
            </w:r>
            <w:r>
              <w:rPr>
                <w:rFonts w:ascii="Times New Roman" w:cs="Times New Roman" w:eastAsia="Times New Roman" w:hAnsi="Times New Roman"/>
                <w:sz w:val="14"/>
                <w:szCs w:val="14"/>
                <w:color w:val="auto"/>
                <w:vertAlign w:val="superscript"/>
              </w:rPr>
              <w:t>(3)(4)</w:t>
            </w:r>
          </w:p>
        </w:tc>
        <w:tc>
          <w:tcPr>
            <w:tcW w:w="1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Raboisen 6</w:t>
            </w:r>
          </w:p>
        </w:tc>
        <w:tc>
          <w:tcPr>
            <w:tcW w:w="1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0"/>
        </w:trPr>
        <w:tc>
          <w:tcPr>
            <w:tcW w:w="32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20095 Hamburg</w:t>
            </w:r>
          </w:p>
        </w:tc>
        <w:tc>
          <w:tcPr>
            <w:tcW w:w="182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(EUR 4,553 par,</w:t>
            </w: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97"/>
              <w:spacing w:after="0" w:line="140" w:lineRule="exact"/>
              <w:rPr>
                <w:sz w:val="20"/>
                <w:szCs w:val="20"/>
                <w:color w:val="auto"/>
              </w:rPr>
            </w:pPr>
            <w:r>
              <w:rPr>
                <w:rFonts w:ascii="Times New Roman" w:cs="Times New Roman" w:eastAsia="Times New Roman" w:hAnsi="Times New Roman"/>
                <w:sz w:val="13"/>
                <w:szCs w:val="13"/>
                <w:color w:val="auto"/>
              </w:rPr>
              <w:t>9.50%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5,424</w:t>
            </w: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4"/>
        </w:trPr>
        <w:tc>
          <w:tcPr>
            <w:tcW w:w="32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Germany</w:t>
            </w:r>
          </w:p>
        </w:tc>
        <w:tc>
          <w:tcPr>
            <w:tcW w:w="182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due 4/2030)</w:t>
            </w:r>
          </w:p>
        </w:tc>
        <w:tc>
          <w:tcPr>
            <w:tcW w:w="880" w:type="dxa"/>
            <w:vAlign w:val="bottom"/>
            <w:shd w:val="clear" w:color="auto" w:fill="CCEEFF"/>
          </w:tcPr>
          <w:p>
            <w:pPr>
              <w:jc w:val="right"/>
              <w:ind w:right="157"/>
              <w:spacing w:after="0" w:line="144" w:lineRule="exact"/>
              <w:rPr>
                <w:sz w:val="20"/>
                <w:szCs w:val="20"/>
                <w:color w:val="auto"/>
              </w:rPr>
            </w:pPr>
            <w:r>
              <w:rPr>
                <w:rFonts w:ascii="Times New Roman" w:cs="Times New Roman" w:eastAsia="Times New Roman" w:hAnsi="Times New Roman"/>
                <w:sz w:val="13"/>
                <w:szCs w:val="13"/>
                <w:color w:val="auto"/>
              </w:rPr>
              <w:t>4/10/2024</w:t>
            </w:r>
          </w:p>
        </w:tc>
        <w:tc>
          <w:tcPr>
            <w:tcW w:w="840" w:type="dxa"/>
            <w:vAlign w:val="bottom"/>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rPr>
              <w:t>E + 7.25%</w:t>
            </w:r>
          </w:p>
        </w:tc>
        <w:tc>
          <w:tcPr>
            <w:tcW w:w="1220" w:type="dxa"/>
            <w:vAlign w:val="bottom"/>
            <w:shd w:val="clear" w:color="auto" w:fill="CCEEFF"/>
          </w:tcPr>
          <w:p>
            <w:pPr>
              <w:jc w:val="right"/>
              <w:ind w:right="157"/>
              <w:spacing w:after="0" w:line="144" w:lineRule="exact"/>
              <w:rPr>
                <w:sz w:val="20"/>
                <w:szCs w:val="20"/>
                <w:color w:val="auto"/>
              </w:rPr>
            </w:pPr>
            <w:r>
              <w:rPr>
                <w:rFonts w:ascii="Times New Roman" w:cs="Times New Roman" w:eastAsia="Times New Roman" w:hAnsi="Times New Roman"/>
                <w:sz w:val="13"/>
                <w:szCs w:val="13"/>
                <w:color w:val="auto"/>
              </w:rPr>
              <w:t>(incl. 3.88% PIK)</w:t>
            </w: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4,801</w:t>
            </w:r>
          </w:p>
        </w:tc>
        <w:tc>
          <w:tcPr>
            <w:tcW w:w="8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4,621)</w:t>
            </w:r>
          </w:p>
        </w:tc>
        <w:tc>
          <w:tcPr>
            <w:tcW w:w="1480" w:type="dxa"/>
            <w:vAlign w:val="bottom"/>
            <w:gridSpan w:val="2"/>
            <w:shd w:val="clear" w:color="auto" w:fill="CCEEFF"/>
          </w:tcPr>
          <w:p>
            <w:pPr>
              <w:jc w:val="right"/>
              <w:ind w:right="780"/>
              <w:spacing w:after="0" w:line="144" w:lineRule="exact"/>
              <w:rPr>
                <w:sz w:val="20"/>
                <w:szCs w:val="20"/>
                <w:color w:val="auto"/>
              </w:rPr>
            </w:pPr>
            <w:r>
              <w:rPr>
                <w:rFonts w:ascii="Times New Roman" w:cs="Times New Roman" w:eastAsia="Times New Roman" w:hAnsi="Times New Roman"/>
                <w:sz w:val="13"/>
                <w:szCs w:val="13"/>
                <w:color w:val="auto"/>
              </w:rPr>
              <w:t>0.1%</w:t>
            </w:r>
          </w:p>
        </w:tc>
      </w:tr>
      <w:tr>
        <w:trPr>
          <w:trHeight w:val="140"/>
        </w:trPr>
        <w:tc>
          <w:tcPr>
            <w:tcW w:w="3200" w:type="dxa"/>
            <w:vAlign w:val="bottom"/>
            <w:shd w:val="clear" w:color="auto" w:fill="CCEEFF"/>
          </w:tcPr>
          <w:p>
            <w:pPr>
              <w:spacing w:after="0"/>
              <w:rPr>
                <w:sz w:val="12"/>
                <w:szCs w:val="12"/>
                <w:color w:val="auto"/>
              </w:rPr>
            </w:pPr>
          </w:p>
        </w:tc>
        <w:tc>
          <w:tcPr>
            <w:tcW w:w="182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revolving loan (EUR</w:t>
            </w: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256</w:t>
            </w: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62"/>
        </w:trPr>
        <w:tc>
          <w:tcPr>
            <w:tcW w:w="3200" w:type="dxa"/>
            <w:vAlign w:val="bottom"/>
            <w:shd w:val="clear" w:color="auto" w:fill="CCEEFF"/>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208 par, due 4/2030)</w:t>
            </w:r>
          </w:p>
        </w:tc>
        <w:tc>
          <w:tcPr>
            <w:tcW w:w="8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4/10/2024</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 + 6.75%</w:t>
            </w: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8.73%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(EUR 218)</w:t>
            </w: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0.0%</w:t>
            </w:r>
          </w:p>
        </w:tc>
      </w:tr>
      <w:tr>
        <w:trPr>
          <w:trHeight w:val="20"/>
        </w:trPr>
        <w:tc>
          <w:tcPr>
            <w:tcW w:w="3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020"/>
          </w:cols>
          <w:pgMar w:left="320" w:top="455" w:right="559" w:bottom="1440" w:gutter="0" w:footer="0" w:header="0"/>
          <w:type w:val="continuous"/>
        </w:sectPr>
      </w:pPr>
    </w:p>
    <w:p>
      <w:pPr>
        <w:spacing w:after="0" w:line="154" w:lineRule="exact"/>
        <w:rPr>
          <w:sz w:val="20"/>
          <w:szCs w:val="20"/>
          <w:color w:val="auto"/>
        </w:rPr>
      </w:pPr>
    </w:p>
    <w:p>
      <w:pPr>
        <w:ind w:right="600"/>
        <w:spacing w:after="0" w:line="192" w:lineRule="auto"/>
        <w:rPr>
          <w:sz w:val="20"/>
          <w:szCs w:val="20"/>
          <w:color w:val="auto"/>
        </w:rPr>
      </w:pPr>
      <w:r>
        <w:rPr>
          <w:rFonts w:ascii="Times New Roman" w:cs="Times New Roman" w:eastAsia="Times New Roman" w:hAnsi="Times New Roman"/>
          <w:sz w:val="13"/>
          <w:szCs w:val="13"/>
          <w:b w:val="1"/>
          <w:bCs w:val="1"/>
          <w:color w:val="auto"/>
        </w:rPr>
        <w:t xml:space="preserve">Human Resource Support Services </w:t>
      </w: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8"/>
          <w:szCs w:val="18"/>
          <w:color w:val="auto"/>
          <w:vertAlign w:val="superscript"/>
        </w:rPr>
        <w:t>(3)(5)</w:t>
      </w:r>
    </w:p>
    <w:p>
      <w:pPr>
        <w:spacing w:after="0" w:line="218" w:lineRule="auto"/>
        <w:rPr>
          <w:sz w:val="20"/>
          <w:szCs w:val="20"/>
          <w:color w:val="auto"/>
        </w:rPr>
      </w:pPr>
      <w:r>
        <w:rPr>
          <w:rFonts w:ascii="Times New Roman" w:cs="Times New Roman" w:eastAsia="Times New Roman" w:hAnsi="Times New Roman"/>
          <w:sz w:val="13"/>
          <w:szCs w:val="13"/>
          <w:color w:val="auto"/>
        </w:rPr>
        <w:t>500 W. Monroe</w:t>
      </w:r>
    </w:p>
    <w:p>
      <w:pPr>
        <w:spacing w:after="0" w:line="216" w:lineRule="auto"/>
        <w:rPr>
          <w:sz w:val="20"/>
          <w:szCs w:val="20"/>
          <w:color w:val="auto"/>
        </w:rPr>
      </w:pPr>
      <w:r>
        <w:rPr>
          <w:rFonts w:ascii="Times New Roman" w:cs="Times New Roman" w:eastAsia="Times New Roman" w:hAnsi="Times New Roman"/>
          <w:sz w:val="13"/>
          <w:szCs w:val="13"/>
          <w:color w:val="auto"/>
        </w:rPr>
        <w:t>Suite 3800</w:t>
      </w:r>
    </w:p>
    <w:p>
      <w:pPr>
        <w:spacing w:after="0" w:line="217" w:lineRule="auto"/>
        <w:rPr>
          <w:sz w:val="20"/>
          <w:szCs w:val="20"/>
          <w:color w:val="auto"/>
        </w:rPr>
      </w:pPr>
      <w:r>
        <w:rPr>
          <w:rFonts w:ascii="Times New Roman" w:cs="Times New Roman" w:eastAsia="Times New Roman" w:hAnsi="Times New Roman"/>
          <w:sz w:val="13"/>
          <w:szCs w:val="13"/>
          <w:color w:val="auto"/>
        </w:rPr>
        <w:t>Chicago, IL 60661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HireVue,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10876 South River Front Parkway</w:t>
      </w:r>
    </w:p>
    <w:p>
      <w:pPr>
        <w:spacing w:after="0" w:line="217" w:lineRule="auto"/>
        <w:rPr>
          <w:sz w:val="20"/>
          <w:szCs w:val="20"/>
          <w:color w:val="auto"/>
        </w:rPr>
      </w:pPr>
      <w:r>
        <w:rPr>
          <w:rFonts w:ascii="Times New Roman" w:cs="Times New Roman" w:eastAsia="Times New Roman" w:hAnsi="Times New Roman"/>
          <w:sz w:val="13"/>
          <w:szCs w:val="13"/>
          <w:color w:val="auto"/>
        </w:rPr>
        <w:t>Suite 500</w:t>
      </w:r>
    </w:p>
    <w:p>
      <w:pPr>
        <w:spacing w:after="0" w:line="217" w:lineRule="auto"/>
        <w:rPr>
          <w:sz w:val="20"/>
          <w:szCs w:val="20"/>
          <w:color w:val="auto"/>
        </w:rPr>
      </w:pPr>
      <w:r>
        <w:rPr>
          <w:rFonts w:ascii="Times New Roman" w:cs="Times New Roman" w:eastAsia="Times New Roman" w:hAnsi="Times New Roman"/>
          <w:sz w:val="13"/>
          <w:szCs w:val="13"/>
          <w:color w:val="auto"/>
        </w:rPr>
        <w:t>South Jordan, UT 84095</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MadCap Software, Inc. </w:t>
      </w:r>
      <w:r>
        <w:rPr>
          <w:rFonts w:ascii="Times New Roman" w:cs="Times New Roman" w:eastAsia="Times New Roman" w:hAnsi="Times New Roman"/>
          <w:sz w:val="18"/>
          <w:szCs w:val="18"/>
          <w:color w:val="auto"/>
          <w:vertAlign w:val="superscript"/>
        </w:rPr>
        <w:t>(3)(5)</w:t>
      </w:r>
    </w:p>
    <w:p>
      <w:pPr>
        <w:spacing w:after="0" w:line="216" w:lineRule="auto"/>
        <w:rPr>
          <w:sz w:val="20"/>
          <w:szCs w:val="20"/>
          <w:color w:val="auto"/>
        </w:rPr>
      </w:pPr>
      <w:r>
        <w:rPr>
          <w:rFonts w:ascii="Times New Roman" w:cs="Times New Roman" w:eastAsia="Times New Roman" w:hAnsi="Times New Roman"/>
          <w:sz w:val="13"/>
          <w:szCs w:val="13"/>
          <w:color w:val="auto"/>
        </w:rPr>
        <w:t>9171 Towne Centre Drive</w:t>
      </w:r>
    </w:p>
    <w:p>
      <w:pPr>
        <w:spacing w:after="0" w:line="217" w:lineRule="auto"/>
        <w:rPr>
          <w:sz w:val="20"/>
          <w:szCs w:val="20"/>
          <w:color w:val="auto"/>
        </w:rPr>
      </w:pPr>
      <w:r>
        <w:rPr>
          <w:rFonts w:ascii="Times New Roman" w:cs="Times New Roman" w:eastAsia="Times New Roman" w:hAnsi="Times New Roman"/>
          <w:sz w:val="13"/>
          <w:szCs w:val="13"/>
          <w:color w:val="auto"/>
        </w:rPr>
        <w:t>#335</w:t>
      </w:r>
    </w:p>
    <w:p>
      <w:pPr>
        <w:spacing w:after="0" w:line="217" w:lineRule="auto"/>
        <w:rPr>
          <w:sz w:val="20"/>
          <w:szCs w:val="20"/>
          <w:color w:val="auto"/>
        </w:rPr>
      </w:pPr>
      <w:r>
        <w:rPr>
          <w:rFonts w:ascii="Times New Roman" w:cs="Times New Roman" w:eastAsia="Times New Roman" w:hAnsi="Times New Roman"/>
          <w:sz w:val="13"/>
          <w:szCs w:val="13"/>
          <w:color w:val="auto"/>
        </w:rPr>
        <w:t>San Diego, CA 92122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Insurance</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Disco Parent,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22 Boston Wharf Road</w:t>
      </w:r>
    </w:p>
    <w:p>
      <w:pPr>
        <w:spacing w:after="0" w:line="217" w:lineRule="auto"/>
        <w:rPr>
          <w:sz w:val="20"/>
          <w:szCs w:val="20"/>
          <w:color w:val="auto"/>
        </w:rPr>
      </w:pPr>
      <w:r>
        <w:rPr>
          <w:rFonts w:ascii="Times New Roman" w:cs="Times New Roman" w:eastAsia="Times New Roman" w:hAnsi="Times New Roman"/>
          <w:sz w:val="13"/>
          <w:szCs w:val="13"/>
          <w:color w:val="auto"/>
        </w:rPr>
        <w:t>Boston, MA 02210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Internet Services</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12 East 49th Street</w:t>
      </w:r>
    </w:p>
    <w:p>
      <w:pPr>
        <w:spacing w:after="0" w:line="217" w:lineRule="auto"/>
        <w:rPr>
          <w:sz w:val="20"/>
          <w:szCs w:val="20"/>
          <w:color w:val="auto"/>
        </w:rPr>
      </w:pPr>
      <w:r>
        <w:rPr>
          <w:rFonts w:ascii="Times New Roman" w:cs="Times New Roman" w:eastAsia="Times New Roman" w:hAnsi="Times New Roman"/>
          <w:sz w:val="13"/>
          <w:szCs w:val="13"/>
          <w:color w:val="auto"/>
        </w:rPr>
        <w:t>Tower 49</w:t>
      </w:r>
    </w:p>
    <w:p>
      <w:pPr>
        <w:spacing w:after="0" w:line="216" w:lineRule="auto"/>
        <w:rPr>
          <w:sz w:val="20"/>
          <w:szCs w:val="20"/>
          <w:color w:val="auto"/>
        </w:rPr>
      </w:pPr>
      <w:r>
        <w:rPr>
          <w:rFonts w:ascii="Times New Roman" w:cs="Times New Roman" w:eastAsia="Times New Roman" w:hAnsi="Times New Roman"/>
          <w:sz w:val="13"/>
          <w:szCs w:val="13"/>
          <w:color w:val="auto"/>
        </w:rPr>
        <w:t>New York, NY 10017</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Big Wombat Holdings,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404 Wyman Street 205</w:t>
      </w:r>
    </w:p>
    <w:p>
      <w:pPr>
        <w:spacing w:after="0" w:line="217" w:lineRule="auto"/>
        <w:rPr>
          <w:sz w:val="20"/>
          <w:szCs w:val="20"/>
          <w:color w:val="auto"/>
        </w:rPr>
      </w:pPr>
      <w:r>
        <w:rPr>
          <w:rFonts w:ascii="Times New Roman" w:cs="Times New Roman" w:eastAsia="Times New Roman" w:hAnsi="Times New Roman"/>
          <w:sz w:val="13"/>
          <w:szCs w:val="13"/>
          <w:color w:val="auto"/>
        </w:rPr>
        <w:t>Waltham, MA 02451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Coupa Holdings, LLC</w:t>
      </w:r>
      <w:r>
        <w:rPr>
          <w:rFonts w:ascii="Times New Roman" w:cs="Times New Roman" w:eastAsia="Times New Roman" w:hAnsi="Times New Roman"/>
          <w:sz w:val="15"/>
          <w:szCs w:val="15"/>
          <w:color w:val="auto"/>
          <w:vertAlign w:val="superscript"/>
        </w:rPr>
        <w:t> (3)</w:t>
      </w:r>
    </w:p>
    <w:p>
      <w:pPr>
        <w:spacing w:after="0" w:line="217" w:lineRule="auto"/>
        <w:rPr>
          <w:sz w:val="20"/>
          <w:szCs w:val="20"/>
          <w:color w:val="auto"/>
        </w:rPr>
      </w:pPr>
      <w:r>
        <w:rPr>
          <w:rFonts w:ascii="Times New Roman" w:cs="Times New Roman" w:eastAsia="Times New Roman" w:hAnsi="Times New Roman"/>
          <w:sz w:val="13"/>
          <w:szCs w:val="13"/>
          <w:color w:val="auto"/>
        </w:rPr>
        <w:t>1855 S. Grant Street</w:t>
      </w:r>
    </w:p>
    <w:p>
      <w:pPr>
        <w:spacing w:after="0" w:line="217" w:lineRule="auto"/>
        <w:rPr>
          <w:sz w:val="20"/>
          <w:szCs w:val="20"/>
          <w:color w:val="auto"/>
        </w:rPr>
      </w:pPr>
      <w:r>
        <w:rPr>
          <w:rFonts w:ascii="Times New Roman" w:cs="Times New Roman" w:eastAsia="Times New Roman" w:hAnsi="Times New Roman"/>
          <w:sz w:val="13"/>
          <w:szCs w:val="13"/>
          <w:color w:val="auto"/>
        </w:rPr>
        <w:t>San Mateo, CA 94402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457,704</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468,264</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677"/>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($172,948 par,</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due 11/2028)</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11/7/2022</w:t>
            </w: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+ 4.75%</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9.06%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170,016</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172,948</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524"/>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($109,224 par,</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due 5/2029)</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5/3/2023</w:t>
            </w: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+ 6.75%</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11.03%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107,186</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110,316</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17"/>
        </w:trPr>
        <w:tc>
          <w:tcPr>
            <w:tcW w:w="182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revolving loan</w:t>
            </w:r>
          </w:p>
        </w:tc>
        <w:tc>
          <w:tcPr>
            <w:tcW w:w="7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($7,157 par, due 5/2029)</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5/3/2023</w:t>
            </w: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SOFR + 6.75%</w:t>
            </w: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11.04%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6,894</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7,298</w:t>
            </w: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535"/>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($2,463 par, due</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12/2026)</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12/15/2023</w:t>
            </w: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+ 6.10%</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10.40%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2,475</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286,528</w:t>
            </w: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293,037</w:t>
            </w:r>
          </w:p>
        </w:tc>
        <w:tc>
          <w:tcPr>
            <w:tcW w:w="200" w:type="dxa"/>
            <w:vAlign w:val="bottom"/>
            <w:vMerge w:val="continue"/>
          </w:tcPr>
          <w:p>
            <w:pPr>
              <w:spacing w:after="0"/>
              <w:rPr>
                <w:sz w:val="12"/>
                <w:szCs w:val="12"/>
                <w:color w:val="auto"/>
              </w:rPr>
            </w:pPr>
          </w:p>
        </w:tc>
        <w:tc>
          <w:tcPr>
            <w:tcW w:w="148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542"/>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First-lien loan ($67,583 par, due</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3/2029)</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3/30/2023</w:t>
            </w: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+ 7.00%</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11.33%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66,421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68,134</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659"/>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($135,533 par,</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due 7/2030)</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6/30/2023</w:t>
            </w: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+ 5.00%</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9.30%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132,860</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136,211</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389"/>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($8,749 par, due</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4/2031)</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4/16/2025</w:t>
            </w: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+ 7.00%</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11.26%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8,565</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8,583</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389"/>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($128,277 par,</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due 2/2030)</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2/27/2023</w:t>
            </w:r>
          </w:p>
        </w:tc>
        <w:tc>
          <w:tcPr>
            <w:tcW w:w="1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SOFR + 5.25%</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9.53%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125,911</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130,508</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-3357880</wp:posOffset>
            </wp:positionV>
            <wp:extent cx="699516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-2835275</wp:posOffset>
            </wp:positionV>
            <wp:extent cx="6995160" cy="608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995160" cy="60833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-1772285</wp:posOffset>
            </wp:positionV>
            <wp:extent cx="699516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-1583690</wp:posOffset>
            </wp:positionV>
            <wp:extent cx="6995160" cy="351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995160" cy="35179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-1146175</wp:posOffset>
            </wp:positionV>
            <wp:extent cx="6995160" cy="436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-358140</wp:posOffset>
            </wp:positionV>
            <wp:extent cx="6995160" cy="3517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995160" cy="3517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480" w:space="720"/>
            <w:col w:w="7820"/>
          </w:cols>
          <w:pgMar w:left="320" w:top="455" w:right="5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320" w:top="455" w:right="5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216" w:lineRule="auto"/>
        <w:rPr>
          <w:sz w:val="20"/>
          <w:szCs w:val="20"/>
          <w:color w:val="auto"/>
        </w:rPr>
      </w:pPr>
      <w:r>
        <w:rPr>
          <w:rFonts w:ascii="Times New Roman" w:cs="Times New Roman" w:eastAsia="Times New Roman" w:hAnsi="Times New Roman"/>
          <w:sz w:val="13"/>
          <w:szCs w:val="13"/>
          <w:color w:val="auto"/>
        </w:rPr>
        <w:t>Flight Intermediate HoldCo, Inc.</w:t>
      </w:r>
    </w:p>
    <w:p>
      <w:pPr>
        <w:spacing w:after="0" w:line="217" w:lineRule="auto"/>
        <w:rPr>
          <w:sz w:val="20"/>
          <w:szCs w:val="20"/>
          <w:color w:val="auto"/>
        </w:rPr>
      </w:pPr>
      <w:r>
        <w:rPr>
          <w:rFonts w:ascii="Times New Roman" w:cs="Times New Roman" w:eastAsia="Times New Roman" w:hAnsi="Times New Roman"/>
          <w:sz w:val="13"/>
          <w:szCs w:val="13"/>
          <w:color w:val="auto"/>
        </w:rPr>
        <w:t>12 Metro Park Road</w:t>
      </w:r>
    </w:p>
    <w:p>
      <w:pPr>
        <w:spacing w:after="0" w:line="217" w:lineRule="auto"/>
        <w:rPr>
          <w:sz w:val="20"/>
          <w:szCs w:val="20"/>
          <w:color w:val="auto"/>
        </w:rPr>
      </w:pPr>
      <w:r>
        <w:rPr>
          <w:rFonts w:ascii="Times New Roman" w:cs="Times New Roman" w:eastAsia="Times New Roman" w:hAnsi="Times New Roman"/>
          <w:sz w:val="13"/>
          <w:szCs w:val="13"/>
          <w:color w:val="auto"/>
        </w:rPr>
        <w:t>Albany, NY 12205</w:t>
      </w:r>
    </w:p>
    <w:p>
      <w:pPr>
        <w:spacing w:after="0"/>
        <w:rPr>
          <w:sz w:val="20"/>
          <w:szCs w:val="20"/>
          <w:color w:val="auto"/>
        </w:rPr>
      </w:pPr>
      <w:r>
        <w:rPr>
          <w:rFonts w:ascii="Times New Roman" w:cs="Times New Roman" w:eastAsia="Times New Roman" w:hAnsi="Times New Roman"/>
          <w:sz w:val="13"/>
          <w:szCs w:val="13"/>
          <w:color w:val="auto"/>
        </w:rPr>
        <w:t>USA</w:t>
      </w:r>
    </w:p>
    <w:p>
      <w:pPr>
        <w:ind w:right="780"/>
        <w:spacing w:after="0" w:line="199" w:lineRule="auto"/>
        <w:rPr>
          <w:sz w:val="20"/>
          <w:szCs w:val="20"/>
          <w:color w:val="auto"/>
        </w:rPr>
      </w:pPr>
      <w:r>
        <w:rPr>
          <w:rFonts w:ascii="Times New Roman" w:cs="Times New Roman" w:eastAsia="Times New Roman" w:hAnsi="Times New Roman"/>
          <w:sz w:val="13"/>
          <w:szCs w:val="13"/>
          <w:color w:val="auto"/>
        </w:rPr>
        <w:t xml:space="preserve">Hippo XPA Bidco AB </w:t>
      </w:r>
      <w:r>
        <w:rPr>
          <w:rFonts w:ascii="Times New Roman" w:cs="Times New Roman" w:eastAsia="Times New Roman" w:hAnsi="Times New Roman"/>
          <w:sz w:val="18"/>
          <w:szCs w:val="18"/>
          <w:color w:val="auto"/>
          <w:vertAlign w:val="superscript"/>
        </w:rPr>
        <w:t>(3)(4)</w:t>
      </w:r>
      <w:r>
        <w:rPr>
          <w:rFonts w:ascii="Times New Roman" w:cs="Times New Roman" w:eastAsia="Times New Roman" w:hAnsi="Times New Roman"/>
          <w:sz w:val="13"/>
          <w:szCs w:val="13"/>
          <w:color w:val="auto"/>
        </w:rPr>
        <w:t xml:space="preserve"> Stora Varvsgatan 11 B, 211 74 Malmö, Sweden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Kryptona BidCo US, LLC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4435 Eastgate Mall</w:t>
      </w:r>
    </w:p>
    <w:p>
      <w:pPr>
        <w:spacing w:after="0" w:line="217" w:lineRule="auto"/>
        <w:rPr>
          <w:sz w:val="20"/>
          <w:szCs w:val="20"/>
          <w:color w:val="auto"/>
        </w:rPr>
      </w:pPr>
      <w:r>
        <w:rPr>
          <w:rFonts w:ascii="Times New Roman" w:cs="Times New Roman" w:eastAsia="Times New Roman" w:hAnsi="Times New Roman"/>
          <w:sz w:val="13"/>
          <w:szCs w:val="13"/>
          <w:color w:val="auto"/>
        </w:rPr>
        <w:t>Suite 200</w:t>
      </w:r>
    </w:p>
    <w:p>
      <w:pPr>
        <w:spacing w:after="0" w:line="217" w:lineRule="auto"/>
        <w:rPr>
          <w:sz w:val="20"/>
          <w:szCs w:val="20"/>
          <w:color w:val="auto"/>
        </w:rPr>
      </w:pPr>
      <w:r>
        <w:rPr>
          <w:rFonts w:ascii="Times New Roman" w:cs="Times New Roman" w:eastAsia="Times New Roman" w:hAnsi="Times New Roman"/>
          <w:sz w:val="13"/>
          <w:szCs w:val="13"/>
          <w:color w:val="auto"/>
        </w:rPr>
        <w:t>San Diego, CA 92121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69"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3"/>
          <w:szCs w:val="13"/>
          <w:color w:val="auto"/>
        </w:rPr>
        <w:t xml:space="preserve">Merit Software Finance Holdings, LLC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2057-A Green Bay Rd. Unit #A 109 Highland Park, IL 60035 USA</w:t>
      </w:r>
    </w:p>
    <w:p>
      <w:pPr>
        <w:spacing w:after="0" w:line="227" w:lineRule="auto"/>
        <w:rPr>
          <w:sz w:val="20"/>
          <w:szCs w:val="20"/>
          <w:color w:val="auto"/>
        </w:rPr>
      </w:pPr>
      <w:r>
        <w:rPr>
          <w:rFonts w:ascii="Times New Roman" w:cs="Times New Roman" w:eastAsia="Times New Roman" w:hAnsi="Times New Roman"/>
          <w:sz w:val="13"/>
          <w:szCs w:val="13"/>
          <w:color w:val="auto"/>
        </w:rPr>
        <w:t xml:space="preserve">Rainfocus, LLC </w:t>
      </w:r>
      <w:r>
        <w:rPr>
          <w:rFonts w:ascii="Times New Roman" w:cs="Times New Roman" w:eastAsia="Times New Roman" w:hAnsi="Times New Roman"/>
          <w:sz w:val="18"/>
          <w:szCs w:val="18"/>
          <w:color w:val="auto"/>
          <w:vertAlign w:val="superscript"/>
        </w:rPr>
        <w:t>(3)(5)</w:t>
      </w:r>
    </w:p>
    <w:p>
      <w:pPr>
        <w:spacing w:after="0" w:line="217" w:lineRule="auto"/>
        <w:rPr>
          <w:sz w:val="20"/>
          <w:szCs w:val="20"/>
          <w:color w:val="auto"/>
        </w:rPr>
      </w:pPr>
      <w:r>
        <w:rPr>
          <w:rFonts w:ascii="Times New Roman" w:cs="Times New Roman" w:eastAsia="Times New Roman" w:hAnsi="Times New Roman"/>
          <w:sz w:val="13"/>
          <w:szCs w:val="13"/>
          <w:color w:val="auto"/>
        </w:rPr>
        <w:t>1633 West Innovation Way</w:t>
      </w:r>
    </w:p>
    <w:p>
      <w:pPr>
        <w:spacing w:after="0" w:line="217" w:lineRule="auto"/>
        <w:rPr>
          <w:sz w:val="20"/>
          <w:szCs w:val="20"/>
          <w:color w:val="auto"/>
        </w:rPr>
      </w:pPr>
      <w:r>
        <w:rPr>
          <w:rFonts w:ascii="Times New Roman" w:cs="Times New Roman" w:eastAsia="Times New Roman" w:hAnsi="Times New Roman"/>
          <w:sz w:val="13"/>
          <w:szCs w:val="13"/>
          <w:color w:val="auto"/>
        </w:rPr>
        <w:t>Suite 100</w:t>
      </w:r>
    </w:p>
    <w:p>
      <w:pPr>
        <w:spacing w:after="0" w:line="217" w:lineRule="auto"/>
        <w:rPr>
          <w:sz w:val="20"/>
          <w:szCs w:val="20"/>
          <w:color w:val="auto"/>
        </w:rPr>
      </w:pPr>
      <w:r>
        <w:rPr>
          <w:rFonts w:ascii="Times New Roman" w:cs="Times New Roman" w:eastAsia="Times New Roman" w:hAnsi="Times New Roman"/>
          <w:sz w:val="13"/>
          <w:szCs w:val="13"/>
          <w:color w:val="auto"/>
        </w:rPr>
        <w:t>Lehi, UT 84043</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SMA Technologies Holdings, LLC</w:t>
      </w:r>
      <w:r>
        <w:rPr>
          <w:rFonts w:ascii="Times New Roman" w:cs="Times New Roman" w:eastAsia="Times New Roman" w:hAnsi="Times New Roman"/>
          <w:sz w:val="15"/>
          <w:szCs w:val="15"/>
          <w:color w:val="auto"/>
          <w:vertAlign w:val="superscript"/>
        </w:rPr>
        <w:t>(3)(5)</w:t>
      </w:r>
    </w:p>
    <w:p>
      <w:pPr>
        <w:spacing w:after="0" w:line="217" w:lineRule="auto"/>
        <w:rPr>
          <w:sz w:val="20"/>
          <w:szCs w:val="20"/>
          <w:color w:val="auto"/>
        </w:rPr>
      </w:pPr>
      <w:r>
        <w:rPr>
          <w:rFonts w:ascii="Times New Roman" w:cs="Times New Roman" w:eastAsia="Times New Roman" w:hAnsi="Times New Roman"/>
          <w:sz w:val="13"/>
          <w:szCs w:val="13"/>
          <w:color w:val="auto"/>
        </w:rPr>
        <w:t>14237 East Sam Houston Pawkway N.</w:t>
      </w:r>
    </w:p>
    <w:p>
      <w:pPr>
        <w:spacing w:after="0" w:line="217" w:lineRule="auto"/>
        <w:rPr>
          <w:sz w:val="20"/>
          <w:szCs w:val="20"/>
          <w:color w:val="auto"/>
        </w:rPr>
      </w:pPr>
      <w:r>
        <w:rPr>
          <w:rFonts w:ascii="Times New Roman" w:cs="Times New Roman" w:eastAsia="Times New Roman" w:hAnsi="Times New Roman"/>
          <w:sz w:val="13"/>
          <w:szCs w:val="13"/>
          <w:color w:val="auto"/>
        </w:rPr>
        <w:t>Suite 200-314</w:t>
      </w:r>
    </w:p>
    <w:p>
      <w:pPr>
        <w:spacing w:after="0" w:line="217" w:lineRule="auto"/>
        <w:rPr>
          <w:sz w:val="20"/>
          <w:szCs w:val="20"/>
          <w:color w:val="auto"/>
        </w:rPr>
      </w:pPr>
      <w:r>
        <w:rPr>
          <w:rFonts w:ascii="Times New Roman" w:cs="Times New Roman" w:eastAsia="Times New Roman" w:hAnsi="Times New Roman"/>
          <w:sz w:val="13"/>
          <w:szCs w:val="13"/>
          <w:color w:val="auto"/>
        </w:rPr>
        <w:t>Houston, TX 77044</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Manufacturing</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5"/>
          <w:szCs w:val="15"/>
          <w:color w:val="auto"/>
          <w:vertAlign w:val="superscript"/>
        </w:rPr>
        <w:t>(12)</w:t>
      </w:r>
    </w:p>
    <w:p>
      <w:pPr>
        <w:spacing w:after="0" w:line="217" w:lineRule="auto"/>
        <w:rPr>
          <w:sz w:val="20"/>
          <w:szCs w:val="20"/>
          <w:color w:val="auto"/>
        </w:rPr>
      </w:pPr>
      <w:r>
        <w:rPr>
          <w:rFonts w:ascii="Times New Roman" w:cs="Times New Roman" w:eastAsia="Times New Roman" w:hAnsi="Times New Roman"/>
          <w:sz w:val="13"/>
          <w:szCs w:val="13"/>
          <w:color w:val="auto"/>
        </w:rPr>
        <w:t>600 Riverwalk Parkway</w:t>
      </w:r>
    </w:p>
    <w:p>
      <w:pPr>
        <w:spacing w:after="0" w:line="217" w:lineRule="auto"/>
        <w:rPr>
          <w:sz w:val="20"/>
          <w:szCs w:val="20"/>
          <w:color w:val="auto"/>
        </w:rPr>
      </w:pPr>
      <w:r>
        <w:rPr>
          <w:rFonts w:ascii="Times New Roman" w:cs="Times New Roman" w:eastAsia="Times New Roman" w:hAnsi="Times New Roman"/>
          <w:sz w:val="13"/>
          <w:szCs w:val="13"/>
          <w:color w:val="auto"/>
        </w:rPr>
        <w:t>Suite 120</w:t>
      </w:r>
    </w:p>
    <w:p>
      <w:pPr>
        <w:spacing w:after="0" w:line="217" w:lineRule="auto"/>
        <w:rPr>
          <w:sz w:val="20"/>
          <w:szCs w:val="20"/>
          <w:color w:val="auto"/>
        </w:rPr>
      </w:pPr>
      <w:r>
        <w:rPr>
          <w:rFonts w:ascii="Times New Roman" w:cs="Times New Roman" w:eastAsia="Times New Roman" w:hAnsi="Times New Roman"/>
          <w:sz w:val="13"/>
          <w:szCs w:val="13"/>
          <w:color w:val="auto"/>
        </w:rPr>
        <w:t>Tonawanda, NY 14150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69"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3"/>
          <w:szCs w:val="13"/>
          <w:color w:val="auto"/>
        </w:rPr>
        <w:t xml:space="preserve">Heritage Environmental Services, Inc.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6510 Telecom DR, Suite 400 Indianapolis, IN 46278 USA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Skylark UK DebtCo Limited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4th Floor</w:t>
      </w:r>
    </w:p>
    <w:p>
      <w:pPr>
        <w:spacing w:after="0" w:line="217" w:lineRule="auto"/>
        <w:rPr>
          <w:sz w:val="20"/>
          <w:szCs w:val="20"/>
          <w:color w:val="auto"/>
        </w:rPr>
      </w:pPr>
      <w:r>
        <w:rPr>
          <w:rFonts w:ascii="Times New Roman" w:cs="Times New Roman" w:eastAsia="Times New Roman" w:hAnsi="Times New Roman"/>
          <w:sz w:val="13"/>
          <w:szCs w:val="13"/>
          <w:color w:val="auto"/>
        </w:rPr>
        <w:t>100 Pall Mall</w:t>
      </w:r>
    </w:p>
    <w:p>
      <w:pPr>
        <w:spacing w:after="0" w:line="217" w:lineRule="auto"/>
        <w:rPr>
          <w:sz w:val="20"/>
          <w:szCs w:val="20"/>
          <w:color w:val="auto"/>
        </w:rPr>
      </w:pPr>
      <w:r>
        <w:rPr>
          <w:rFonts w:ascii="Times New Roman" w:cs="Times New Roman" w:eastAsia="Times New Roman" w:hAnsi="Times New Roman"/>
          <w:sz w:val="13"/>
          <w:szCs w:val="13"/>
          <w:color w:val="auto"/>
        </w:rPr>
        <w:t>London SW1Y 5NQ</w:t>
      </w: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4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5"/>
              </w:rPr>
              <w:t xml:space="preserve">Value </w:t>
            </w:r>
            <w:r>
              <w:rPr>
                <w:rFonts w:ascii="Times New Roman" w:cs="Times New Roman" w:eastAsia="Times New Roman" w:hAnsi="Times New Roman"/>
                <w:sz w:val="17"/>
                <w:szCs w:val="17"/>
                <w:b w:val="1"/>
                <w:bCs w:val="1"/>
                <w:color w:val="auto"/>
                <w:w w:val="95"/>
                <w:vertAlign w:val="superscript"/>
              </w:rPr>
              <w:t>(6)</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($46,500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4/2030)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10/3/2024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11.50%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11.50%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45,259</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46,035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(SEK 84,719</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8.84%</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8,942</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par, due 2/2031)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2/20/2024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STIBOR + 6.50%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9"/>
              </w:rPr>
              <w:t>(incl. 3.50%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8,008</w:t>
            </w: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(SEK 85,221)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First-lien loan (SEK 125,000</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8.74%</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3"/>
                <w:szCs w:val="13"/>
                <w:color w:val="auto"/>
              </w:rPr>
              <w:t>13,221</w:t>
            </w: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par, due 2/2031)</w:t>
            </w:r>
          </w:p>
        </w:tc>
        <w:tc>
          <w:tcPr>
            <w:tcW w:w="7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6/12/2025</w:t>
            </w:r>
          </w:p>
        </w:tc>
        <w:tc>
          <w:tcPr>
            <w:tcW w:w="11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STIBOR + 6.50%</w:t>
            </w:r>
          </w:p>
        </w:tc>
        <w:tc>
          <w:tcPr>
            <w:tcW w:w="1160" w:type="dxa"/>
            <w:vAlign w:val="bottom"/>
            <w:gridSpan w:val="2"/>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w w:val="99"/>
              </w:rPr>
              <w:t>(incl. 3.50% PIK)</w:t>
            </w: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12,760</w:t>
            </w:r>
          </w:p>
        </w:tc>
        <w:tc>
          <w:tcPr>
            <w:tcW w:w="9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(SEK 126,000)</w:t>
            </w:r>
          </w:p>
        </w:tc>
        <w:tc>
          <w:tcPr>
            <w:tcW w:w="8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First-lien loan (EUR 2,515</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0" w:lineRule="exact"/>
              <w:rPr>
                <w:sz w:val="20"/>
                <w:szCs w:val="20"/>
                <w:color w:val="auto"/>
              </w:rPr>
            </w:pPr>
            <w:r>
              <w:rPr>
                <w:rFonts w:ascii="Times New Roman" w:cs="Times New Roman" w:eastAsia="Times New Roman" w:hAnsi="Times New Roman"/>
                <w:sz w:val="13"/>
                <w:szCs w:val="13"/>
                <w:color w:val="auto"/>
              </w:rPr>
              <w:t>8.98%</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2,966</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par, due 2/2031)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2/20/2024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E + 6.50%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9"/>
              </w:rPr>
              <w:t>(incl. 3.50% PIK)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(EUR 2,527)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($137,271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10.56%</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80" w:type="dxa"/>
            <w:vAlign w:val="bottom"/>
            <w:gridSpan w:val="3"/>
          </w:tcPr>
          <w:p>
            <w:pPr>
              <w:ind w:left="120"/>
              <w:spacing w:after="0" w:line="144" w:lineRule="exact"/>
              <w:rPr>
                <w:sz w:val="20"/>
                <w:szCs w:val="20"/>
                <w:color w:val="auto"/>
              </w:rPr>
            </w:pPr>
            <w:r>
              <w:rPr>
                <w:rFonts w:ascii="Times New Roman" w:cs="Times New Roman" w:eastAsia="Times New Roman" w:hAnsi="Times New Roman"/>
                <w:sz w:val="13"/>
                <w:szCs w:val="13"/>
                <w:color w:val="auto"/>
              </w:rPr>
              <w:t>due 12/2031)</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12/18/2024</w:t>
            </w:r>
          </w:p>
        </w:tc>
        <w:tc>
          <w:tcPr>
            <w:tcW w:w="11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SOFR + 6.25%</w:t>
            </w:r>
          </w:p>
        </w:tc>
        <w:tc>
          <w:tcPr>
            <w:tcW w:w="116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w w:val="99"/>
              </w:rPr>
              <w:t>(incl. 3.38% PIK)</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134,472</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138,411</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(EUR 31,768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60"/>
              <w:spacing w:after="0" w:line="140" w:lineRule="exact"/>
              <w:rPr>
                <w:sz w:val="20"/>
                <w:szCs w:val="20"/>
                <w:color w:val="auto"/>
              </w:rPr>
            </w:pPr>
            <w:r>
              <w:rPr>
                <w:rFonts w:ascii="Times New Roman" w:cs="Times New Roman" w:eastAsia="Times New Roman" w:hAnsi="Times New Roman"/>
                <w:sz w:val="13"/>
                <w:szCs w:val="13"/>
                <w:color w:val="auto"/>
              </w:rPr>
              <w:t>8.25%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37,570</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par, due 12/2031)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12/18/2024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+ 6.25%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9"/>
              </w:rPr>
              <w:t>(incl. 3.38% PIK)</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32,695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32,006)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0.9%</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($11,786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6/2029)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6/20/2024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+ 7.50%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11.83%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11,471</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11,711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($10,187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4/2031)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4/25/2025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+ 6.38%</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10.49%</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10,090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10,136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($31,009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10/2028)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10/31/2022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+ 6.50%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10.83%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30,446</w:t>
            </w:r>
          </w:p>
        </w:tc>
        <w:tc>
          <w:tcPr>
            <w:tcW w:w="14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31,534</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0.7%</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555,223</w:t>
            </w:r>
          </w:p>
        </w:tc>
        <w:tc>
          <w:tcPr>
            <w:tcW w:w="1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575,828</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13.7%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8"/>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($3,532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12.05%</w:t>
            </w: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80" w:type="dxa"/>
            <w:vAlign w:val="bottom"/>
            <w:gridSpan w:val="3"/>
          </w:tcPr>
          <w:p>
            <w:pPr>
              <w:ind w:left="120"/>
              <w:spacing w:after="0" w:line="144" w:lineRule="exact"/>
              <w:rPr>
                <w:sz w:val="20"/>
                <w:szCs w:val="20"/>
                <w:color w:val="auto"/>
              </w:rPr>
            </w:pPr>
            <w:r>
              <w:rPr>
                <w:rFonts w:ascii="Times New Roman" w:cs="Times New Roman" w:eastAsia="Times New Roman" w:hAnsi="Times New Roman"/>
                <w:sz w:val="11"/>
                <w:szCs w:val="11"/>
                <w:color w:val="auto"/>
              </w:rPr>
              <w:t xml:space="preserve">due 9/2029) </w:t>
            </w:r>
            <w:r>
              <w:rPr>
                <w:rFonts w:ascii="Times New Roman" w:cs="Times New Roman" w:eastAsia="Times New Roman" w:hAnsi="Times New Roman"/>
                <w:sz w:val="16"/>
                <w:szCs w:val="16"/>
                <w:color w:val="auto"/>
                <w:vertAlign w:val="superscript"/>
              </w:rPr>
              <w:t>(3)</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9/30/2024</w:t>
            </w:r>
          </w:p>
        </w:tc>
        <w:tc>
          <w:tcPr>
            <w:tcW w:w="11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SOFR + 7.75%</w:t>
            </w:r>
          </w:p>
        </w:tc>
        <w:tc>
          <w:tcPr>
            <w:tcW w:w="116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w w:val="99"/>
              </w:rPr>
              <w:t>(incl. 4.75% PIK)</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3,464</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3,286</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3"/>
                <w:szCs w:val="13"/>
                <w:color w:val="auto"/>
              </w:rPr>
              <w:t>Second-lien note ($2,012 par,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60"/>
              <w:spacing w:after="0" w:line="140" w:lineRule="exact"/>
              <w:rPr>
                <w:sz w:val="20"/>
                <w:szCs w:val="20"/>
                <w:color w:val="auto"/>
              </w:rPr>
            </w:pPr>
            <w:r>
              <w:rPr>
                <w:rFonts w:ascii="Times New Roman" w:cs="Times New Roman" w:eastAsia="Times New Roman" w:hAnsi="Times New Roman"/>
                <w:sz w:val="13"/>
                <w:szCs w:val="13"/>
                <w:color w:val="auto"/>
              </w:rPr>
              <w:t>7.10%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9/2029)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8/31/2023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9"/>
              </w:rPr>
              <w:t>(incl. 1.25%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($131,020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due 1/2031)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1/31/2024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+ 5.50%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130,400</w:t>
            </w:r>
          </w:p>
        </w:tc>
        <w:tc>
          <w:tcPr>
            <w:tcW w:w="14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132,524</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8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First-lien loan ($14,207 par,</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due 1/2031)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9/27/2024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SOFR + 5.00%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9.30%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14,123</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14,207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0.3%</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35"/>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First-lien loan ($56,651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8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due 9/2030)</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11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SOFR + 5.66%</w:t>
            </w:r>
          </w:p>
        </w:tc>
        <w:tc>
          <w:tcPr>
            <w:tcW w:w="11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9.96%</w:t>
            </w: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55,393</w:t>
            </w: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57,217</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78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(EUR 16,819</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19,940</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gridSpan w:val="3"/>
          </w:tcPr>
          <w:p>
            <w:pPr>
              <w:ind w:left="120"/>
              <w:spacing w:after="0" w:line="144" w:lineRule="exact"/>
              <w:rPr>
                <w:sz w:val="20"/>
                <w:szCs w:val="20"/>
                <w:color w:val="auto"/>
              </w:rPr>
            </w:pPr>
            <w:r>
              <w:rPr>
                <w:rFonts w:ascii="Times New Roman" w:cs="Times New Roman" w:eastAsia="Times New Roman" w:hAnsi="Times New Roman"/>
                <w:sz w:val="13"/>
                <w:szCs w:val="13"/>
                <w:color w:val="auto"/>
              </w:rPr>
              <w:t>par, due 9/2030)</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9/7/2023</w:t>
            </w:r>
          </w:p>
        </w:tc>
        <w:tc>
          <w:tcPr>
            <w:tcW w:w="11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E + 5.66%</w:t>
            </w:r>
          </w:p>
        </w:tc>
        <w:tc>
          <w:tcPr>
            <w:tcW w:w="116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7.64%</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17,610</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16,987)</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(GBP 76,921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106,463</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gridSpan w:val="3"/>
          </w:tcPr>
          <w:p>
            <w:pPr>
              <w:ind w:left="120"/>
              <w:spacing w:after="0" w:line="144" w:lineRule="exact"/>
              <w:rPr>
                <w:sz w:val="20"/>
                <w:szCs w:val="20"/>
                <w:color w:val="auto"/>
              </w:rPr>
            </w:pPr>
            <w:r>
              <w:rPr>
                <w:rFonts w:ascii="Times New Roman" w:cs="Times New Roman" w:eastAsia="Times New Roman" w:hAnsi="Times New Roman"/>
                <w:sz w:val="13"/>
                <w:szCs w:val="13"/>
                <w:color w:val="auto"/>
              </w:rPr>
              <w:t>par, due 9/2030)</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9/7/2023</w:t>
            </w:r>
          </w:p>
        </w:tc>
        <w:tc>
          <w:tcPr>
            <w:tcW w:w="11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 + 5.66%</w:t>
            </w:r>
          </w:p>
        </w:tc>
        <w:tc>
          <w:tcPr>
            <w:tcW w:w="116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9.88%</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93,938</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(GBP 77,690)</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gridSpan w:val="3"/>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(GBP 54,224</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73,727</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par, due 9/2030)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2/20/2025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 + 5.25%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9.47%</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67,100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(GBP 53,802)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-5955665</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-4798060</wp:posOffset>
            </wp:positionV>
            <wp:extent cx="6995160" cy="6261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995160" cy="62611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-3555365</wp:posOffset>
            </wp:positionV>
            <wp:extent cx="6995160" cy="3511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-2766695</wp:posOffset>
            </wp:positionV>
            <wp:extent cx="6995160" cy="436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-2209165</wp:posOffset>
            </wp:positionV>
            <wp:extent cx="699516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-1506220</wp:posOffset>
            </wp:positionV>
            <wp:extent cx="6995160" cy="522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995160" cy="522605"/>
                    </a:xfrm>
                    <a:prstGeom prst="rect">
                      <a:avLst/>
                    </a:prstGeom>
                    <a:noFill/>
                  </pic:spPr>
                </pic:pic>
              </a:graphicData>
            </a:graphic>
          </wp:anchor>
        </w:drawing>
      </w:r>
    </w:p>
    <w:p>
      <w:pPr>
        <w:spacing w:after="0" w:line="9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2">
            <w:col w:w="2320" w:space="720"/>
            <w:col w:w="7980"/>
          </w:cols>
          <w:pgMar w:left="320" w:top="455"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Varinem German BidCo GmbH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Max-Joseph-Str. 2</w:t>
      </w:r>
    </w:p>
    <w:p>
      <w:pPr>
        <w:spacing w:after="0" w:line="217" w:lineRule="auto"/>
        <w:rPr>
          <w:sz w:val="20"/>
          <w:szCs w:val="20"/>
          <w:color w:val="auto"/>
        </w:rPr>
      </w:pPr>
      <w:r>
        <w:rPr>
          <w:rFonts w:ascii="Times New Roman" w:cs="Times New Roman" w:eastAsia="Times New Roman" w:hAnsi="Times New Roman"/>
          <w:sz w:val="13"/>
          <w:szCs w:val="13"/>
          <w:color w:val="auto"/>
        </w:rPr>
        <w:t>80333 Munich</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Oil, Gas and Consumable Fuels</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730 17th Street</w:t>
      </w:r>
    </w:p>
    <w:p>
      <w:pPr>
        <w:spacing w:after="0" w:line="217" w:lineRule="auto"/>
        <w:rPr>
          <w:sz w:val="20"/>
          <w:szCs w:val="20"/>
          <w:color w:val="auto"/>
        </w:rPr>
      </w:pPr>
      <w:r>
        <w:rPr>
          <w:rFonts w:ascii="Times New Roman" w:cs="Times New Roman" w:eastAsia="Times New Roman" w:hAnsi="Times New Roman"/>
          <w:sz w:val="13"/>
          <w:szCs w:val="13"/>
          <w:color w:val="auto"/>
        </w:rPr>
        <w:t>Denver, CO 80202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Northwind Midstream Partners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811 Louisiana St</w:t>
      </w:r>
    </w:p>
    <w:p>
      <w:pPr>
        <w:spacing w:after="0" w:line="217" w:lineRule="auto"/>
        <w:rPr>
          <w:sz w:val="20"/>
          <w:szCs w:val="20"/>
          <w:color w:val="auto"/>
        </w:rPr>
      </w:pPr>
      <w:r>
        <w:rPr>
          <w:rFonts w:ascii="Times New Roman" w:cs="Times New Roman" w:eastAsia="Times New Roman" w:hAnsi="Times New Roman"/>
          <w:sz w:val="13"/>
          <w:szCs w:val="13"/>
          <w:color w:val="auto"/>
        </w:rPr>
        <w:t>Suite 2500</w:t>
      </w:r>
    </w:p>
    <w:p>
      <w:pPr>
        <w:spacing w:after="0" w:line="217" w:lineRule="auto"/>
        <w:rPr>
          <w:sz w:val="20"/>
          <w:szCs w:val="20"/>
          <w:color w:val="auto"/>
        </w:rPr>
      </w:pPr>
      <w:r>
        <w:rPr>
          <w:rFonts w:ascii="Times New Roman" w:cs="Times New Roman" w:eastAsia="Times New Roman" w:hAnsi="Times New Roman"/>
          <w:sz w:val="13"/>
          <w:szCs w:val="13"/>
          <w:color w:val="auto"/>
        </w:rPr>
        <w:t>Houston, TX 77002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Boréal Bidco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21 Avenue Kleber</w:t>
      </w:r>
    </w:p>
    <w:p>
      <w:pPr>
        <w:spacing w:after="0" w:line="217" w:lineRule="auto"/>
        <w:rPr>
          <w:sz w:val="20"/>
          <w:szCs w:val="20"/>
          <w:color w:val="auto"/>
        </w:rPr>
      </w:pPr>
      <w:r>
        <w:rPr>
          <w:rFonts w:ascii="Times New Roman" w:cs="Times New Roman" w:eastAsia="Times New Roman" w:hAnsi="Times New Roman"/>
          <w:sz w:val="13"/>
          <w:szCs w:val="13"/>
          <w:color w:val="auto"/>
        </w:rPr>
        <w:t>75016 Paris</w:t>
      </w: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Cast &amp; Crew,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2300 Empire Avenue</w:t>
      </w:r>
    </w:p>
    <w:p>
      <w:pPr>
        <w:spacing w:after="0" w:line="217" w:lineRule="auto"/>
        <w:rPr>
          <w:sz w:val="20"/>
          <w:szCs w:val="20"/>
          <w:color w:val="auto"/>
        </w:rPr>
      </w:pPr>
      <w:r>
        <w:rPr>
          <w:rFonts w:ascii="Times New Roman" w:cs="Times New Roman" w:eastAsia="Times New Roman" w:hAnsi="Times New Roman"/>
          <w:sz w:val="13"/>
          <w:szCs w:val="13"/>
          <w:color w:val="auto"/>
        </w:rPr>
        <w:t>5th Floor</w:t>
      </w:r>
    </w:p>
    <w:p>
      <w:pPr>
        <w:spacing w:after="0" w:line="217" w:lineRule="auto"/>
        <w:rPr>
          <w:sz w:val="20"/>
          <w:szCs w:val="20"/>
          <w:color w:val="auto"/>
        </w:rPr>
      </w:pPr>
      <w:r>
        <w:rPr>
          <w:rFonts w:ascii="Times New Roman" w:cs="Times New Roman" w:eastAsia="Times New Roman" w:hAnsi="Times New Roman"/>
          <w:sz w:val="13"/>
          <w:szCs w:val="13"/>
          <w:color w:val="auto"/>
        </w:rPr>
        <w:t>Burbank, CA 91504</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3 BD De Sebastopol</w:t>
      </w:r>
    </w:p>
    <w:p>
      <w:pPr>
        <w:spacing w:after="0" w:line="217" w:lineRule="auto"/>
        <w:rPr>
          <w:sz w:val="20"/>
          <w:szCs w:val="20"/>
          <w:color w:val="auto"/>
        </w:rPr>
      </w:pPr>
      <w:r>
        <w:rPr>
          <w:rFonts w:ascii="Times New Roman" w:cs="Times New Roman" w:eastAsia="Times New Roman" w:hAnsi="Times New Roman"/>
          <w:sz w:val="13"/>
          <w:szCs w:val="13"/>
          <w:color w:val="auto"/>
        </w:rPr>
        <w:t>75001 Paris</w:t>
      </w: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Sky Bidco S.p.A.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Largo Guido Donegani 2</w:t>
      </w:r>
    </w:p>
    <w:p>
      <w:pPr>
        <w:spacing w:after="0" w:line="217" w:lineRule="auto"/>
        <w:rPr>
          <w:sz w:val="20"/>
          <w:szCs w:val="20"/>
          <w:color w:val="auto"/>
        </w:rPr>
      </w:pPr>
      <w:r>
        <w:rPr>
          <w:rFonts w:ascii="Times New Roman" w:cs="Times New Roman" w:eastAsia="Times New Roman" w:hAnsi="Times New Roman"/>
          <w:sz w:val="13"/>
          <w:szCs w:val="13"/>
          <w:color w:val="auto"/>
        </w:rPr>
        <w:t>20121 Milan</w:t>
      </w: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Pharmaceuticals</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Apellis Pharmaceuticals, Inc.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100 5th Avenue</w:t>
      </w:r>
    </w:p>
    <w:p>
      <w:pPr>
        <w:spacing w:after="0" w:line="217" w:lineRule="auto"/>
        <w:rPr>
          <w:sz w:val="20"/>
          <w:szCs w:val="20"/>
          <w:color w:val="auto"/>
        </w:rPr>
      </w:pPr>
      <w:r>
        <w:rPr>
          <w:rFonts w:ascii="Times New Roman" w:cs="Times New Roman" w:eastAsia="Times New Roman" w:hAnsi="Times New Roman"/>
          <w:sz w:val="13"/>
          <w:szCs w:val="13"/>
          <w:color w:val="auto"/>
        </w:rPr>
        <w:t>Waltham, MA 02451</w:t>
      </w:r>
    </w:p>
    <w:p>
      <w:pPr>
        <w:spacing w:after="0"/>
        <w:rPr>
          <w:sz w:val="20"/>
          <w:szCs w:val="20"/>
          <w:color w:val="auto"/>
        </w:rPr>
      </w:pPr>
      <w:r>
        <w:rPr>
          <w:rFonts w:ascii="Times New Roman" w:cs="Times New Roman" w:eastAsia="Times New Roman" w:hAnsi="Times New Roman"/>
          <w:sz w:val="13"/>
          <w:szCs w:val="13"/>
          <w:color w:val="auto"/>
        </w:rPr>
        <w:t>USA</w:t>
      </w:r>
    </w:p>
    <w:p>
      <w:pPr>
        <w:ind w:right="700"/>
        <w:spacing w:after="0" w:line="192" w:lineRule="auto"/>
        <w:rPr>
          <w:sz w:val="20"/>
          <w:szCs w:val="20"/>
          <w:color w:val="auto"/>
        </w:rPr>
      </w:pPr>
      <w:r>
        <w:rPr>
          <w:rFonts w:ascii="Times New Roman" w:cs="Times New Roman" w:eastAsia="Times New Roman" w:hAnsi="Times New Roman"/>
          <w:sz w:val="13"/>
          <w:szCs w:val="13"/>
          <w:color w:val="auto"/>
        </w:rPr>
        <w:t xml:space="preserve">Arrowhead Pharmaceuticals, Inc. </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xml:space="preserve"> 177 East Colorado Boulevard Suite 700</w:t>
      </w:r>
    </w:p>
    <w:p>
      <w:pPr>
        <w:spacing w:after="0" w:line="217" w:lineRule="auto"/>
        <w:rPr>
          <w:sz w:val="20"/>
          <w:szCs w:val="20"/>
          <w:color w:val="auto"/>
        </w:rPr>
      </w:pPr>
      <w:r>
        <w:rPr>
          <w:rFonts w:ascii="Times New Roman" w:cs="Times New Roman" w:eastAsia="Times New Roman" w:hAnsi="Times New Roman"/>
          <w:sz w:val="13"/>
          <w:szCs w:val="13"/>
          <w:color w:val="auto"/>
        </w:rPr>
        <w:t>Pasadena, CA 91105</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98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97"/>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372"/>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12,696</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15,127</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par, due 7/2031)</w:t>
            </w:r>
          </w:p>
        </w:tc>
        <w:tc>
          <w:tcPr>
            <w:tcW w:w="7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7/11/2024</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 + 5.50%</w:t>
            </w:r>
          </w:p>
        </w:tc>
        <w:tc>
          <w:tcPr>
            <w:tcW w:w="11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8.15%</w:t>
            </w: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13,689</w:t>
            </w: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12,887)</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0.4%</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8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loan (EUR 4,392 par,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5,131</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7/2027)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7/11/2024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+ 4.75%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7.10%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4,676</w:t>
            </w: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4,371)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401,955</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428,527</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10.2%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2"/>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($97,561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2/2027)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2/21/2023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+ 7.10%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11.43%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96,761</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98,537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($155,000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3/2029)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3/18/2025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10.70%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151,988</w:t>
            </w:r>
          </w:p>
        </w:tc>
        <w:tc>
          <w:tcPr>
            <w:tcW w:w="1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154,613</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248,749</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253,150</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note (EUR 127,052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9.23%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147,649</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3/2032)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3/24/2025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+ 7.25%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(incl. 5.75%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134,380</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125,782)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5"/>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(CAD 142,733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98,851</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1/2029)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2/27/2025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C + 5.50%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8.25%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96,202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(CAD 134,882)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75,326</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88,950</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4/2031)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+ 5.75%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80,289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75,776)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note (EUR 52,053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62,049</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par, due 10/2031)</w:t>
            </w:r>
          </w:p>
        </w:tc>
        <w:tc>
          <w:tcPr>
            <w:tcW w:w="7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10/29/2024</w:t>
            </w:r>
          </w:p>
        </w:tc>
        <w:tc>
          <w:tcPr>
            <w:tcW w:w="9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 + 5.00%</w:t>
            </w:r>
          </w:p>
        </w:tc>
        <w:tc>
          <w:tcPr>
            <w:tcW w:w="11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6.98%</w:t>
            </w:r>
          </w:p>
        </w:tc>
        <w:tc>
          <w:tcPr>
            <w:tcW w:w="7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54,708</w:t>
            </w: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52,860)</w:t>
            </w:r>
          </w:p>
        </w:tc>
        <w:tc>
          <w:tcPr>
            <w:tcW w:w="8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First-lien note ($115,131 par,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10/2031)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10/29/2024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9.30%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113,049</w:t>
            </w:r>
          </w:p>
        </w:tc>
        <w:tc>
          <w:tcPr>
            <w:tcW w:w="1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116,282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478,628</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513,781</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12.2%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2"/>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($157,895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5/2030)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5/13/2024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+ 5.75%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10.05%</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157,895</w:t>
            </w: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159,395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($115,872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8/2031)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15.00%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114,944</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133,832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-3837305</wp:posOffset>
            </wp:positionV>
            <wp:extent cx="699516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-3648710</wp:posOffset>
            </wp:positionV>
            <wp:extent cx="6995160" cy="351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995160" cy="35179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-2842895</wp:posOffset>
            </wp:positionV>
            <wp:extent cx="699516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-2654300</wp:posOffset>
            </wp:positionV>
            <wp:extent cx="6995160" cy="351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-1865630</wp:posOffset>
            </wp:positionV>
            <wp:extent cx="6995160" cy="3511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-974090</wp:posOffset>
            </wp:positionV>
            <wp:extent cx="699516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-785495</wp:posOffset>
            </wp:positionV>
            <wp:extent cx="6995160" cy="3511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20" w:space="720"/>
            <w:col w:w="778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31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(3)(4)</w:t>
            </w:r>
          </w:p>
        </w:tc>
        <w:tc>
          <w:tcPr>
            <w:tcW w:w="1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 7 Egham Business Village</w:t>
            </w:r>
          </w:p>
        </w:tc>
        <w:tc>
          <w:tcPr>
            <w:tcW w:w="1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Crabtree Road</w:t>
            </w:r>
          </w:p>
        </w:tc>
        <w:tc>
          <w:tcPr>
            <w:tcW w:w="1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Egham TW20 8RB</w:t>
            </w:r>
          </w:p>
        </w:tc>
        <w:tc>
          <w:tcPr>
            <w:tcW w:w="172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(EUR 139,148</w:t>
            </w:r>
          </w:p>
        </w:tc>
        <w:tc>
          <w:tcPr>
            <w:tcW w:w="9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380"/>
              <w:spacing w:after="0" w:line="140" w:lineRule="exact"/>
              <w:rPr>
                <w:sz w:val="20"/>
                <w:szCs w:val="20"/>
                <w:color w:val="auto"/>
              </w:rPr>
            </w:pPr>
            <w:r>
              <w:rPr>
                <w:rFonts w:ascii="Times New Roman" w:cs="Times New Roman" w:eastAsia="Times New Roman" w:hAnsi="Times New Roman"/>
                <w:sz w:val="13"/>
                <w:szCs w:val="13"/>
                <w:color w:val="auto"/>
              </w:rPr>
              <w:t>160,888</w:t>
            </w: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United Kingdom</w:t>
            </w:r>
          </w:p>
        </w:tc>
        <w:tc>
          <w:tcPr>
            <w:tcW w:w="172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par, due 12/2030)</w:t>
            </w:r>
          </w:p>
        </w:tc>
        <w:tc>
          <w:tcPr>
            <w:tcW w:w="920" w:type="dxa"/>
            <w:vAlign w:val="bottom"/>
            <w:shd w:val="clear" w:color="auto" w:fill="CCEEFF"/>
          </w:tcPr>
          <w:p>
            <w:pPr>
              <w:jc w:val="right"/>
              <w:ind w:right="157"/>
              <w:spacing w:after="0" w:line="144" w:lineRule="exact"/>
              <w:rPr>
                <w:sz w:val="20"/>
                <w:szCs w:val="20"/>
                <w:color w:val="auto"/>
              </w:rPr>
            </w:pPr>
            <w:r>
              <w:rPr>
                <w:rFonts w:ascii="Times New Roman" w:cs="Times New Roman" w:eastAsia="Times New Roman" w:hAnsi="Times New Roman"/>
                <w:sz w:val="13"/>
                <w:szCs w:val="13"/>
                <w:color w:val="auto"/>
              </w:rPr>
              <w:t>12/11/2024</w:t>
            </w:r>
          </w:p>
        </w:tc>
        <w:tc>
          <w:tcPr>
            <w:tcW w:w="1140" w:type="dxa"/>
            <w:vAlign w:val="bottom"/>
            <w:shd w:val="clear" w:color="auto" w:fill="CCEEFF"/>
          </w:tcPr>
          <w:p>
            <w:pPr>
              <w:jc w:val="right"/>
              <w:ind w:right="317"/>
              <w:spacing w:after="0" w:line="144" w:lineRule="exact"/>
              <w:rPr>
                <w:sz w:val="20"/>
                <w:szCs w:val="20"/>
                <w:color w:val="auto"/>
              </w:rPr>
            </w:pPr>
            <w:r>
              <w:rPr>
                <w:rFonts w:ascii="Times New Roman" w:cs="Times New Roman" w:eastAsia="Times New Roman" w:hAnsi="Times New Roman"/>
                <w:sz w:val="13"/>
                <w:szCs w:val="13"/>
                <w:color w:val="auto"/>
              </w:rPr>
              <w:t>E + 7.25%</w:t>
            </w:r>
          </w:p>
        </w:tc>
        <w:tc>
          <w:tcPr>
            <w:tcW w:w="92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9.23%</w:t>
            </w:r>
          </w:p>
        </w:tc>
        <w:tc>
          <w:tcPr>
            <w:tcW w:w="5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142,526</w:t>
            </w:r>
          </w:p>
        </w:tc>
        <w:tc>
          <w:tcPr>
            <w:tcW w:w="16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137,061)</w:t>
            </w:r>
          </w:p>
        </w:tc>
        <w:tc>
          <w:tcPr>
            <w:tcW w:w="1480" w:type="dxa"/>
            <w:vAlign w:val="bottom"/>
            <w:gridSpan w:val="2"/>
            <w:shd w:val="clear" w:color="auto" w:fill="CCEEFF"/>
          </w:tcPr>
          <w:p>
            <w:pPr>
              <w:jc w:val="right"/>
              <w:ind w:right="780"/>
              <w:spacing w:after="0" w:line="144"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spacing w:after="0"/>
              <w:rPr>
                <w:sz w:val="12"/>
                <w:szCs w:val="12"/>
                <w:color w:val="auto"/>
              </w:rPr>
            </w:pPr>
          </w:p>
        </w:tc>
        <w:tc>
          <w:tcPr>
            <w:tcW w:w="172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(GBP 77,006</w:t>
            </w:r>
          </w:p>
        </w:tc>
        <w:tc>
          <w:tcPr>
            <w:tcW w:w="9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ind w:left="380"/>
              <w:spacing w:after="0" w:line="140" w:lineRule="exact"/>
              <w:rPr>
                <w:sz w:val="20"/>
                <w:szCs w:val="20"/>
                <w:color w:val="auto"/>
              </w:rPr>
            </w:pPr>
            <w:r>
              <w:rPr>
                <w:rFonts w:ascii="Times New Roman" w:cs="Times New Roman" w:eastAsia="Times New Roman" w:hAnsi="Times New Roman"/>
                <w:sz w:val="13"/>
                <w:szCs w:val="13"/>
                <w:color w:val="auto"/>
              </w:rPr>
              <w:t>104,206</w:t>
            </w: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par, due 12/2030)</w:t>
            </w:r>
          </w:p>
        </w:tc>
        <w:tc>
          <w:tcPr>
            <w:tcW w:w="9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12/11/2024</w:t>
            </w:r>
          </w:p>
        </w:tc>
        <w:tc>
          <w:tcPr>
            <w:tcW w:w="11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S + 7.25%</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11.47%</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95,805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(GBP 76,044)</w:t>
            </w: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511,170</w:t>
            </w:r>
          </w:p>
        </w:tc>
        <w:tc>
          <w:tcPr>
            <w:tcW w:w="160" w:type="dxa"/>
            <w:vAlign w:val="bottom"/>
            <w:vMerge w:val="continue"/>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auto"/>
                <w:w w:val="89"/>
              </w:rPr>
              <w:t>558,321</w:t>
            </w:r>
          </w:p>
        </w:tc>
        <w:tc>
          <w:tcPr>
            <w:tcW w:w="200" w:type="dxa"/>
            <w:vAlign w:val="bottom"/>
            <w:vMerge w:val="continue"/>
          </w:tcPr>
          <w:p>
            <w:pPr>
              <w:spacing w:after="0"/>
              <w:rPr>
                <w:sz w:val="12"/>
                <w:szCs w:val="12"/>
                <w:color w:val="auto"/>
              </w:rPr>
            </w:pPr>
          </w:p>
        </w:tc>
        <w:tc>
          <w:tcPr>
            <w:tcW w:w="148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320" w:top="455" w:right="5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Real Estate</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5"/>
          <w:szCs w:val="15"/>
          <w:color w:val="auto"/>
          <w:vertAlign w:val="superscript"/>
        </w:rPr>
        <w:t>(3)(4)(5)</w:t>
      </w:r>
    </w:p>
    <w:p>
      <w:pPr>
        <w:spacing w:after="0" w:line="217" w:lineRule="auto"/>
        <w:rPr>
          <w:sz w:val="20"/>
          <w:szCs w:val="20"/>
          <w:color w:val="auto"/>
        </w:rPr>
      </w:pPr>
      <w:r>
        <w:rPr>
          <w:rFonts w:ascii="Times New Roman" w:cs="Times New Roman" w:eastAsia="Times New Roman" w:hAnsi="Times New Roman"/>
          <w:sz w:val="13"/>
          <w:szCs w:val="13"/>
          <w:color w:val="auto"/>
        </w:rPr>
        <w:t>Third Floor</w:t>
      </w:r>
    </w:p>
    <w:p>
      <w:pPr>
        <w:spacing w:after="0" w:line="217" w:lineRule="auto"/>
        <w:rPr>
          <w:sz w:val="20"/>
          <w:szCs w:val="20"/>
          <w:color w:val="auto"/>
        </w:rPr>
      </w:pPr>
      <w:r>
        <w:rPr>
          <w:rFonts w:ascii="Times New Roman" w:cs="Times New Roman" w:eastAsia="Times New Roman" w:hAnsi="Times New Roman"/>
          <w:sz w:val="13"/>
          <w:szCs w:val="13"/>
          <w:color w:val="auto"/>
        </w:rPr>
        <w:t>Arena Court, Crown Lane</w:t>
      </w:r>
    </w:p>
    <w:p>
      <w:pPr>
        <w:spacing w:after="0" w:line="216" w:lineRule="auto"/>
        <w:rPr>
          <w:sz w:val="20"/>
          <w:szCs w:val="20"/>
          <w:color w:val="auto"/>
        </w:rPr>
      </w:pPr>
      <w:r>
        <w:rPr>
          <w:rFonts w:ascii="Times New Roman" w:cs="Times New Roman" w:eastAsia="Times New Roman" w:hAnsi="Times New Roman"/>
          <w:sz w:val="13"/>
          <w:szCs w:val="13"/>
          <w:color w:val="auto"/>
        </w:rPr>
        <w:t>Maidenhead SL6 8QZ</w:t>
      </w: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Retail and Consumer Products</w:t>
      </w:r>
    </w:p>
    <w:p>
      <w:pPr>
        <w:spacing w:after="0" w:line="188" w:lineRule="auto"/>
        <w:rPr>
          <w:sz w:val="20"/>
          <w:szCs w:val="20"/>
          <w:color w:val="auto"/>
        </w:rPr>
      </w:pPr>
      <w:r>
        <w:rPr>
          <w:rFonts w:ascii="Times New Roman" w:cs="Times New Roman" w:eastAsia="Times New Roman" w:hAnsi="Times New Roman"/>
          <w:sz w:val="15"/>
          <w:szCs w:val="15"/>
          <w:color w:val="auto"/>
          <w:vertAlign w:val="subscript"/>
        </w:rPr>
        <w:t>Acosta</w:t>
      </w:r>
      <w:r>
        <w:rPr>
          <w:rFonts w:ascii="Times New Roman" w:cs="Times New Roman" w:eastAsia="Times New Roman" w:hAnsi="Times New Roman"/>
          <w:sz w:val="7"/>
          <w:szCs w:val="7"/>
          <w:color w:val="auto"/>
        </w:rPr>
        <w:t xml:space="preserve"> (3)(12)</w:t>
      </w:r>
    </w:p>
    <w:p>
      <w:pPr>
        <w:ind w:right="800"/>
        <w:spacing w:after="0" w:line="223" w:lineRule="auto"/>
        <w:rPr>
          <w:sz w:val="20"/>
          <w:szCs w:val="20"/>
          <w:color w:val="auto"/>
        </w:rPr>
      </w:pPr>
      <w:r>
        <w:rPr>
          <w:rFonts w:ascii="Times New Roman" w:cs="Times New Roman" w:eastAsia="Times New Roman" w:hAnsi="Times New Roman"/>
          <w:sz w:val="13"/>
          <w:szCs w:val="13"/>
          <w:color w:val="auto"/>
        </w:rPr>
        <w:t>6600 Corporate Center Parkway Jacksonville, FL 32216 USA</w:t>
      </w:r>
    </w:p>
    <w:p>
      <w:pPr>
        <w:spacing w:after="0" w:line="2" w:lineRule="exact"/>
        <w:rPr>
          <w:sz w:val="20"/>
          <w:szCs w:val="20"/>
          <w:color w:val="auto"/>
        </w:rPr>
      </w:pPr>
    </w:p>
    <w:p>
      <w:pPr>
        <w:ind w:right="800"/>
        <w:spacing w:after="0"/>
        <w:rPr>
          <w:sz w:val="20"/>
          <w:szCs w:val="20"/>
          <w:color w:val="auto"/>
        </w:rPr>
      </w:pPr>
      <w:r>
        <w:rPr>
          <w:rFonts w:ascii="Times New Roman" w:cs="Times New Roman" w:eastAsia="Times New Roman" w:hAnsi="Times New Roman"/>
          <w:sz w:val="13"/>
          <w:szCs w:val="13"/>
          <w:color w:val="auto"/>
        </w:rPr>
        <w:t xml:space="preserve">Bed Bath and Beyond Inc. </w:t>
      </w:r>
      <w:r>
        <w:rPr>
          <w:rFonts w:ascii="Times New Roman" w:cs="Times New Roman" w:eastAsia="Times New Roman" w:hAnsi="Times New Roman"/>
          <w:sz w:val="18"/>
          <w:szCs w:val="18"/>
          <w:color w:val="auto"/>
          <w:vertAlign w:val="superscript"/>
        </w:rPr>
        <w:t>(3)(11)</w:t>
      </w:r>
      <w:r>
        <w:rPr>
          <w:rFonts w:ascii="Times New Roman" w:cs="Times New Roman" w:eastAsia="Times New Roman" w:hAnsi="Times New Roman"/>
          <w:sz w:val="13"/>
          <w:szCs w:val="13"/>
          <w:color w:val="auto"/>
        </w:rPr>
        <w:t xml:space="preserve"> 650 Liberty Avenue Union, NJ 07083 USA</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Belk, Inc.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2801 West Tyvola Road</w:t>
      </w:r>
    </w:p>
    <w:p>
      <w:pPr>
        <w:spacing w:after="0" w:line="217" w:lineRule="auto"/>
        <w:rPr>
          <w:sz w:val="20"/>
          <w:szCs w:val="20"/>
          <w:color w:val="auto"/>
        </w:rPr>
      </w:pPr>
      <w:r>
        <w:rPr>
          <w:rFonts w:ascii="Times New Roman" w:cs="Times New Roman" w:eastAsia="Times New Roman" w:hAnsi="Times New Roman"/>
          <w:sz w:val="13"/>
          <w:szCs w:val="13"/>
          <w:color w:val="auto"/>
        </w:rPr>
        <w:t>Charlotte, NC 28217</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Commercehub,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800 Troy-Schenectady Rd Suite 100</w:t>
      </w:r>
    </w:p>
    <w:p>
      <w:pPr>
        <w:spacing w:after="0" w:line="217" w:lineRule="auto"/>
        <w:rPr>
          <w:sz w:val="20"/>
          <w:szCs w:val="20"/>
          <w:color w:val="auto"/>
        </w:rPr>
      </w:pPr>
      <w:r>
        <w:rPr>
          <w:rFonts w:ascii="Times New Roman" w:cs="Times New Roman" w:eastAsia="Times New Roman" w:hAnsi="Times New Roman"/>
          <w:sz w:val="13"/>
          <w:szCs w:val="13"/>
          <w:color w:val="auto"/>
        </w:rPr>
        <w:t>Latham, NY 12110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16 W. Martin Street</w:t>
      </w:r>
    </w:p>
    <w:p>
      <w:pPr>
        <w:spacing w:after="0" w:line="217" w:lineRule="auto"/>
        <w:rPr>
          <w:sz w:val="20"/>
          <w:szCs w:val="20"/>
          <w:color w:val="auto"/>
        </w:rPr>
      </w:pPr>
      <w:r>
        <w:rPr>
          <w:rFonts w:ascii="Times New Roman" w:cs="Times New Roman" w:eastAsia="Times New Roman" w:hAnsi="Times New Roman"/>
          <w:sz w:val="13"/>
          <w:szCs w:val="13"/>
          <w:color w:val="auto"/>
        </w:rPr>
        <w:t>Raleigh, NC 27601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PDI TA Holdings,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4001 Central Pointe Parkway</w:t>
      </w:r>
    </w:p>
    <w:p>
      <w:pPr>
        <w:spacing w:after="0" w:line="217" w:lineRule="auto"/>
        <w:rPr>
          <w:sz w:val="20"/>
          <w:szCs w:val="20"/>
          <w:color w:val="auto"/>
        </w:rPr>
      </w:pPr>
      <w:r>
        <w:rPr>
          <w:rFonts w:ascii="Times New Roman" w:cs="Times New Roman" w:eastAsia="Times New Roman" w:hAnsi="Times New Roman"/>
          <w:sz w:val="13"/>
          <w:szCs w:val="13"/>
          <w:color w:val="auto"/>
        </w:rPr>
        <w:t>Bldg 200</w:t>
      </w:r>
    </w:p>
    <w:p>
      <w:pPr>
        <w:spacing w:after="0" w:line="217" w:lineRule="auto"/>
        <w:rPr>
          <w:sz w:val="20"/>
          <w:szCs w:val="20"/>
          <w:color w:val="auto"/>
        </w:rPr>
      </w:pPr>
      <w:r>
        <w:rPr>
          <w:rFonts w:ascii="Times New Roman" w:cs="Times New Roman" w:eastAsia="Times New Roman" w:hAnsi="Times New Roman"/>
          <w:sz w:val="13"/>
          <w:szCs w:val="13"/>
          <w:color w:val="auto"/>
        </w:rPr>
        <w:t>Temple, TX 76504</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Rapid Data GmbH Unternehmensberatung </w:t>
      </w:r>
      <w:r>
        <w:rPr>
          <w:rFonts w:ascii="Times New Roman" w:cs="Times New Roman" w:eastAsia="Times New Roman" w:hAnsi="Times New Roman"/>
          <w:sz w:val="17"/>
          <w:szCs w:val="17"/>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Agricolastr. 54</w:t>
      </w:r>
    </w:p>
    <w:p>
      <w:pPr>
        <w:spacing w:after="0" w:line="217" w:lineRule="auto"/>
        <w:rPr>
          <w:sz w:val="20"/>
          <w:szCs w:val="20"/>
          <w:color w:val="auto"/>
        </w:rPr>
      </w:pPr>
      <w:r>
        <w:rPr>
          <w:rFonts w:ascii="Times New Roman" w:cs="Times New Roman" w:eastAsia="Times New Roman" w:hAnsi="Times New Roman"/>
          <w:sz w:val="13"/>
          <w:szCs w:val="13"/>
          <w:color w:val="auto"/>
        </w:rPr>
        <w:t>30952 Ronnenberg</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Tango Management Consulting, LLC </w:t>
      </w:r>
      <w:r>
        <w:rPr>
          <w:rFonts w:ascii="Times New Roman" w:cs="Times New Roman" w:eastAsia="Times New Roman" w:hAnsi="Times New Roman"/>
          <w:sz w:val="15"/>
          <w:szCs w:val="15"/>
          <w:color w:val="auto"/>
          <w:vertAlign w:val="superscript"/>
        </w:rPr>
        <w:t>(3)(5)</w:t>
      </w:r>
    </w:p>
    <w:p>
      <w:pPr>
        <w:spacing w:after="0" w:line="217" w:lineRule="auto"/>
        <w:rPr>
          <w:sz w:val="20"/>
          <w:szCs w:val="20"/>
          <w:color w:val="auto"/>
        </w:rPr>
      </w:pPr>
      <w:r>
        <w:rPr>
          <w:rFonts w:ascii="Times New Roman" w:cs="Times New Roman" w:eastAsia="Times New Roman" w:hAnsi="Times New Roman"/>
          <w:sz w:val="13"/>
          <w:szCs w:val="13"/>
          <w:color w:val="auto"/>
        </w:rPr>
        <w:t>9797 Rombauer Road</w:t>
      </w:r>
    </w:p>
    <w:p>
      <w:pPr>
        <w:spacing w:after="0" w:line="217" w:lineRule="auto"/>
        <w:rPr>
          <w:sz w:val="20"/>
          <w:szCs w:val="20"/>
          <w:color w:val="auto"/>
        </w:rPr>
      </w:pPr>
      <w:r>
        <w:rPr>
          <w:rFonts w:ascii="Times New Roman" w:cs="Times New Roman" w:eastAsia="Times New Roman" w:hAnsi="Times New Roman"/>
          <w:sz w:val="13"/>
          <w:szCs w:val="13"/>
          <w:color w:val="auto"/>
        </w:rPr>
        <w:t>Suite #450</w:t>
      </w:r>
    </w:p>
    <w:p>
      <w:pPr>
        <w:spacing w:after="0" w:line="217" w:lineRule="auto"/>
        <w:rPr>
          <w:sz w:val="20"/>
          <w:szCs w:val="20"/>
          <w:color w:val="auto"/>
        </w:rPr>
      </w:pPr>
      <w:r>
        <w:rPr>
          <w:rFonts w:ascii="Times New Roman" w:cs="Times New Roman" w:eastAsia="Times New Roman" w:hAnsi="Times New Roman"/>
          <w:sz w:val="13"/>
          <w:szCs w:val="13"/>
          <w:color w:val="auto"/>
        </w:rPr>
        <w:t>Dallas, TX 75019</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Transportation</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8th Floor</w:t>
      </w:r>
    </w:p>
    <w:p>
      <w:pPr>
        <w:spacing w:after="0" w:line="217" w:lineRule="auto"/>
        <w:rPr>
          <w:sz w:val="20"/>
          <w:szCs w:val="20"/>
          <w:color w:val="auto"/>
        </w:rPr>
      </w:pPr>
      <w:r>
        <w:rPr>
          <w:rFonts w:ascii="Times New Roman" w:cs="Times New Roman" w:eastAsia="Times New Roman" w:hAnsi="Times New Roman"/>
          <w:sz w:val="13"/>
          <w:szCs w:val="13"/>
          <w:color w:val="auto"/>
        </w:rPr>
        <w:t>20 Farringdon Street</w:t>
      </w:r>
    </w:p>
    <w:p>
      <w:pPr>
        <w:spacing w:after="0"/>
        <w:rPr>
          <w:sz w:val="20"/>
          <w:szCs w:val="20"/>
          <w:color w:val="auto"/>
        </w:rPr>
      </w:pPr>
      <w:r>
        <w:rPr>
          <w:rFonts w:ascii="Times New Roman" w:cs="Times New Roman" w:eastAsia="Times New Roman" w:hAnsi="Times New Roman"/>
          <w:sz w:val="13"/>
          <w:szCs w:val="13"/>
          <w:color w:val="auto"/>
        </w:rPr>
        <w:t>London EC4A 4AB</w:t>
      </w:r>
    </w:p>
    <w:p>
      <w:pPr>
        <w:spacing w:after="0" w:line="216" w:lineRule="auto"/>
        <w:rPr>
          <w:sz w:val="20"/>
          <w:szCs w:val="20"/>
          <w:color w:val="auto"/>
        </w:rPr>
      </w:pPr>
      <w:r>
        <w:rPr>
          <w:rFonts w:ascii="Times New Roman" w:cs="Times New Roman" w:eastAsia="Times New Roman" w:hAnsi="Times New Roman"/>
          <w:sz w:val="13"/>
          <w:szCs w:val="13"/>
          <w:color w:val="auto"/>
        </w:rPr>
        <w:t>Rail Acquisitions LLC</w:t>
      </w:r>
    </w:p>
    <w:p>
      <w:pPr>
        <w:spacing w:after="0" w:line="217" w:lineRule="auto"/>
        <w:rPr>
          <w:sz w:val="20"/>
          <w:szCs w:val="20"/>
          <w:color w:val="auto"/>
        </w:rPr>
      </w:pPr>
      <w:r>
        <w:rPr>
          <w:rFonts w:ascii="Times New Roman" w:cs="Times New Roman" w:eastAsia="Times New Roman" w:hAnsi="Times New Roman"/>
          <w:sz w:val="13"/>
          <w:szCs w:val="13"/>
          <w:color w:val="auto"/>
        </w:rPr>
        <w:t>1610 Woodstead Ct., Suite 220</w:t>
      </w:r>
    </w:p>
    <w:p>
      <w:pPr>
        <w:spacing w:after="0" w:line="217" w:lineRule="auto"/>
        <w:rPr>
          <w:sz w:val="20"/>
          <w:szCs w:val="20"/>
          <w:color w:val="auto"/>
        </w:rPr>
      </w:pPr>
      <w:r>
        <w:rPr>
          <w:rFonts w:ascii="Times New Roman" w:cs="Times New Roman" w:eastAsia="Times New Roman" w:hAnsi="Times New Roman"/>
          <w:sz w:val="13"/>
          <w:szCs w:val="13"/>
          <w:color w:val="auto"/>
        </w:rPr>
        <w:t>The Woodlands, Texas, 77380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Shiftmove GmbH </w:t>
      </w:r>
      <w:r>
        <w:rPr>
          <w:rFonts w:ascii="Times New Roman" w:cs="Times New Roman" w:eastAsia="Times New Roman" w:hAnsi="Times New Roman"/>
          <w:sz w:val="18"/>
          <w:szCs w:val="18"/>
          <w:color w:val="auto"/>
          <w:vertAlign w:val="superscript"/>
        </w:rPr>
        <w:t>(3)(4)(5)</w:t>
      </w:r>
    </w:p>
    <w:p>
      <w:pPr>
        <w:spacing w:after="0" w:line="216" w:lineRule="auto"/>
        <w:rPr>
          <w:sz w:val="20"/>
          <w:szCs w:val="20"/>
          <w:color w:val="auto"/>
        </w:rPr>
      </w:pPr>
      <w:r>
        <w:rPr>
          <w:rFonts w:ascii="Times New Roman" w:cs="Times New Roman" w:eastAsia="Times New Roman" w:hAnsi="Times New Roman"/>
          <w:sz w:val="13"/>
          <w:szCs w:val="13"/>
          <w:color w:val="auto"/>
        </w:rPr>
        <w:t>Warschauer Straße 57</w:t>
      </w:r>
    </w:p>
    <w:p>
      <w:pPr>
        <w:spacing w:after="0" w:line="217" w:lineRule="auto"/>
        <w:rPr>
          <w:sz w:val="20"/>
          <w:szCs w:val="20"/>
          <w:color w:val="auto"/>
        </w:rPr>
      </w:pPr>
      <w:r>
        <w:rPr>
          <w:rFonts w:ascii="Times New Roman" w:cs="Times New Roman" w:eastAsia="Times New Roman" w:hAnsi="Times New Roman"/>
          <w:sz w:val="13"/>
          <w:szCs w:val="13"/>
          <w:color w:val="auto"/>
        </w:rPr>
        <w:t>10243 Berlin</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gridSpan w:val="2"/>
          </w:tcPr>
          <w:p>
            <w:pPr>
              <w:jc w:val="right"/>
              <w:ind w:right="500"/>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Rate</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20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5"/>
              </w:rPr>
              <w:t xml:space="preserve">Value </w:t>
            </w:r>
            <w:r>
              <w:rPr>
                <w:rFonts w:ascii="Times New Roman" w:cs="Times New Roman" w:eastAsia="Times New Roman" w:hAnsi="Times New Roman"/>
                <w:sz w:val="17"/>
                <w:szCs w:val="17"/>
                <w:b w:val="1"/>
                <w:bCs w:val="1"/>
                <w:color w:val="auto"/>
                <w:w w:val="95"/>
                <w:vertAlign w:val="superscript"/>
              </w:rPr>
              <w:t>(6)</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(GBP 691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10.47%</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940</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8/2030)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8/9/2024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 + 6.25%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(incl. 3.00%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2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(GBP 686)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4"/>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($195,300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8/2031)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8/20/2024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+ 5.60%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191,433</w:t>
            </w:r>
          </w:p>
        </w:tc>
        <w:tc>
          <w:tcPr>
            <w:tcW w:w="2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194,324</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ABL FILO term loan ($10,951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8/2027)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9/2/2022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+ 9.90%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14.23%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10,816</w:t>
            </w: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9,747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Roll Up DIP term loan</w:t>
            </w: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($43,362 par)</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4/24/2023</w:t>
            </w:r>
          </w:p>
        </w:tc>
        <w:tc>
          <w:tcPr>
            <w:tcW w:w="9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SOFR + 7.90%</w:t>
            </w:r>
          </w:p>
        </w:tc>
        <w:tc>
          <w:tcPr>
            <w:tcW w:w="116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12.23% PIK</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43,362</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38,592</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Super-Priority DIP term loan</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($6,526 par)</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4/24/2023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SOFR + 7.90%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6,526</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5,809</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($187,688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7/2029)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7/22/2024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+ 7.00%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11.33%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185,032</w:t>
            </w:r>
          </w:p>
        </w:tc>
        <w:tc>
          <w:tcPr>
            <w:tcW w:w="2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187,218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($146,250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12/2027)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11/15/2022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10.51%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140,501</w:t>
            </w:r>
          </w:p>
        </w:tc>
        <w:tc>
          <w:tcPr>
            <w:tcW w:w="2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146,250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 par, due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6/2027)</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6/12/2025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+ 9.00%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($165,178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2/2031)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9.78%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163,174</w:t>
            </w: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165,591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3.9%</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First-lien revolving loan</w:t>
            </w: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($5,294 par, due 2/2031)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2/1/2024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9.78%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5,135</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5,327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7,491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8.77%</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8,846</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7/2029)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7/11/2023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+ 6.50%</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(incl. 3.00%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8,027</w:t>
            </w:r>
          </w:p>
        </w:tc>
        <w:tc>
          <w:tcPr>
            <w:tcW w:w="2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7,535)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4"/>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($12,412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6/2031)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6/25/2025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9.82%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12,123</w:t>
            </w: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12,123</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765,686</w:t>
            </w: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774,052</w:t>
            </w:r>
          </w:p>
        </w:tc>
        <w:tc>
          <w:tcPr>
            <w:tcW w:w="200" w:type="dxa"/>
            <w:vAlign w:val="bottom"/>
            <w:vMerge w:val="continue"/>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18.4%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2"/>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($100,000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3/2028)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3/26/2024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9.81%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99,066</w:t>
            </w:r>
          </w:p>
        </w:tc>
        <w:tc>
          <w:tcPr>
            <w:tcW w:w="2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100,500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($31,680 par,</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1680" w:type="dxa"/>
            <w:vAlign w:val="bottom"/>
            <w:gridSpan w:val="2"/>
          </w:tcPr>
          <w:p>
            <w:pPr>
              <w:spacing w:after="0" w:line="154" w:lineRule="exact"/>
              <w:rPr>
                <w:sz w:val="20"/>
                <w:szCs w:val="20"/>
                <w:color w:val="auto"/>
              </w:rPr>
            </w:pPr>
            <w:r>
              <w:rPr>
                <w:rFonts w:ascii="Times New Roman" w:cs="Times New Roman" w:eastAsia="Times New Roman" w:hAnsi="Times New Roman"/>
                <w:sz w:val="12"/>
                <w:szCs w:val="12"/>
                <w:color w:val="auto"/>
              </w:rPr>
              <w:t xml:space="preserve">due 1/2030) </w:t>
            </w:r>
            <w:r>
              <w:rPr>
                <w:rFonts w:ascii="Times New Roman" w:cs="Times New Roman" w:eastAsia="Times New Roman" w:hAnsi="Times New Roman"/>
                <w:sz w:val="17"/>
                <w:szCs w:val="17"/>
                <w:color w:val="auto"/>
                <w:vertAlign w:val="superscript"/>
              </w:rPr>
              <w:t>(3)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1/27/2025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31,037</w:t>
            </w: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31,255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0.7%</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Second-lien note ($24,992 par,</w:t>
            </w: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260"/>
              <w:spacing w:after="0" w:line="122" w:lineRule="exact"/>
              <w:rPr>
                <w:sz w:val="20"/>
                <w:szCs w:val="20"/>
                <w:color w:val="auto"/>
              </w:rPr>
            </w:pPr>
            <w:r>
              <w:rPr>
                <w:rFonts w:ascii="Times New Roman" w:cs="Times New Roman" w:eastAsia="Times New Roman" w:hAnsi="Times New Roman"/>
                <w:sz w:val="13"/>
                <w:szCs w:val="13"/>
                <w:color w:val="auto"/>
              </w:rPr>
              <w:t>13.75%</w:t>
            </w: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1/2031)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1/27/2025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13.75%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PIK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20,815</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21,610</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0.5%</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14,167</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16,512</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9/2030)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9/30/2024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+ 6.00%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7.98%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15,396</w:t>
            </w:r>
          </w:p>
        </w:tc>
        <w:tc>
          <w:tcPr>
            <w:tcW w:w="2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14,067)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-5545455</wp:posOffset>
            </wp:positionV>
            <wp:extent cx="699516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-5022850</wp:posOffset>
            </wp:positionV>
            <wp:extent cx="699516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-4585335</wp:posOffset>
            </wp:positionV>
            <wp:extent cx="6995160" cy="6940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995160" cy="6940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-3539490</wp:posOffset>
            </wp:positionV>
            <wp:extent cx="6995160"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-2836545</wp:posOffset>
            </wp:positionV>
            <wp:extent cx="6995160" cy="6089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995160" cy="60896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-1876425</wp:posOffset>
            </wp:positionV>
            <wp:extent cx="6995160" cy="436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-1319530</wp:posOffset>
            </wp:positionV>
            <wp:extent cx="699516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-882015</wp:posOffset>
            </wp:positionV>
            <wp:extent cx="6995160" cy="531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995160" cy="5314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40" w:space="720"/>
            <w:col w:w="786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166,314</w:t>
            </w:r>
          </w:p>
        </w:tc>
        <w:tc>
          <w:tcPr>
            <w:tcW w:w="200" w:type="dxa"/>
            <w:vAlign w:val="bottom"/>
            <w:tcBorders>
              <w:lef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3"/>
                <w:szCs w:val="13"/>
                <w:color w:val="auto"/>
              </w:rPr>
              <w:t>169,877</w:t>
            </w:r>
          </w:p>
        </w:tc>
        <w:tc>
          <w:tcPr>
            <w:tcW w:w="1480" w:type="dxa"/>
            <w:vAlign w:val="bottom"/>
            <w:gridSpan w:val="2"/>
            <w:shd w:val="clear" w:color="auto" w:fill="CCEEFF"/>
          </w:tcPr>
          <w:p>
            <w:pPr>
              <w:jc w:val="right"/>
              <w:ind w:right="780"/>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7,063,814</w:t>
            </w:r>
          </w:p>
        </w:tc>
        <w:tc>
          <w:tcPr>
            <w:tcW w:w="20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7,347,196</w:t>
            </w:r>
          </w:p>
        </w:tc>
        <w:tc>
          <w:tcPr>
            <w:tcW w:w="200" w:type="dxa"/>
            <w:vAlign w:val="bottom"/>
            <w:vMerge w:val="continue"/>
          </w:tcPr>
          <w:p>
            <w:pPr>
              <w:spacing w:after="0"/>
              <w:rPr>
                <w:sz w:val="12"/>
                <w:szCs w:val="12"/>
                <w:color w:val="auto"/>
              </w:rPr>
            </w:pPr>
          </w:p>
        </w:tc>
        <w:tc>
          <w:tcPr>
            <w:tcW w:w="148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3"/>
                <w:szCs w:val="13"/>
                <w:color w:val="auto"/>
              </w:rPr>
              <w:t>174.4%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320" w:top="455" w:right="5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 xml:space="preserve">Company </w:t>
            </w:r>
            <w:r>
              <w:rPr>
                <w:rFonts w:ascii="Times New Roman" w:cs="Times New Roman" w:eastAsia="Times New Roman" w:hAnsi="Times New Roman"/>
                <w:sz w:val="18"/>
                <w:szCs w:val="18"/>
                <w:b w:val="1"/>
                <w:bCs w:val="1"/>
                <w:color w:val="auto"/>
                <w:w w:val="91"/>
                <w:vertAlign w:val="superscript"/>
              </w:rPr>
              <w:t>(1)(9)</w:t>
            </w:r>
          </w:p>
        </w:tc>
        <w:tc>
          <w:tcPr>
            <w:tcW w:w="2120" w:type="dxa"/>
            <w:vAlign w:val="bottom"/>
            <w:vMerge w:val="restart"/>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940" w:type="dxa"/>
            <w:vAlign w:val="bottom"/>
            <w:gridSpan w:val="2"/>
          </w:tcPr>
          <w:p>
            <w:pPr>
              <w:jc w:val="right"/>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7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40" w:type="dxa"/>
            <w:vAlign w:val="bottom"/>
          </w:tcPr>
          <w:p>
            <w:pPr>
              <w:spacing w:after="0"/>
              <w:rPr>
                <w:sz w:val="14"/>
                <w:szCs w:val="14"/>
                <w:color w:val="auto"/>
              </w:rPr>
            </w:pPr>
          </w:p>
        </w:tc>
        <w:tc>
          <w:tcPr>
            <w:tcW w:w="7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 (7)</w:t>
            </w:r>
          </w:p>
        </w:tc>
        <w:tc>
          <w:tcPr>
            <w:tcW w:w="9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6"/>
                <w:szCs w:val="16"/>
                <w:b w:val="1"/>
                <w:bCs w:val="1"/>
                <w:color w:val="auto"/>
                <w:vertAlign w:val="superscript"/>
              </w:rPr>
              <w:t>(6)</w:t>
            </w:r>
          </w:p>
        </w:tc>
        <w:tc>
          <w:tcPr>
            <w:tcW w:w="8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3"/>
              </w:rPr>
              <w:t>Net Assets</w:t>
            </w:r>
          </w:p>
        </w:tc>
        <w:tc>
          <w:tcPr>
            <w:tcW w:w="8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08"/>
        </w:trPr>
        <w:tc>
          <w:tcPr>
            <w:tcW w:w="29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Equity and Other Investments</w:t>
            </w:r>
          </w:p>
        </w:tc>
        <w:tc>
          <w:tcPr>
            <w:tcW w:w="820" w:type="dxa"/>
            <w:vAlign w:val="bottom"/>
            <w:tcBorders>
              <w:top w:val="single" w:sz="8" w:color="CCEEFF"/>
            </w:tcBorders>
            <w:shd w:val="clear" w:color="auto" w:fill="CCEEFF"/>
          </w:tcPr>
          <w:p>
            <w:pPr>
              <w:spacing w:after="0"/>
              <w:rPr>
                <w:sz w:val="9"/>
                <w:szCs w:val="9"/>
                <w:color w:val="auto"/>
              </w:rPr>
            </w:pPr>
          </w:p>
        </w:tc>
        <w:tc>
          <w:tcPr>
            <w:tcW w:w="17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Clarience Technologies, LLC</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20600 Civic Center Drive</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Southfield, MI 48076</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Class A Units (2,666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2/12/2024</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6,557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11,197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Artisan Topco LP </w:t>
            </w:r>
            <w:r>
              <w:rPr>
                <w:rFonts w:ascii="Times New Roman" w:cs="Times New Roman" w:eastAsia="Times New Roman" w:hAnsi="Times New Roman"/>
                <w:sz w:val="13"/>
                <w:szCs w:val="13"/>
                <w:color w:val="auto"/>
                <w:vertAlign w:val="superscript"/>
              </w:rPr>
              <w:t>(8)</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185 Devonshire Street</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Suite 100</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2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Boston, MA 02110</w:t>
            </w:r>
          </w:p>
        </w:tc>
        <w:tc>
          <w:tcPr>
            <w:tcW w:w="2700" w:type="dxa"/>
            <w:vAlign w:val="bottom"/>
            <w:gridSpan w:val="3"/>
            <w:shd w:val="clear" w:color="auto" w:fill="CCEEFF"/>
          </w:tcPr>
          <w:p>
            <w:pPr>
              <w:ind w:left="820"/>
              <w:spacing w:after="0" w:line="140" w:lineRule="exact"/>
              <w:rPr>
                <w:sz w:val="20"/>
                <w:szCs w:val="20"/>
                <w:color w:val="auto"/>
              </w:rPr>
            </w:pPr>
            <w:r>
              <w:rPr>
                <w:rFonts w:ascii="Times New Roman" w:cs="Times New Roman" w:eastAsia="Times New Roman" w:hAnsi="Times New Roman"/>
                <w:sz w:val="13"/>
                <w:szCs w:val="13"/>
                <w:color w:val="auto"/>
              </w:rPr>
              <w:t>Class A Preferred Units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(7,882,736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11/7/2023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7,883</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6,621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17"/>
        </w:trPr>
        <w:tc>
          <w:tcPr>
            <w:tcW w:w="2920" w:type="dxa"/>
            <w:vAlign w:val="bottom"/>
            <w:gridSpan w:val="2"/>
          </w:tcPr>
          <w:p>
            <w:pPr>
              <w:spacing w:after="0" w:line="117" w:lineRule="exact"/>
              <w:rPr>
                <w:sz w:val="20"/>
                <w:szCs w:val="20"/>
                <w:color w:val="auto"/>
              </w:rPr>
            </w:pPr>
            <w:r>
              <w:rPr>
                <w:rFonts w:ascii="Times New Roman" w:cs="Times New Roman" w:eastAsia="Times New Roman" w:hAnsi="Times New Roman"/>
                <w:sz w:val="10"/>
                <w:szCs w:val="10"/>
                <w:color w:val="auto"/>
              </w:rPr>
              <w:t xml:space="preserve">Insight Hideaway Aggregator, L.P. </w:t>
            </w:r>
            <w:r>
              <w:rPr>
                <w:rFonts w:ascii="Times New Roman" w:cs="Times New Roman" w:eastAsia="Times New Roman" w:hAnsi="Times New Roman"/>
                <w:sz w:val="13"/>
                <w:szCs w:val="13"/>
                <w:color w:val="auto"/>
                <w:vertAlign w:val="superscript"/>
              </w:rPr>
              <w:t>(8)</w:t>
            </w:r>
          </w:p>
        </w:tc>
        <w:tc>
          <w:tcPr>
            <w:tcW w:w="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17200 Laguna Canyon Road</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2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Irvine, CA 92618</w:t>
            </w:r>
          </w:p>
        </w:tc>
        <w:tc>
          <w:tcPr>
            <w:tcW w:w="2700" w:type="dxa"/>
            <w:vAlign w:val="bottom"/>
            <w:gridSpan w:val="3"/>
          </w:tcPr>
          <w:p>
            <w:pPr>
              <w:ind w:left="820"/>
              <w:spacing w:after="0" w:line="140" w:lineRule="exact"/>
              <w:rPr>
                <w:sz w:val="20"/>
                <w:szCs w:val="20"/>
                <w:color w:val="auto"/>
              </w:rPr>
            </w:pPr>
            <w:r>
              <w:rPr>
                <w:rFonts w:ascii="Times New Roman" w:cs="Times New Roman" w:eastAsia="Times New Roman" w:hAnsi="Times New Roman"/>
                <w:sz w:val="13"/>
                <w:szCs w:val="13"/>
                <w:color w:val="auto"/>
              </w:rPr>
              <w:t>Partnership Interest (2,170,139</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units)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3/19/2024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21,701</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23,220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Newark FP Co-Invest, L.P. </w:t>
            </w:r>
            <w:r>
              <w:rPr>
                <w:rFonts w:ascii="Times New Roman" w:cs="Times New Roman" w:eastAsia="Times New Roman" w:hAnsi="Times New Roman"/>
                <w:sz w:val="13"/>
                <w:szCs w:val="13"/>
                <w:color w:val="auto"/>
                <w:vertAlign w:val="superscript"/>
              </w:rPr>
              <w:t>(8)</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One Letterman Drive</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Building C, Suite 410</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San Francisco, CA 94120</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Partnership (8,555,356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11/8/2023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8,572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4,907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17"/>
        </w:trPr>
        <w:tc>
          <w:tcPr>
            <w:tcW w:w="2920" w:type="dxa"/>
            <w:vAlign w:val="bottom"/>
            <w:gridSpan w:val="2"/>
          </w:tcPr>
          <w:p>
            <w:pPr>
              <w:spacing w:after="0" w:line="117" w:lineRule="exact"/>
              <w:rPr>
                <w:sz w:val="20"/>
                <w:szCs w:val="20"/>
                <w:color w:val="auto"/>
              </w:rPr>
            </w:pPr>
            <w:r>
              <w:rPr>
                <w:rFonts w:ascii="Times New Roman" w:cs="Times New Roman" w:eastAsia="Times New Roman" w:hAnsi="Times New Roman"/>
                <w:sz w:val="10"/>
                <w:szCs w:val="10"/>
                <w:color w:val="auto"/>
              </w:rPr>
              <w:t xml:space="preserve">Warrior TopCo LP </w:t>
            </w:r>
            <w:r>
              <w:rPr>
                <w:rFonts w:ascii="Times New Roman" w:cs="Times New Roman" w:eastAsia="Times New Roman" w:hAnsi="Times New Roman"/>
                <w:sz w:val="13"/>
                <w:szCs w:val="13"/>
                <w:color w:val="auto"/>
                <w:vertAlign w:val="superscript"/>
              </w:rPr>
              <w:t>(8)</w:t>
            </w:r>
          </w:p>
        </w:tc>
        <w:tc>
          <w:tcPr>
            <w:tcW w:w="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9171 Towne Center Drive</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Suite 200</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San Diego, CA 92122</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Class A Units (9,576,271 units)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7/7/2023</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14,939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47,732</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49,687</w:t>
            </w: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AF Eagle Parent, L.P. </w:t>
            </w:r>
            <w:r>
              <w:rPr>
                <w:rFonts w:ascii="Times New Roman" w:cs="Times New Roman" w:eastAsia="Times New Roman" w:hAnsi="Times New Roman"/>
                <w:sz w:val="13"/>
                <w:szCs w:val="13"/>
                <w:color w:val="auto"/>
                <w:vertAlign w:val="superscript"/>
              </w:rPr>
              <w:t>(8)</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540 Devall Drive</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Suite 301</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Auburn, AL 36832</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Partnership Units (337,024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11/27/2023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11,364</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12,557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3"/>
                <w:szCs w:val="13"/>
                <w:color w:val="auto"/>
                <w:vertAlign w:val="superscript"/>
              </w:rPr>
              <w:t>(8)</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205 West Wacker Drive, Suite 1800</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Chicago, IL 60606</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Ordinary Shares (83,408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3/24/2023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12,876</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13,262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3"/>
                <w:szCs w:val="13"/>
                <w:color w:val="auto"/>
                <w:vertAlign w:val="superscript"/>
              </w:rPr>
              <w:t>(8)</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500 W. Monroe</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Suite 3800</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Chicago, IL 60661</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Class A-1 Units (7,606,491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11/7/2022</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7,606</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15,365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Bigtincan Holdings L.P. </w:t>
            </w:r>
            <w:r>
              <w:rPr>
                <w:rFonts w:ascii="Times New Roman" w:cs="Times New Roman" w:eastAsia="Times New Roman" w:hAnsi="Times New Roman"/>
                <w:sz w:val="13"/>
                <w:szCs w:val="13"/>
                <w:color w:val="auto"/>
                <w:vertAlign w:val="superscript"/>
              </w:rPr>
              <w:t>(8)</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404 Wyman Street 205</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Waltham, MA 02451</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Class A Units (666,667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4/16/2025</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667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667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17"/>
        </w:trPr>
        <w:tc>
          <w:tcPr>
            <w:tcW w:w="2920" w:type="dxa"/>
            <w:vAlign w:val="bottom"/>
            <w:gridSpan w:val="2"/>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SMA Technologies Holdings, LLC </w:t>
            </w:r>
            <w:r>
              <w:rPr>
                <w:rFonts w:ascii="Times New Roman" w:cs="Times New Roman" w:eastAsia="Times New Roman" w:hAnsi="Times New Roman"/>
                <w:sz w:val="13"/>
                <w:szCs w:val="13"/>
                <w:color w:val="auto"/>
                <w:vertAlign w:val="superscript"/>
              </w:rPr>
              <w:t>(8)(10)</w:t>
            </w:r>
          </w:p>
        </w:tc>
        <w:tc>
          <w:tcPr>
            <w:tcW w:w="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14237 East Sam Houston Pawkway N.</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Suite 200-314</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Houston, TX 77044</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Class A Units (244 units)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11/21/2022</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244</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Class B Units (173,048 units)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11/21/2022</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921</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1,073</w:t>
            </w: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(4)(8)(10)</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 7 Egham Business Village</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Crabtree Road</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2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Egham TW20 8RB</w:t>
            </w:r>
          </w:p>
        </w:tc>
        <w:tc>
          <w:tcPr>
            <w:tcW w:w="2700" w:type="dxa"/>
            <w:vAlign w:val="bottom"/>
            <w:gridSpan w:val="3"/>
            <w:shd w:val="clear" w:color="auto" w:fill="CCEEFF"/>
          </w:tcPr>
          <w:p>
            <w:pPr>
              <w:ind w:left="820"/>
              <w:spacing w:after="0" w:line="140" w:lineRule="exact"/>
              <w:rPr>
                <w:sz w:val="20"/>
                <w:szCs w:val="20"/>
                <w:color w:val="auto"/>
              </w:rPr>
            </w:pPr>
            <w:r>
              <w:rPr>
                <w:rFonts w:ascii="Times New Roman" w:cs="Times New Roman" w:eastAsia="Times New Roman" w:hAnsi="Times New Roman"/>
                <w:sz w:val="13"/>
                <w:szCs w:val="13"/>
                <w:color w:val="auto"/>
              </w:rPr>
              <w:t>Convertible Preference Shares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52,763</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(38,503,125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12/11/2024</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49,063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(GBP 38,503)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Railtrac Holdings Inc. </w:t>
            </w:r>
            <w:r>
              <w:rPr>
                <w:rFonts w:ascii="Times New Roman" w:cs="Times New Roman" w:eastAsia="Times New Roman" w:hAnsi="Times New Roman"/>
                <w:sz w:val="13"/>
                <w:szCs w:val="13"/>
                <w:color w:val="auto"/>
                <w:vertAlign w:val="superscript"/>
              </w:rPr>
              <w:t>(8)(10)</w:t>
            </w:r>
          </w:p>
        </w:tc>
        <w:tc>
          <w:tcPr>
            <w:tcW w:w="8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1610 Woodstead Ct., Suite 220</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The Woodlands, Texas, 77380</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Warrants (3,824 warrants)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1/27/2025</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3,396</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3,397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Equity and Other Investments</w:t>
            </w: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139,515</w:t>
            </w:r>
          </w:p>
        </w:tc>
        <w:tc>
          <w:tcPr>
            <w:tcW w:w="14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159,301</w:t>
            </w:r>
          </w:p>
        </w:tc>
        <w:tc>
          <w:tcPr>
            <w:tcW w:w="180" w:type="dxa"/>
            <w:vAlign w:val="bottom"/>
            <w:vMerge w:val="continue"/>
          </w:tcPr>
          <w:p>
            <w:pPr>
              <w:spacing w:after="0"/>
              <w:rPr>
                <w:sz w:val="12"/>
                <w:szCs w:val="12"/>
                <w:color w:val="auto"/>
              </w:rPr>
            </w:pPr>
          </w:p>
        </w:tc>
        <w:tc>
          <w:tcPr>
            <w:tcW w:w="8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3.8%</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8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3"/>
              </w:rPr>
              <w:t>$ 7,203,329</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   7,506,497</w:t>
            </w:r>
          </w:p>
        </w:tc>
        <w:tc>
          <w:tcPr>
            <w:tcW w:w="8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178.2%</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320" w:top="455"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715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40" w:right="20" w:hanging="432"/>
        <w:spacing w:after="0" w:line="253"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June 30, 2025, the Company does not “control” any of the portfolio companies. Also under the 1940 Act, the Company would be deemed to be an “Affiliated Person” of a portfolio company if the Company owns more than 5% of the portfolio company’s outstanding voting securities. As of June 30, 2025, the Company does not identify any of its portfolio companies as affiliates.</w:t>
      </w:r>
    </w:p>
    <w:p>
      <w:pPr>
        <w:spacing w:after="0" w:line="5" w:lineRule="exact"/>
        <w:rPr>
          <w:rFonts w:ascii="Times New Roman" w:cs="Times New Roman" w:eastAsia="Times New Roman" w:hAnsi="Times New Roman"/>
          <w:sz w:val="18"/>
          <w:szCs w:val="18"/>
          <w:color w:val="auto"/>
        </w:rPr>
      </w:pPr>
    </w:p>
    <w:p>
      <w:pPr>
        <w:ind w:left="440" w:right="10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44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2025.</w:t>
      </w:r>
    </w:p>
    <w:p>
      <w:pPr>
        <w:spacing w:after="0" w:line="2" w:lineRule="exact"/>
        <w:rPr>
          <w:rFonts w:ascii="Times New Roman" w:cs="Times New Roman" w:eastAsia="Times New Roman" w:hAnsi="Times New Roman"/>
          <w:sz w:val="18"/>
          <w:szCs w:val="18"/>
          <w:color w:val="auto"/>
        </w:rPr>
      </w:pPr>
    </w:p>
    <w:p>
      <w:pPr>
        <w:ind w:left="440" w:right="4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28.1% of total assets as of June 30, 2025.</w:t>
      </w:r>
    </w:p>
    <w:p>
      <w:pPr>
        <w:spacing w:after="0" w:line="1" w:lineRule="exact"/>
        <w:rPr>
          <w:rFonts w:ascii="Times New Roman" w:cs="Times New Roman" w:eastAsia="Times New Roman" w:hAnsi="Times New Roman"/>
          <w:sz w:val="18"/>
          <w:szCs w:val="18"/>
          <w:color w:val="auto"/>
        </w:rPr>
      </w:pPr>
    </w:p>
    <w:p>
      <w:pPr>
        <w:ind w:left="440" w:right="16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440" w:right="12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the estimated cost basis of investments for U.S. federal tax purposes was $7,259,834 resulting in estimated gross unrealized gains and losses of $322,721 and $201,145, respectfully.</w:t>
      </w:r>
    </w:p>
    <w:p>
      <w:pPr>
        <w:ind w:left="440" w:hanging="432"/>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440" w:right="10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June 30, 2025, the aggregate fair value of these securities is $56,233, or 1.3% of the Company’s net assets.</w:t>
      </w:r>
    </w:p>
    <w:p>
      <w:pPr>
        <w:spacing w:after="0" w:line="1" w:lineRule="exact"/>
        <w:rPr>
          <w:rFonts w:ascii="Times New Roman" w:cs="Times New Roman" w:eastAsia="Times New Roman" w:hAnsi="Times New Roman"/>
          <w:sz w:val="18"/>
          <w:szCs w:val="18"/>
          <w:color w:val="auto"/>
        </w:rPr>
      </w:pPr>
    </w:p>
    <w:p>
      <w:pPr>
        <w:ind w:left="440" w:right="14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$26.8 million. The Make-Whole is a contractual obligation of the borrower and accrues interest on the balance outstanding. The Make-Whole is included on the Company’s Consolidated Balance Sheet within other assets, net of any valuation allowance.</w:t>
      </w:r>
    </w:p>
    <w:p>
      <w:pPr>
        <w:spacing w:after="0" w:line="1" w:lineRule="exact"/>
        <w:rPr>
          <w:rFonts w:ascii="Times New Roman" w:cs="Times New Roman" w:eastAsia="Times New Roman" w:hAnsi="Times New Roman"/>
          <w:sz w:val="18"/>
          <w:szCs w:val="18"/>
          <w:color w:val="auto"/>
        </w:rPr>
      </w:pPr>
    </w:p>
    <w:p>
      <w:pPr>
        <w:ind w:left="440" w:right="3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uncertainty relating to collectability of the Make-Whole, the Company has applied a full valuation allowance against the amount of the Make-Whole balance outstanding.</w:t>
      </w:r>
    </w:p>
    <w:p>
      <w:pPr>
        <w:ind w:left="440" w:right="84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440" w:hanging="432"/>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further information related to foreign currency forward contracts.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320" w:top="455" w:right="5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7" w:lineRule="exact"/>
        <w:rPr>
          <w:sz w:val="20"/>
          <w:szCs w:val="20"/>
          <w:color w:val="auto"/>
        </w:rPr>
      </w:pPr>
    </w:p>
    <w:p>
      <w:pPr>
        <w:ind w:firstLine="440"/>
        <w:spacing w:after="0" w:line="258"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“Consolidated Financial Statements and Supplementary Data” in Part II, Item 8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10-K for the fiscal year ended December 31, 2024</w:t>
        </w:r>
        <w:r>
          <w:rPr>
            <w:rFonts w:ascii="Times New Roman" w:cs="Times New Roman" w:eastAsia="Times New Roman" w:hAnsi="Times New Roman"/>
            <w:sz w:val="18"/>
            <w:szCs w:val="18"/>
            <w:i w:val="1"/>
            <w:iCs w:val="1"/>
            <w:color w:val="000000"/>
          </w:rPr>
          <w:t>, and “Financial Statements” in Part I, Item 1 of the Company’s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Quarterly Report on Form 10-Q for</w:t>
        </w:r>
      </w:hyperlink>
      <w:r>
        <w:rPr>
          <w:rFonts w:ascii="Times New Roman" w:cs="Times New Roman" w:eastAsia="Times New Roman" w:hAnsi="Times New Roman"/>
          <w:sz w:val="18"/>
          <w:szCs w:val="18"/>
          <w:i w:val="1"/>
          <w:iCs w:val="1"/>
          <w:color w:val="0000EE"/>
        </w:rPr>
        <w:t xml:space="preserve"> </w:t>
      </w:r>
      <w:hyperlink r:id="rId29">
        <w:r>
          <w:rPr>
            <w:rFonts w:ascii="Times New Roman" w:cs="Times New Roman" w:eastAsia="Times New Roman" w:hAnsi="Times New Roman"/>
            <w:sz w:val="18"/>
            <w:szCs w:val="18"/>
            <w:i w:val="1"/>
            <w:iCs w:val="1"/>
            <w:u w:val="single" w:color="auto"/>
            <w:color w:val="0000EE"/>
          </w:rPr>
          <w:t>the quarter ended June 30, 2025</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is incorporated herein by reference. The financial data should be read in conjunction with the Company’s consolidated</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financial statements and related notes thereto and “Management’s Discussion and Analysis of Financial Condition and Results of Operations” as incorporated by reference herein.</w:t>
      </w:r>
    </w:p>
    <w:p>
      <w:pPr>
        <w:spacing w:after="0" w:line="118" w:lineRule="exact"/>
        <w:rPr>
          <w:rFonts w:ascii="Times New Roman" w:cs="Times New Roman" w:eastAsia="Times New Roman" w:hAnsi="Times New Roman"/>
          <w:sz w:val="18"/>
          <w:szCs w:val="18"/>
          <w:i w:val="1"/>
          <w:iCs w:val="1"/>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320" w:top="455"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7" w:lineRule="exact"/>
        <w:rPr>
          <w:sz w:val="20"/>
          <w:szCs w:val="20"/>
          <w:color w:val="auto"/>
        </w:rPr>
      </w:pPr>
    </w:p>
    <w:p>
      <w:pPr>
        <w:ind w:firstLine="440"/>
        <w:spacing w:after="0" w:line="267"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information in “Trustees, Executive Officers and Corporate Governance” in Part III, Item 10, “Executive Compensation” in Part III, Item 11 and “Security Ownership of Certain Beneficial Owners and Management and Related Shareholder Matters” in Part III, Item 12 of the Company’s </w:t>
      </w:r>
      <w:hyperlink r:id="rId26">
        <w:r>
          <w:rPr>
            <w:rFonts w:ascii="Times New Roman" w:cs="Times New Roman" w:eastAsia="Times New Roman" w:hAnsi="Times New Roman"/>
            <w:sz w:val="18"/>
            <w:szCs w:val="18"/>
            <w:i w:val="1"/>
            <w:iCs w:val="1"/>
            <w:u w:val="single" w:color="auto"/>
            <w:color w:val="0000EE"/>
          </w:rPr>
          <w:t>Annual Report on Form 10-K for the fiscal year ended December 31, 2024</w:t>
        </w:r>
      </w:hyperlink>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are incorporated herein by reference.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320" w:top="455"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firstLine="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which is incorporated by reference herein, for the biographical information of the Company’s portfolio manager.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shows the dollar range of common shares beneficially owned by our portfolio manager as of December 31, 2024:</w:t>
      </w:r>
    </w:p>
    <w:p>
      <w:pPr>
        <w:spacing w:after="0" w:line="11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Dollar Range</w:t>
            </w:r>
          </w:p>
        </w:tc>
        <w:tc>
          <w:tcPr>
            <w:tcW w:w="0" w:type="dxa"/>
            <w:vAlign w:val="bottom"/>
          </w:tcPr>
          <w:p>
            <w:pPr>
              <w:spacing w:after="0"/>
              <w:rPr>
                <w:sz w:val="1"/>
                <w:szCs w:val="1"/>
                <w:color w:val="auto"/>
              </w:rPr>
            </w:pPr>
          </w:p>
        </w:tc>
      </w:tr>
      <w:tr>
        <w:trPr>
          <w:trHeight w:val="148"/>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4040" w:type="dxa"/>
            <w:vAlign w:val="bottom"/>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of Equity Securities</w:t>
            </w:r>
          </w:p>
        </w:tc>
        <w:tc>
          <w:tcPr>
            <w:tcW w:w="0" w:type="dxa"/>
            <w:vAlign w:val="bottom"/>
          </w:tcPr>
          <w:p>
            <w:pPr>
              <w:spacing w:after="0"/>
              <w:rPr>
                <w:sz w:val="1"/>
                <w:szCs w:val="1"/>
                <w:color w:val="auto"/>
              </w:rPr>
            </w:pPr>
          </w:p>
        </w:tc>
      </w:tr>
      <w:tr>
        <w:trPr>
          <w:trHeight w:val="180"/>
        </w:trPr>
        <w:tc>
          <w:tcPr>
            <w:tcW w:w="1700" w:type="dxa"/>
            <w:vAlign w:val="bottom"/>
            <w:tcBorders>
              <w:bottom w:val="single" w:sz="8" w:color="auto"/>
            </w:tcBorders>
            <w:vMerge w:val="continue"/>
          </w:tcPr>
          <w:p>
            <w:pPr>
              <w:spacing w:after="0"/>
              <w:rPr>
                <w:sz w:val="15"/>
                <w:szCs w:val="15"/>
                <w:color w:val="auto"/>
              </w:rPr>
            </w:pPr>
          </w:p>
        </w:tc>
        <w:tc>
          <w:tcPr>
            <w:tcW w:w="4040" w:type="dxa"/>
            <w:vAlign w:val="bottom"/>
          </w:tcPr>
          <w:p>
            <w:pPr>
              <w:spacing w:after="0"/>
              <w:rPr>
                <w:sz w:val="15"/>
                <w:szCs w:val="15"/>
                <w:color w:val="auto"/>
              </w:rPr>
            </w:pPr>
          </w:p>
        </w:tc>
        <w:tc>
          <w:tcPr>
            <w:tcW w:w="1740" w:type="dxa"/>
            <w:vAlign w:val="bottom"/>
            <w:gridSpan w:val="2"/>
          </w:tcPr>
          <w:p>
            <w:pPr>
              <w:ind w:left="420"/>
              <w:spacing w:after="0" w:line="160" w:lineRule="exact"/>
              <w:rPr>
                <w:sz w:val="20"/>
                <w:szCs w:val="20"/>
                <w:color w:val="auto"/>
              </w:rPr>
            </w:pPr>
            <w:r>
              <w:rPr>
                <w:rFonts w:ascii="Times New Roman" w:cs="Times New Roman" w:eastAsia="Times New Roman" w:hAnsi="Times New Roman"/>
                <w:sz w:val="14"/>
                <w:szCs w:val="14"/>
                <w:b w:val="1"/>
                <w:bCs w:val="1"/>
                <w:color w:val="auto"/>
              </w:rPr>
              <w:t>in the Fund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3"/>
        </w:trPr>
        <w:tc>
          <w:tcPr>
            <w:tcW w:w="1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Joshua Easterly</w:t>
            </w:r>
          </w:p>
        </w:tc>
        <w:tc>
          <w:tcPr>
            <w:tcW w:w="40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w w:val="98"/>
              </w:rPr>
              <w:t>Over $1,000,000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40" w:right="160" w:hanging="432"/>
        <w:spacing w:after="0" w:line="282"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$0, $1 – $10,000, $10,001 – $50,000, $50,001 – $100,000, $100,001 – $500,000, $500,001 – $1,000,000, or over $1,000,000.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Joshua Easterly managed, or was a member of the management team for, the following client accounts: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0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Type of Account</w:t>
            </w:r>
          </w:p>
        </w:tc>
        <w:tc>
          <w:tcPr>
            <w:tcW w:w="368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130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5"/>
                <w:szCs w:val="15"/>
                <w:color w:val="auto"/>
              </w:rPr>
            </w:pPr>
          </w:p>
        </w:tc>
        <w:tc>
          <w:tcPr>
            <w:tcW w:w="154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5"/>
              </w:rPr>
              <w:t>Fee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Registered Investment Companies</w:t>
            </w:r>
            <w:r>
              <w:rPr>
                <w:rFonts w:ascii="Times New Roman" w:cs="Times New Roman" w:eastAsia="Times New Roman" w:hAnsi="Times New Roman"/>
                <w:sz w:val="26"/>
                <w:szCs w:val="26"/>
                <w:color w:val="auto"/>
                <w:vertAlign w:val="superscript"/>
              </w:rPr>
              <w:t>(1)</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75.52 billion</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72.75 billion</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7.35 billion</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 billion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center"/>
        <w:ind w:left="5420" w:right="740" w:hanging="5412"/>
        <w:spacing w:after="0" w:line="454" w:lineRule="auto"/>
        <w:tabs>
          <w:tab w:leader="none" w:pos="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58</w:t>
      </w:r>
    </w:p>
    <w:p>
      <w:pPr>
        <w:sectPr>
          <w:pgSz w:w="11900" w:h="16838" w:orient="portrait"/>
          <w:cols w:equalWidth="0" w:num="1">
            <w:col w:w="10880"/>
          </w:cols>
          <w:pgMar w:left="320" w:top="455" w:right="6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has procedures in place for the review, approval and monitoring of transactions involving the Company and certain persons related to the Company. As a BDC, the Company may be prohibited under the 1940 Act from conducting certain transactions with our affiliates without the prior approval of the independent trustees and, in some cases, the prior approval of the SEC. We, the Adviser and certain of our affiliates have received an exemptive order from the SEC that permits us, among other things, to co-invest with certain other persons, including certain affiliates of the Adviser and certain funds managed and controlled by the Adviser and its affiliates, subject to certain terms and conditions.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we and the Adviser have adopted a code of ethics pursuant to Rule 17j-1 under the 1940 Act and Rule 204A-1 under the Advisers Act, respectively, that establishes procedures for personal investments and restricts certain personal securities transactions. Personnel subject to the code are permitted to invest in securities for their personal investment accounts, including securities that may be purchased or held by us, so long as such investments are made in accordance with the code’s requirements. A copy of the code of ethics is available on the SEC’s website at www.sec.gov. Copies of the code of ethics may be obtained, after paying a duplicating fee, by electronic request at the following email address: publicinfo@sec.gov.</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320" w:top="455" w:right="5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CONTROL PERSONS AND PRINCIPAL SHAREHOLDERS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as of September 29, 2025, information with respect to the beneficial ownership of our common shares by:</w:t>
      </w:r>
    </w:p>
    <w:p>
      <w:pPr>
        <w:spacing w:after="0" w:line="131" w:lineRule="exact"/>
        <w:rPr>
          <w:sz w:val="20"/>
          <w:szCs w:val="20"/>
          <w:color w:val="auto"/>
        </w:rPr>
      </w:pPr>
    </w:p>
    <w:p>
      <w:pPr>
        <w:ind w:left="980" w:hanging="432"/>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expected to beneficially own more than 5% of the outstanding common shares;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trustees and executive officers as a group.</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To our knowledge, as of September 29, 2025, there were no persons that owned 25% or more of our outstanding voting securities and no person would be deemed to control us, as such term is defined in the Investment Company Act.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Percentage of beneficial ownership is based on 144,703,043 common shares outstanding as of September 29, 2025. There are no common shares subject to options that are currently exercisable or exercisable within 60 days of the offering.</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Ownership information for those persons, if any, who own, control or hold the power to vote, 5% or more of our shares is based upon Schedule 13D or Schedule 13G filings by such persons with the SEC and other information obtained from such persons, if available. Such ownership information is as of the date of the applicable filing and may no longer be accurate.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Beneficial Owners of 5% or more</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Type of Ownership</w:t>
            </w:r>
          </w:p>
        </w:tc>
        <w:tc>
          <w:tcPr>
            <w:tcW w:w="312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3660" w:type="dxa"/>
            <w:vAlign w:val="bottom"/>
            <w:vMerge w:val="continue"/>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State of Michigan Retirement System</w:t>
            </w:r>
            <w:r>
              <w:rPr>
                <w:rFonts w:ascii="Times New Roman" w:cs="Times New Roman" w:eastAsia="Times New Roman" w:hAnsi="Times New Roman"/>
                <w:sz w:val="25"/>
                <w:szCs w:val="25"/>
                <w:color w:val="auto"/>
                <w:vertAlign w:val="superscript"/>
              </w:rPr>
              <w:t>(1)</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11,851,935</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Lending Partners Note Issuer,</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line="216" w:lineRule="exact"/>
              <w:rPr>
                <w:sz w:val="20"/>
                <w:szCs w:val="20"/>
                <w:color w:val="auto"/>
              </w:rPr>
            </w:pPr>
            <w:r>
              <w:rPr>
                <w:rFonts w:ascii="Times New Roman" w:cs="Times New Roman" w:eastAsia="Times New Roman" w:hAnsi="Times New Roman"/>
                <w:sz w:val="17"/>
                <w:szCs w:val="17"/>
                <w:color w:val="auto"/>
              </w:rPr>
              <w:t>LLC</w:t>
            </w:r>
            <w:r>
              <w:rPr>
                <w:rFonts w:ascii="Times New Roman" w:cs="Times New Roman" w:eastAsia="Times New Roman" w:hAnsi="Times New Roman"/>
                <w:sz w:val="25"/>
                <w:szCs w:val="25"/>
                <w:color w:val="auto"/>
                <w:vertAlign w:val="superscript"/>
              </w:rPr>
              <w:t>(2)</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10,471,527</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w:t>
            </w: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The Public Institution for Social Security</w:t>
            </w:r>
            <w:r>
              <w:rPr>
                <w:rFonts w:ascii="Times New Roman" w:cs="Times New Roman" w:eastAsia="Times New Roman" w:hAnsi="Times New Roman"/>
                <w:sz w:val="25"/>
                <w:szCs w:val="25"/>
                <w:color w:val="auto"/>
                <w:vertAlign w:val="superscript"/>
              </w:rPr>
              <w:t>(3)</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9,481,545</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6.55%</w:t>
            </w:r>
          </w:p>
        </w:tc>
        <w:tc>
          <w:tcPr>
            <w:tcW w:w="0" w:type="dxa"/>
            <w:vAlign w:val="bottom"/>
          </w:tcPr>
          <w:p>
            <w:pPr>
              <w:spacing w:after="0"/>
              <w:rPr>
                <w:sz w:val="1"/>
                <w:szCs w:val="1"/>
                <w:color w:val="auto"/>
              </w:rPr>
            </w:pPr>
          </w:p>
        </w:tc>
      </w:tr>
      <w:tr>
        <w:trPr>
          <w:trHeight w:val="212"/>
        </w:trPr>
        <w:tc>
          <w:tcPr>
            <w:tcW w:w="3660" w:type="dxa"/>
            <w:vAlign w:val="bottom"/>
          </w:tcPr>
          <w:p>
            <w:pPr>
              <w:spacing w:after="0" w:line="212" w:lineRule="exact"/>
              <w:rPr>
                <w:sz w:val="20"/>
                <w:szCs w:val="20"/>
                <w:color w:val="auto"/>
              </w:rPr>
            </w:pPr>
            <w:r>
              <w:rPr>
                <w:rFonts w:ascii="Times New Roman" w:cs="Times New Roman" w:eastAsia="Times New Roman" w:hAnsi="Times New Roman"/>
                <w:sz w:val="17"/>
                <w:szCs w:val="17"/>
                <w:color w:val="auto"/>
              </w:rPr>
              <w:t>Flourish Investment Corporation</w:t>
            </w:r>
            <w:r>
              <w:rPr>
                <w:rFonts w:ascii="Times New Roman" w:cs="Times New Roman" w:eastAsia="Times New Roman" w:hAnsi="Times New Roman"/>
                <w:sz w:val="24"/>
                <w:szCs w:val="24"/>
                <w:color w:val="auto"/>
                <w:vertAlign w:val="superscript"/>
              </w:rPr>
              <w:t>(4)</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8,705,567</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officers and Trustees as a group (16</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12,388,657</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jc w:val="both"/>
        <w:ind w:left="440" w:right="120" w:hanging="432"/>
        <w:spacing w:after="0" w:line="229" w:lineRule="auto"/>
        <w:tabs>
          <w:tab w:leader="none" w:pos="4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address for State of Michigan Retirement System (“Michigan”) is 2501 Coolidge Road Suite 400 East Lansing, Michigan 48823. Information obtained from a Schedule 13G filed by Michigan with the SEC, reporting share ownership as of December 31, 2024. Based on that filing and other information obtained from such person, Michigan maintains the sole power to vote or dispose of 11,851,935 shares.</w:t>
      </w:r>
    </w:p>
    <w:p>
      <w:pPr>
        <w:ind w:left="440" w:right="240" w:hanging="432"/>
        <w:spacing w:after="0" w:line="221" w:lineRule="auto"/>
        <w:tabs>
          <w:tab w:leader="none" w:pos="4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address for Sixth Street Lending Partners Note Issuer, LLC (“Note Issuer”) is 2100 McKinney Avenue, Suite 1500, Dallas, Texas 75201. Information obtained from a Schedule 13D filed by Note Issuer with the SEC, reporting share ownership as of December 17, 2024. Based on that filing and other information obtained from such person, Note Issuer maintains the sole power to vote or dispose of 10,471,527 shares.</w:t>
      </w:r>
    </w:p>
    <w:p>
      <w:pPr>
        <w:ind w:left="440" w:right="120" w:hanging="432"/>
        <w:spacing w:after="0" w:line="221" w:lineRule="auto"/>
        <w:tabs>
          <w:tab w:leader="none" w:pos="4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address for The Public Institution for Social Security (“PIFSS”) is AlMurqab, Al-Soor St, Ta’aminat Building, Kuwait City 13104 Kuwait. Information obtained from a Schedule 13D filed by PIFSS with the SEC, reporting share ownership as of December 17, 2024. Based on that filing and other information obtained from such person, PIFSS maintains the sole power to vote or dispose of 9,481,545 shares.</w:t>
      </w:r>
    </w:p>
    <w:p>
      <w:pPr>
        <w:ind w:left="440" w:right="220" w:hanging="432"/>
        <w:spacing w:after="0" w:line="233" w:lineRule="auto"/>
        <w:tabs>
          <w:tab w:leader="none" w:pos="4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address for Flourish Investment Corporation (“Flourish”) is New Poly Plaza, No.1 Chaoyangmen Beidajie, Dongcheng District, Beijing 100010, People’s Republic of China. Information obtained from a Schedule 13G filed by Flourish with the SEC, reporting share ownership as of February 2, 2024. Based on that filing and other information obtained from such person, Flourish maintains the sole power to vote or dispose of 8,705,567 shares.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320" w:top="455" w:right="5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as of December 31, 2024.</w:t>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0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Trustee</w:t>
            </w:r>
          </w:p>
        </w:tc>
        <w:tc>
          <w:tcPr>
            <w:tcW w:w="15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60"/>
        </w:trPr>
        <w:tc>
          <w:tcPr>
            <w:tcW w:w="5980" w:type="dxa"/>
            <w:vAlign w:val="bottom"/>
            <w:gridSpan w:val="2"/>
            <w:vMerge w:val="continue"/>
          </w:tcPr>
          <w:p>
            <w:pPr>
              <w:spacing w:after="0"/>
              <w:rPr>
                <w:sz w:val="13"/>
                <w:szCs w:val="13"/>
                <w:color w:val="auto"/>
              </w:rPr>
            </w:pPr>
          </w:p>
        </w:tc>
        <w:tc>
          <w:tcPr>
            <w:tcW w:w="150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in the Fund</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b w:val="1"/>
                <w:bCs w:val="1"/>
                <w:color w:val="auto"/>
              </w:rPr>
              <w:t>Interested Trustees</w:t>
            </w:r>
            <w:r>
              <w:rPr>
                <w:rFonts w:ascii="Times New Roman" w:cs="Times New Roman" w:eastAsia="Times New Roman" w:hAnsi="Times New Roman"/>
                <w:sz w:val="21"/>
                <w:szCs w:val="21"/>
                <w:b w:val="1"/>
                <w:bCs w:val="1"/>
                <w:color w:val="auto"/>
                <w:vertAlign w:val="superscript"/>
              </w:rPr>
              <w:t>(1)</w:t>
            </w: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1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Independent Trustees</w:t>
            </w:r>
            <w:r>
              <w:rPr>
                <w:rFonts w:ascii="Times New Roman" w:cs="Times New Roman" w:eastAsia="Times New Roman" w:hAnsi="Times New Roman"/>
                <w:sz w:val="25"/>
                <w:szCs w:val="25"/>
                <w:b w:val="1"/>
                <w:bCs w:val="1"/>
                <w:color w:val="auto"/>
                <w:vertAlign w:val="superscript"/>
              </w:rPr>
              <w:t>(1)</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1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1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range of equity securities beneficially owned are: none, $1 – $10,000, $10,001 – $50,000, $50,001 – $100,000 or over $100,000.</w:t>
      </w:r>
    </w:p>
    <w:p>
      <w:pPr>
        <w:spacing w:after="0" w:line="1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500"/>
          </w:cols>
          <w:pgMar w:left="320" w:top="455" w:right="10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SHARES</w:t>
      </w:r>
    </w:p>
    <w:p>
      <w:pPr>
        <w:spacing w:after="0" w:line="229"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Delaware law and on our Declaration of Trust and bylaws. This summary is not necessarily complete, and we refer you to Delaware law, our Declaration of Trust and our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terms of the Second Amended and Restated Declaration of Trust (the “Declaration of Trust”) authorize an unlimited number of common shares. There is currently no market for the common shares, and there can be no assurance that a market for the common shares will develop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259"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0" w:type="dxa"/>
            <w:vAlign w:val="bottom"/>
          </w:tcPr>
          <w:p>
            <w:pPr>
              <w:spacing w:after="0"/>
              <w:rPr>
                <w:sz w:val="17"/>
                <w:szCs w:val="17"/>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Held by</w:t>
            </w:r>
          </w:p>
        </w:tc>
        <w:tc>
          <w:tcPr>
            <w:tcW w:w="6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376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20" w:type="dxa"/>
            <w:vAlign w:val="bottom"/>
            <w:gridSpan w:val="2"/>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8"/>
              </w:rPr>
              <w:t>Fund for its</w:t>
            </w:r>
          </w:p>
        </w:tc>
        <w:tc>
          <w:tcPr>
            <w:tcW w:w="164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0" w:type="dxa"/>
            <w:vAlign w:val="bottom"/>
          </w:tcPr>
          <w:p>
            <w:pPr>
              <w:spacing w:after="0"/>
              <w:rPr>
                <w:sz w:val="1"/>
                <w:szCs w:val="1"/>
                <w:color w:val="auto"/>
              </w:rPr>
            </w:pPr>
          </w:p>
        </w:tc>
      </w:tr>
      <w:tr>
        <w:trPr>
          <w:trHeight w:val="225"/>
        </w:trPr>
        <w:tc>
          <w:tcPr>
            <w:tcW w:w="920" w:type="dxa"/>
            <w:vAlign w:val="bottom"/>
            <w:tcBorders>
              <w:bottom w:val="single" w:sz="8" w:color="auto"/>
            </w:tcBorders>
            <w:vMerge w:val="continue"/>
          </w:tcPr>
          <w:p>
            <w:pPr>
              <w:spacing w:after="0"/>
              <w:rPr>
                <w:sz w:val="19"/>
                <w:szCs w:val="19"/>
                <w:color w:val="auto"/>
              </w:rPr>
            </w:pPr>
          </w:p>
        </w:tc>
        <w:tc>
          <w:tcPr>
            <w:tcW w:w="3760" w:type="dxa"/>
            <w:vAlign w:val="bottom"/>
            <w:vMerge w:val="continue"/>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6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Account</w:t>
            </w:r>
          </w:p>
        </w:tc>
        <w:tc>
          <w:tcPr>
            <w:tcW w:w="160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shares of beneficial interest, par value $0.001</w:t>
            </w:r>
          </w:p>
        </w:tc>
        <w:tc>
          <w:tcPr>
            <w:tcW w:w="7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Unlimited</w:t>
            </w: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144,703,043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our Board of Trustees and declared by us out of funds legally available therefore. Except as may be provided by our Board of Trustees in setting the terms of classified or reclassified shares, our common shares will have no preemptive, exchange, conversion, appraisal or redemption rights. In the event of our liquidation, dissolution or winding up, each of our common shares would be entitled to share pro rata in all of our assets that are legally available for distribution after we pay all debts and other liabilities and subject to any preferential rights of holders of our preferred shares, if any preferred shares are outstanding at such time. Subject to the rights of holders of any other class or series of shares, each whole share of our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our Board of Trustees may amend the Declaration of Trust to alter the vote required to elect trustees.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320" w:top="455" w:right="5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 an asset coverage ratio of total assets to total senior securities, which include all of our borrowings and preferred shares, of at least 150%; and</w:t>
      </w:r>
    </w:p>
    <w:p>
      <w:pPr>
        <w:spacing w:after="0" w:line="27" w:lineRule="exact"/>
        <w:rPr>
          <w:sz w:val="20"/>
          <w:szCs w:val="20"/>
          <w:color w:val="auto"/>
        </w:rPr>
      </w:pPr>
    </w:p>
    <w:p>
      <w:pPr>
        <w:ind w:right="40" w:firstLine="8"/>
        <w:spacing w:after="0" w:line="260"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Resale Restrictions</w:t>
      </w:r>
    </w:p>
    <w:p>
      <w:pPr>
        <w:spacing w:after="0" w:line="121"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Redemptions by the Company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were formed as a Delaware statutory trust and will remain in existence until dissolved in accordance with our Declaration of Trust or pursuant to Delaware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to be Bound by the Declaration of Trust; Power of Attorney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320" w:top="455" w:right="5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Actions by Shareholders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Declaration of Trust; No Approval by Shareholders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 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Conversion, Sale or Other Disposition of Assets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an exchange listing, the Board of Trustees is able to cause the Company to reorganize as a Maryland Corporation. The Board of Trustees may also cause the sale of all or substantially all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320" w:top="455" w:right="5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assets under a foreclosure or other realization without shareholder approval. Shareholders are not entitled to dissenters’ rights of 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Actions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Company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92"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Delaware Jurisdiction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 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 Board of Trustees or the shareholders, or (D) any provision of the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320" w:top="455" w:right="5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Delaware Statutory Trust Statute or other laws of the State of Delaware pertaining to trusts made applicable to 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the Company</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320" w:top="455" w:right="5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7" w:lineRule="exact"/>
        <w:rPr>
          <w:sz w:val="20"/>
          <w:szCs w:val="20"/>
          <w:color w:val="auto"/>
        </w:rPr>
      </w:pPr>
    </w:p>
    <w:p>
      <w:pPr>
        <w:ind w:firstLine="440"/>
        <w:spacing w:after="0" w:line="284"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under the heading “Dividend Reinvestment Plan” in Part I, Item I of the Company’s </w:t>
        </w:r>
        <w:r>
          <w:rPr>
            <w:rFonts w:ascii="Times New Roman" w:cs="Times New Roman" w:eastAsia="Times New Roman" w:hAnsi="Times New Roman"/>
            <w:sz w:val="18"/>
            <w:szCs w:val="18"/>
            <w:i w:val="1"/>
            <w:iCs w:val="1"/>
            <w:u w:val="single" w:color="auto"/>
            <w:color w:val="0000EE"/>
          </w:rPr>
          <w:t>Annual Report on Form 10-K for the fiscal</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year ended December 31, 2024</w:t>
        </w:r>
        <w:r>
          <w:rPr>
            <w:rFonts w:ascii="Times New Roman" w:cs="Times New Roman" w:eastAsia="Times New Roman" w:hAnsi="Times New Roman"/>
            <w:sz w:val="18"/>
            <w:szCs w:val="18"/>
            <w:i w:val="1"/>
            <w:iCs w:val="1"/>
            <w:color w:val="000000"/>
          </w:rPr>
          <w:t>, and Exhibit 10.4 thereto entitled “Dividend Reinvestment Plan” are incorporated herein by reference.</w:t>
        </w:r>
      </w:hyperlink>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840"/>
          </w:cols>
          <w:pgMar w:left="320" w:top="455" w:right="7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CUSTODIAN, TRANSFER AND DISTRIBUTION PAYING AGENT AND REGISTRAR</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State Street Bank and Trust Company serves as our transfer agent, distribution paying agent and registrar. The principal business address of State Street Bank and Trust Company is One Lincoln Street, Boston, Massachusetts 02111.</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320" w:top="455" w:right="6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Since we will generally acquire and dispose of our investments in privately negotiated transactions, we will infrequently use brokers in the normal course of our business. Subject to policies established by the Board of Trustees, if any, the Adviser will be primarily responsible for the execution of any publicly-traded securities portfolio transactions and the allocation of brokerage commissions. The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the Adviser generally will seek reasonably competitive trade execution costs, we will not necessarily pay the lowest spread or commission available. Subject to applicable legal requirements, the Adviser may select a broker based partly upon brokerage or research services provided to it and us and any other clients. In return for such services, we may pay a higher commission than other brokers would charge if the Adviser determines in good faith that such commission is reasonable in relation to the services provided.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320" w:top="455" w:right="5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Exchange Notes have been passed upon for the Company by Morris, Nichols, Arsht &amp; Tunnell LLP, Wilmington, Delaware, as special counsel to the Company. Simpson Thacher &amp; Bartlett LLP, Washington, DC, acts as counsel to the Company.</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Sixth Street Lending Partners as of December 31, 2024 and 2023, and for the years ended December 31, 2024 and 2023, and for the period from April 5, 2022 (inception) to December 31, 2022, incorporated by reference in this registration statement, have been audited by KPMG LLP, an independent registered public accounting firm, located at 345 Park Avenue, New York, NY 10154.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information with the SEC. These filings are available to the public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our Annual Reports on Form 10-K; our Quarterly Reports on Form 10-Q; our Current Reports on Form 8-K; Forms 3, 4 and 5, our trustees and our executive officers; and amendments to those documents. Our website also contains additional information with respect to our industry and businesses. The information contained on, or that may be accessed through, our website is not part of, and is not incorporated into, this prospectus (except for SEC filings expressly incorporated herein).</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40"/>
          </w:cols>
          <w:pgMar w:left="320" w:top="455"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documents listed below. The information that we incorporate by reference is considered to be part of this prospectus. Specifically, we incorporate by reference:</w:t>
      </w:r>
    </w:p>
    <w:p>
      <w:pPr>
        <w:spacing w:after="0" w:line="67" w:lineRule="exact"/>
        <w:rPr>
          <w:sz w:val="20"/>
          <w:szCs w:val="20"/>
          <w:color w:val="auto"/>
        </w:rPr>
      </w:pPr>
    </w:p>
    <w:p>
      <w:pPr>
        <w:ind w:left="980" w:hanging="432"/>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filed with the SEC on February 14, 2025;</w:t>
      </w:r>
    </w:p>
    <w:p>
      <w:pPr>
        <w:spacing w:after="0" w:line="130" w:lineRule="exact"/>
        <w:rPr>
          <w:rFonts w:ascii="Times New Roman" w:cs="Times New Roman" w:eastAsia="Times New Roman" w:hAnsi="Times New Roman"/>
          <w:sz w:val="18"/>
          <w:szCs w:val="18"/>
          <w:color w:val="auto"/>
        </w:rPr>
      </w:pPr>
    </w:p>
    <w:p>
      <w:pPr>
        <w:ind w:left="980" w:right="300" w:hanging="432"/>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158">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59">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May 2, 2025 and August 1, 2025, respectively; and</w:t>
      </w:r>
    </w:p>
    <w:p>
      <w:pPr>
        <w:spacing w:after="0" w:line="67" w:lineRule="exact"/>
        <w:rPr>
          <w:rFonts w:ascii="Times New Roman" w:cs="Times New Roman" w:eastAsia="Times New Roman" w:hAnsi="Times New Roman"/>
          <w:sz w:val="18"/>
          <w:szCs w:val="18"/>
          <w:color w:val="auto"/>
        </w:rPr>
      </w:pPr>
    </w:p>
    <w:p>
      <w:pPr>
        <w:ind w:left="980" w:right="600" w:hanging="432"/>
        <w:spacing w:after="0" w:line="282" w:lineRule="auto"/>
        <w:tabs>
          <w:tab w:leader="none" w:pos="980" w:val="left"/>
        </w:tabs>
        <w:numPr>
          <w:ilvl w:val="0"/>
          <w:numId w:val="3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(other than any information furnished rather than filed) filed with the SEC on </w:t>
      </w:r>
      <w:hyperlink r:id="rId160">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EE"/>
          </w:rPr>
          <w:t>January 17,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62">
        <w:r>
          <w:rPr>
            <w:rFonts w:ascii="Times New Roman" w:cs="Times New Roman" w:eastAsia="Times New Roman" w:hAnsi="Times New Roman"/>
            <w:sz w:val="18"/>
            <w:szCs w:val="18"/>
            <w:u w:val="single" w:color="auto"/>
            <w:color w:val="0000EE"/>
          </w:rPr>
          <w:t>March 7, 2025</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by reference herein, will be deemed to be modified or superseded for purposes of this prospectus to the extent that a statement contained herein or in any subsequently filed document that also is incorporated by reference herein modifies or supersedes such statement. Any such statements so modified or superseded will not be deemed, except as so modified or superseded, to constitute a part of this prospectus.</w:t>
      </w:r>
    </w:p>
    <w:p>
      <w:pPr>
        <w:spacing w:after="0" w:line="178" w:lineRule="exact"/>
        <w:rPr>
          <w:rFonts w:ascii="Times New Roman" w:cs="Times New Roman" w:eastAsia="Times New Roman" w:hAnsi="Times New Roman"/>
          <w:sz w:val="18"/>
          <w:szCs w:val="18"/>
          <w:color w:val="auto"/>
        </w:rPr>
      </w:pPr>
    </w:p>
    <w:p>
      <w:pPr>
        <w:ind w:right="6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You may obtain copies of these documents, at no cost to you, from our website at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or by writing or telephoning us at the following address:</w:t>
      </w:r>
    </w:p>
    <w:p>
      <w:pPr>
        <w:spacing w:after="0" w:line="160"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Dallas, TX 75201 (469) 621-3001</w:t>
      </w:r>
    </w:p>
    <w:p>
      <w:pPr>
        <w:spacing w:after="0" w:line="13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320" w:top="455" w:right="5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those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760" w:right="20" w:hanging="741"/>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(1)(a)</w:t>
      </w:r>
      <w:r>
        <w:rPr>
          <w:sz w:val="20"/>
          <w:szCs w:val="20"/>
          <w:color w:val="auto"/>
        </w:rPr>
        <w:tab/>
      </w:r>
      <w:hyperlink r:id="rId164">
        <w:r>
          <w:rPr>
            <w:rFonts w:ascii="Times New Roman" w:cs="Times New Roman" w:eastAsia="Times New Roman" w:hAnsi="Times New Roman"/>
            <w:sz w:val="18"/>
            <w:szCs w:val="18"/>
            <w:u w:val="single" w:color="auto"/>
            <w:color w:val="0000EE"/>
          </w:rPr>
          <w:t>Second Amended and Restated Declaration of Trust of the Registrant (incorporated by reference to Exhibit 3.1 to the Registrant’s Registration</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Statement on Form 10, filed on August 22, 2022)</w:t>
        </w:r>
      </w:hyperlink>
    </w:p>
    <w:p>
      <w:pPr>
        <w:spacing w:after="0" w:line="54"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Bylaws of the Registrant (incorporated by reference to Exhibit 3.2 to the Registrant’s Current Report on Form 10, filed on June 28, 2022)</w:t>
        </w:r>
      </w:hyperlink>
    </w:p>
    <w:p>
      <w:pPr>
        <w:spacing w:after="0" w:line="117" w:lineRule="exact"/>
        <w:rPr>
          <w:sz w:val="20"/>
          <w:szCs w:val="20"/>
          <w:color w:val="auto"/>
        </w:rPr>
      </w:pPr>
    </w:p>
    <w:p>
      <w:pPr>
        <w:ind w:left="760" w:right="340" w:hanging="752"/>
        <w:spacing w:after="0" w:line="282" w:lineRule="auto"/>
        <w:tabs>
          <w:tab w:leader="none" w:pos="760" w:val="left"/>
        </w:tabs>
        <w:numPr>
          <w:ilvl w:val="0"/>
          <w:numId w:val="39"/>
        </w:numPr>
        <w:rPr>
          <w:rFonts w:ascii="Times New Roman" w:cs="Times New Roman" w:eastAsia="Times New Roman" w:hAnsi="Times New Roman"/>
          <w:sz w:val="18"/>
          <w:szCs w:val="18"/>
          <w:u w:val="single" w:color="auto"/>
          <w:color w:val="0000EE"/>
        </w:rPr>
      </w:pPr>
      <w:hyperlink r:id="rId166">
        <w:r>
          <w:rPr>
            <w:rFonts w:ascii="Times New Roman" w:cs="Times New Roman" w:eastAsia="Times New Roman" w:hAnsi="Times New Roman"/>
            <w:sz w:val="18"/>
            <w:szCs w:val="18"/>
            <w:u w:val="single" w:color="auto"/>
            <w:color w:val="0000EE"/>
          </w:rPr>
          <w:t>Form of Subscription Agreement (included in the Prospectus as Appendix A) (incorporated by reference to Exhibit 4.1 to the Registrant’s</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Registration Statement on Form 10, filed on June 28, 2022)</w:t>
        </w:r>
      </w:hyperlink>
    </w:p>
    <w:p>
      <w:pPr>
        <w:spacing w:after="0" w:line="54" w:lineRule="exact"/>
        <w:rPr>
          <w:rFonts w:ascii="Times New Roman" w:cs="Times New Roman" w:eastAsia="Times New Roman" w:hAnsi="Times New Roman"/>
          <w:sz w:val="18"/>
          <w:szCs w:val="18"/>
          <w:color w:val="auto"/>
        </w:rPr>
      </w:pPr>
    </w:p>
    <w:p>
      <w:pPr>
        <w:ind w:left="760" w:right="20" w:hanging="741"/>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(5)(a)</w:t>
      </w:r>
      <w:r>
        <w:rPr>
          <w:sz w:val="20"/>
          <w:szCs w:val="20"/>
          <w:color w:val="auto"/>
        </w:rPr>
        <w:tab/>
      </w:r>
      <w:hyperlink r:id="rId167">
        <w:r>
          <w:rPr>
            <w:rFonts w:ascii="Times New Roman" w:cs="Times New Roman" w:eastAsia="Times New Roman" w:hAnsi="Times New Roman"/>
            <w:sz w:val="18"/>
            <w:szCs w:val="18"/>
            <w:u w:val="single" w:color="auto"/>
            <w:color w:val="0000EE"/>
          </w:rPr>
          <w:t>Indenture, dated as of March 11, 2024, between Sixth Street Lending Partners and U.S. Bank Trust Company, National Association, as trustee</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(incorporated by reference to Exhibit 4.1 to the Registrant’s Current Report on Form 8-K, filed on March 15, 2024)</w:t>
        </w:r>
      </w:hyperlink>
    </w:p>
    <w:p>
      <w:pPr>
        <w:spacing w:after="0" w:line="54" w:lineRule="exact"/>
        <w:rPr>
          <w:sz w:val="20"/>
          <w:szCs w:val="20"/>
          <w:color w:val="auto"/>
        </w:rPr>
      </w:pPr>
    </w:p>
    <w:p>
      <w:pPr>
        <w:ind w:left="760" w:hanging="741"/>
        <w:spacing w:after="0" w:line="266"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(5)(b)</w:t>
      </w:r>
      <w:r>
        <w:rPr>
          <w:sz w:val="20"/>
          <w:szCs w:val="20"/>
          <w:color w:val="auto"/>
        </w:rPr>
        <w:tab/>
      </w:r>
      <w:hyperlink r:id="rId168">
        <w:r>
          <w:rPr>
            <w:rFonts w:ascii="Times New Roman" w:cs="Times New Roman" w:eastAsia="Times New Roman" w:hAnsi="Times New Roman"/>
            <w:sz w:val="18"/>
            <w:szCs w:val="18"/>
            <w:u w:val="single" w:color="auto"/>
            <w:color w:val="0000EE"/>
          </w:rPr>
          <w:t>Fourth Supplemental Indenture, dated as of January 13, 2025, relating to the 6.125% Notes due 2030, between Sixth Street Lending Partners</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and U.S. Bank Trust Company, National Association, as trustee (incorporated by reference to Exhibit 4.2 to the Registrant’s Current Report on</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Form 8-K, filed on January 17, 2025)</w:t>
        </w:r>
      </w:hyperlink>
    </w:p>
    <w:p>
      <w:pPr>
        <w:spacing w:after="0" w:line="108"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320" w:top="455" w:right="5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20" w:right="64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(5)(c)</w:t>
      </w:r>
      <w:r>
        <w:rPr>
          <w:sz w:val="20"/>
          <w:szCs w:val="20"/>
          <w:color w:val="auto"/>
        </w:rPr>
        <w:tab/>
      </w:r>
      <w:hyperlink r:id="rId168">
        <w:r>
          <w:rPr>
            <w:rFonts w:ascii="Times New Roman" w:cs="Times New Roman" w:eastAsia="Times New Roman" w:hAnsi="Times New Roman"/>
            <w:sz w:val="18"/>
            <w:szCs w:val="18"/>
            <w:u w:val="single" w:color="auto"/>
            <w:color w:val="0000EE"/>
          </w:rPr>
          <w:t>Form of 6.125% Notes due 2030 (incorporated by reference to Exhibit 4.2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January 17, 2025)</w:t>
        </w:r>
      </w:hyperlink>
    </w:p>
    <w:p>
      <w:pPr>
        <w:spacing w:after="0" w:line="54" w:lineRule="exact"/>
        <w:rPr>
          <w:sz w:val="20"/>
          <w:szCs w:val="20"/>
          <w:color w:val="auto"/>
        </w:rPr>
      </w:pPr>
    </w:p>
    <w:p>
      <w:pPr>
        <w:ind w:left="920" w:right="8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(5)(d)</w:t>
      </w:r>
      <w:r>
        <w:rPr>
          <w:sz w:val="20"/>
          <w:szCs w:val="20"/>
          <w:color w:val="auto"/>
        </w:rPr>
        <w:tab/>
      </w:r>
      <w:hyperlink r:id="rId170">
        <w:r>
          <w:rPr>
            <w:rFonts w:ascii="Times New Roman" w:cs="Times New Roman" w:eastAsia="Times New Roman" w:hAnsi="Times New Roman"/>
            <w:sz w:val="18"/>
            <w:szCs w:val="18"/>
            <w:u w:val="single" w:color="auto"/>
            <w:color w:val="0000EE"/>
          </w:rPr>
          <w:t>Registration Rights Agreement, dated as of January 13, 2025, relating to the Notes, by and among Sixth Street Lending Partners and BofA</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Securities, Inc., as the representative of the initial purchasers (incorporated by reference to Exhibit 4.4 the Registrant’s Current Report on</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Form 8-K, filed on January 17, 2025)</w:t>
        </w:r>
      </w:hyperlink>
    </w:p>
    <w:p>
      <w:pPr>
        <w:spacing w:after="0" w:line="68" w:lineRule="exact"/>
        <w:rPr>
          <w:rFonts w:ascii="Times New Roman" w:cs="Times New Roman" w:eastAsia="Times New Roman" w:hAnsi="Times New Roman"/>
          <w:sz w:val="18"/>
          <w:szCs w:val="18"/>
          <w:u w:val="single" w:color="auto"/>
          <w:color w:val="0000EE"/>
        </w:rPr>
      </w:pPr>
    </w:p>
    <w:p>
      <w:pPr>
        <w:ind w:left="920" w:right="1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(6)(a)</w:t>
      </w:r>
      <w:r>
        <w:rPr>
          <w:sz w:val="20"/>
          <w:szCs w:val="20"/>
          <w:color w:val="auto"/>
        </w:rPr>
        <w:tab/>
      </w:r>
      <w:hyperlink r:id="rId171">
        <w:r>
          <w:rPr>
            <w:rFonts w:ascii="Times New Roman" w:cs="Times New Roman" w:eastAsia="Times New Roman" w:hAnsi="Times New Roman"/>
            <w:sz w:val="18"/>
            <w:szCs w:val="18"/>
            <w:u w:val="single" w:color="auto"/>
            <w:color w:val="0000EE"/>
          </w:rPr>
          <w:t>Investment Advisory and Management Agreement between the Registrant and Adviser, dated June 28, 2022 (incorporated by reference to</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Exhibit 10.1 to the Registrant’s Registration Statement on Form 10, filed on June 28, 2022)</w:t>
        </w:r>
      </w:hyperlink>
    </w:p>
    <w:p>
      <w:pPr>
        <w:spacing w:after="0" w:line="54" w:lineRule="exact"/>
        <w:rPr>
          <w:sz w:val="20"/>
          <w:szCs w:val="20"/>
          <w:color w:val="auto"/>
        </w:rPr>
      </w:pPr>
    </w:p>
    <w:p>
      <w:pPr>
        <w:ind w:left="920" w:right="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(6)(b)</w:t>
      </w:r>
      <w:r>
        <w:rPr>
          <w:sz w:val="20"/>
          <w:szCs w:val="20"/>
          <w:color w:val="auto"/>
        </w:rPr>
        <w:tab/>
      </w:r>
      <w:hyperlink r:id="rId172">
        <w:r>
          <w:rPr>
            <w:rFonts w:ascii="Times New Roman" w:cs="Times New Roman" w:eastAsia="Times New Roman" w:hAnsi="Times New Roman"/>
            <w:sz w:val="18"/>
            <w:szCs w:val="18"/>
            <w:u w:val="single" w:color="auto"/>
            <w:color w:val="0000EE"/>
          </w:rPr>
          <w:t>Administration Agreement between the Registrant and the Administrator, dated June 28, 2022 (incorporated by reference to Exhibit 10.2 to</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the Registrant’s Registration Statement on Form 10 filed, on June 28, 2022)</w:t>
        </w:r>
      </w:hyperlink>
    </w:p>
    <w:p>
      <w:pPr>
        <w:spacing w:after="0" w:line="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(11)(a)</w:t>
      </w:r>
      <w:r>
        <w:rPr>
          <w:sz w:val="20"/>
          <w:szCs w:val="20"/>
          <w:color w:val="auto"/>
        </w:rPr>
        <w:tab/>
      </w:r>
      <w:r>
        <w:rPr>
          <w:rFonts w:ascii="Times New Roman" w:cs="Times New Roman" w:eastAsia="Times New Roman" w:hAnsi="Times New Roman"/>
          <w:sz w:val="17"/>
          <w:szCs w:val="17"/>
          <w:u w:val="single" w:color="auto"/>
          <w:color w:val="0000EE"/>
        </w:rPr>
        <w:t>Opinion of Morris, Nichols, Arsht &amp; Tunnell LLP*</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(11)(b)</w:t>
      </w:r>
      <w:r>
        <w:rPr>
          <w:sz w:val="20"/>
          <w:szCs w:val="20"/>
          <w:color w:val="auto"/>
        </w:rPr>
        <w:tab/>
      </w:r>
      <w:r>
        <w:rPr>
          <w:rFonts w:ascii="Times New Roman" w:cs="Times New Roman" w:eastAsia="Times New Roman" w:hAnsi="Times New Roman"/>
          <w:sz w:val="17"/>
          <w:szCs w:val="17"/>
          <w:u w:val="single" w:color="auto"/>
          <w:color w:val="0000EE"/>
        </w:rPr>
        <w:t>Opinion of Simpson Thacher &amp; Bartlett LLP*</w:t>
      </w:r>
    </w:p>
    <w:p>
      <w:pPr>
        <w:spacing w:after="0" w:line="117" w:lineRule="exact"/>
        <w:rPr>
          <w:sz w:val="20"/>
          <w:szCs w:val="20"/>
          <w:color w:val="auto"/>
        </w:rPr>
      </w:pPr>
    </w:p>
    <w:p>
      <w:pPr>
        <w:ind w:left="920" w:right="640" w:hanging="912"/>
        <w:spacing w:after="0" w:line="282"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Opinion and Consent of Simpson Thacher &amp; Bartlett LLP supporting tax matters and consequences to Noteholders discussed in the prospectus*</w:t>
      </w:r>
    </w:p>
    <w:p>
      <w:pPr>
        <w:spacing w:after="0" w:line="54" w:lineRule="exact"/>
        <w:rPr>
          <w:sz w:val="20"/>
          <w:szCs w:val="20"/>
          <w:color w:val="auto"/>
        </w:rPr>
      </w:pPr>
    </w:p>
    <w:p>
      <w:pPr>
        <w:ind w:left="920" w:right="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(13)(b)</w:t>
      </w:r>
      <w:r>
        <w:rPr>
          <w:sz w:val="20"/>
          <w:szCs w:val="20"/>
          <w:color w:val="auto"/>
        </w:rPr>
        <w:tab/>
      </w:r>
      <w:hyperlink r:id="rId173">
        <w:r>
          <w:rPr>
            <w:rFonts w:ascii="Times New Roman" w:cs="Times New Roman" w:eastAsia="Times New Roman" w:hAnsi="Times New Roman"/>
            <w:sz w:val="18"/>
            <w:szCs w:val="18"/>
            <w:u w:val="single" w:color="auto"/>
            <w:color w:val="0000EE"/>
          </w:rPr>
          <w:t>Expense Support and Conditional Reimbursement Agreement by and among the Registrant and Adviser, dated June 28, 2022 (incorporated</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by reference to Exhibit 10.5 to the Registrant’s Registration Statement on Form 10, filed on June 28, 2022)</w:t>
        </w:r>
      </w:hyperlink>
    </w:p>
    <w:p>
      <w:pPr>
        <w:spacing w:after="0" w:line="54" w:lineRule="exact"/>
        <w:rPr>
          <w:sz w:val="20"/>
          <w:szCs w:val="20"/>
          <w:color w:val="auto"/>
        </w:rPr>
      </w:pPr>
    </w:p>
    <w:p>
      <w:pPr>
        <w:ind w:left="9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(13)(c)</w:t>
      </w:r>
      <w:r>
        <w:rPr>
          <w:sz w:val="20"/>
          <w:szCs w:val="20"/>
          <w:color w:val="auto"/>
        </w:rPr>
        <w:tab/>
      </w:r>
      <w:hyperlink r:id="rId174">
        <w:r>
          <w:rPr>
            <w:rFonts w:ascii="Times New Roman" w:cs="Times New Roman" w:eastAsia="Times New Roman" w:hAnsi="Times New Roman"/>
            <w:sz w:val="18"/>
            <w:szCs w:val="18"/>
            <w:u w:val="single" w:color="auto"/>
            <w:color w:val="0000EE"/>
          </w:rPr>
          <w:t>Trademark and License Agreement (incorporated by reference to Exhibit 10.3 to the Company’s Registration Statement on Form 10 filed on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June 28, 2022)</w:t>
        </w:r>
      </w:hyperlink>
    </w:p>
    <w:p>
      <w:pPr>
        <w:spacing w:after="0" w:line="54" w:lineRule="exact"/>
        <w:rPr>
          <w:sz w:val="20"/>
          <w:szCs w:val="20"/>
          <w:color w:val="auto"/>
        </w:rPr>
      </w:pPr>
    </w:p>
    <w:p>
      <w:pPr>
        <w:ind w:left="920" w:right="1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(13)(d)</w:t>
      </w:r>
      <w:r>
        <w:rPr>
          <w:sz w:val="20"/>
          <w:szCs w:val="20"/>
          <w:color w:val="auto"/>
        </w:rPr>
        <w:tab/>
      </w:r>
      <w:hyperlink r:id="rId175">
        <w:r>
          <w:rPr>
            <w:rFonts w:ascii="Times New Roman" w:cs="Times New Roman" w:eastAsia="Times New Roman" w:hAnsi="Times New Roman"/>
            <w:sz w:val="18"/>
            <w:szCs w:val="18"/>
            <w:u w:val="single" w:color="auto"/>
            <w:color w:val="0000EE"/>
          </w:rPr>
          <w:t>Dividend Reinvestment Plan, dated June 28, 2022 (incorporated by reference to Exhibit 10.4 to the Registrant’s Registration Statement on</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Form 10 filed on June 28, 2022)</w:t>
        </w:r>
      </w:hyperlink>
    </w:p>
    <w:p>
      <w:pPr>
        <w:spacing w:after="0" w:line="54" w:lineRule="exact"/>
        <w:rPr>
          <w:sz w:val="20"/>
          <w:szCs w:val="20"/>
          <w:color w:val="auto"/>
        </w:rPr>
      </w:pPr>
    </w:p>
    <w:p>
      <w:pPr>
        <w:ind w:left="920" w:right="90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(13)(e)</w:t>
      </w:r>
      <w:r>
        <w:rPr>
          <w:sz w:val="20"/>
          <w:szCs w:val="20"/>
          <w:color w:val="auto"/>
        </w:rPr>
        <w:tab/>
      </w:r>
      <w:hyperlink r:id="rId176">
        <w:r>
          <w:rPr>
            <w:rFonts w:ascii="Times New Roman" w:cs="Times New Roman" w:eastAsia="Times New Roman" w:hAnsi="Times New Roman"/>
            <w:sz w:val="18"/>
            <w:szCs w:val="18"/>
            <w:u w:val="single" w:color="auto"/>
            <w:color w:val="0000EE"/>
          </w:rPr>
          <w:t>Fund of Funds Agreement between Sixth Street Lending Partners and Cliffwater Corporate Lending Fund, dated June 30, 2022</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(incorporated by reference to Exhibit 10.6 to the Registrant’s Registration Statement on Form 10, filed on August 22, 2022)</w:t>
        </w:r>
      </w:hyperlink>
    </w:p>
    <w:p>
      <w:pPr>
        <w:spacing w:after="0" w:line="54" w:lineRule="exact"/>
        <w:rPr>
          <w:sz w:val="20"/>
          <w:szCs w:val="20"/>
          <w:color w:val="auto"/>
        </w:rPr>
      </w:pPr>
    </w:p>
    <w:p>
      <w:pPr>
        <w:ind w:left="920" w:right="34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(13)(f)</w:t>
      </w:r>
      <w:r>
        <w:rPr>
          <w:sz w:val="20"/>
          <w:szCs w:val="20"/>
          <w:color w:val="auto"/>
        </w:rPr>
        <w:tab/>
      </w:r>
      <w:hyperlink r:id="rId177">
        <w:r>
          <w:rPr>
            <w:rFonts w:ascii="Times New Roman" w:cs="Times New Roman" w:eastAsia="Times New Roman" w:hAnsi="Times New Roman"/>
            <w:sz w:val="18"/>
            <w:szCs w:val="18"/>
            <w:u w:val="single" w:color="auto"/>
            <w:color w:val="0000EE"/>
          </w:rPr>
          <w:t>Revolving Credit Agreement, dated as of September 1, 2022, by and among Sixth Street Lending Partners and Wells Fargo Bank, N.A.</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(incorporated by reference to Exhibit 10.1 to the Registrant’s Current Report on Form 8-K, filed on September 6, 2022)</w:t>
        </w:r>
      </w:hyperlink>
    </w:p>
    <w:p>
      <w:pPr>
        <w:spacing w:after="0" w:line="54" w:lineRule="exact"/>
        <w:rPr>
          <w:sz w:val="20"/>
          <w:szCs w:val="20"/>
          <w:color w:val="auto"/>
        </w:rPr>
      </w:pPr>
    </w:p>
    <w:p>
      <w:pPr>
        <w:ind w:left="920" w:right="6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(13)(g)</w:t>
      </w:r>
      <w:r>
        <w:rPr>
          <w:sz w:val="20"/>
          <w:szCs w:val="20"/>
          <w:color w:val="auto"/>
        </w:rPr>
        <w:tab/>
      </w:r>
      <w:hyperlink r:id="rId178">
        <w:r>
          <w:rPr>
            <w:rFonts w:ascii="Times New Roman" w:cs="Times New Roman" w:eastAsia="Times New Roman" w:hAnsi="Times New Roman"/>
            <w:sz w:val="18"/>
            <w:szCs w:val="18"/>
            <w:u w:val="single" w:color="auto"/>
            <w:color w:val="0000EE"/>
          </w:rPr>
          <w:t>Lender Joinder and First Amendment to Revolving Credit Agreement, dated as of December 21, 2022, by and among Sixth Street Lending</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Partners and Wells Fargo Bank, N.A. (incorporated by reference to Exhibit 10.1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December 22, 2022)</w:t>
        </w:r>
      </w:hyperlink>
    </w:p>
    <w:p>
      <w:pPr>
        <w:spacing w:after="0" w:line="68" w:lineRule="exact"/>
        <w:rPr>
          <w:rFonts w:ascii="Times New Roman" w:cs="Times New Roman" w:eastAsia="Times New Roman" w:hAnsi="Times New Roman"/>
          <w:sz w:val="18"/>
          <w:szCs w:val="18"/>
          <w:u w:val="single" w:color="auto"/>
          <w:color w:val="0000EE"/>
        </w:rPr>
      </w:pPr>
    </w:p>
    <w:p>
      <w:pPr>
        <w:ind w:left="920" w:right="1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(13)(h)</w:t>
      </w:r>
      <w:r>
        <w:rPr>
          <w:sz w:val="20"/>
          <w:szCs w:val="20"/>
          <w:color w:val="auto"/>
        </w:rPr>
        <w:tab/>
      </w:r>
      <w:hyperlink r:id="rId179">
        <w:r>
          <w:rPr>
            <w:rFonts w:ascii="Times New Roman" w:cs="Times New Roman" w:eastAsia="Times New Roman" w:hAnsi="Times New Roman"/>
            <w:sz w:val="18"/>
            <w:szCs w:val="18"/>
            <w:u w:val="single" w:color="auto"/>
            <w:color w:val="0000EE"/>
          </w:rPr>
          <w:t>Senior Secured Revolving Credit Agreement, dated January 19, 2023, by and among Sixth Street Lending Partners, the Lenders and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Issuing Banks party thereto and Truist Bank as Administrative Agent (incorporated by reference to Exhibit 10.1 to the Registrant’s Current</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Report on Form 8-K, filed on January 24, 2022)</w:t>
        </w:r>
      </w:hyperlink>
    </w:p>
    <w:p>
      <w:pPr>
        <w:spacing w:after="0" w:line="68" w:lineRule="exact"/>
        <w:rPr>
          <w:rFonts w:ascii="Times New Roman" w:cs="Times New Roman" w:eastAsia="Times New Roman" w:hAnsi="Times New Roman"/>
          <w:sz w:val="18"/>
          <w:szCs w:val="18"/>
          <w:u w:val="single" w:color="auto"/>
          <w:color w:val="0000EE"/>
        </w:rPr>
      </w:pPr>
    </w:p>
    <w:p>
      <w:pPr>
        <w:ind w:left="920" w:right="18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(13)(i)</w:t>
      </w:r>
      <w:r>
        <w:rPr>
          <w:sz w:val="20"/>
          <w:szCs w:val="20"/>
          <w:color w:val="auto"/>
        </w:rPr>
        <w:tab/>
      </w:r>
      <w:hyperlink r:id="rId180">
        <w:r>
          <w:rPr>
            <w:rFonts w:ascii="Times New Roman" w:cs="Times New Roman" w:eastAsia="Times New Roman" w:hAnsi="Times New Roman"/>
            <w:sz w:val="18"/>
            <w:szCs w:val="18"/>
            <w:u w:val="single" w:color="auto"/>
            <w:color w:val="0000EE"/>
          </w:rPr>
          <w:t>First Amendment to Senior Secured Revolving Credit Agreement, dated as of February 8, 2024, among Sixth Street Lending Partners, as</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Borrower, the Lenders and Issuing Banks party thereto and Truist Bank, as Administrative Agent (incorporated by reference to the</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Registrant’s Current Report on Form 8-K, filed on February 9, 2024)</w:t>
        </w:r>
      </w:hyperlink>
    </w:p>
    <w:p>
      <w:pPr>
        <w:spacing w:after="0" w:line="68" w:lineRule="exact"/>
        <w:rPr>
          <w:rFonts w:ascii="Times New Roman" w:cs="Times New Roman" w:eastAsia="Times New Roman" w:hAnsi="Times New Roman"/>
          <w:sz w:val="18"/>
          <w:szCs w:val="18"/>
          <w:u w:val="single" w:color="auto"/>
          <w:color w:val="0000EE"/>
        </w:rPr>
      </w:pPr>
    </w:p>
    <w:p>
      <w:pPr>
        <w:ind w:left="920" w:right="30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(13)(j)</w:t>
      </w:r>
      <w:r>
        <w:rPr>
          <w:sz w:val="20"/>
          <w:szCs w:val="20"/>
          <w:color w:val="auto"/>
        </w:rPr>
        <w:tab/>
      </w:r>
      <w:hyperlink r:id="rId181">
        <w:r>
          <w:rPr>
            <w:rFonts w:ascii="Times New Roman" w:cs="Times New Roman" w:eastAsia="Times New Roman" w:hAnsi="Times New Roman"/>
            <w:sz w:val="18"/>
            <w:szCs w:val="18"/>
            <w:u w:val="single" w:color="auto"/>
            <w:color w:val="0000EE"/>
          </w:rPr>
          <w:t>Third Amendment to Senior Secured Revolving Credit Agreement, dated as of March 4, 2025, among Sixth Street Lending Partners, as</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Borrower, the Lenders and Issuing Banks party thereto and Truist Bank, as Administrative Agent (incorporated by reference to the</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Registrant’s Quarterly Report on Form 10-Q, filed on May 2, 2025)</w:t>
        </w:r>
      </w:hyperlink>
    </w:p>
    <w:p>
      <w:pPr>
        <w:spacing w:after="0" w:line="68" w:lineRule="exact"/>
        <w:rPr>
          <w:rFonts w:ascii="Times New Roman" w:cs="Times New Roman" w:eastAsia="Times New Roman" w:hAnsi="Times New Roman"/>
          <w:sz w:val="18"/>
          <w:szCs w:val="18"/>
          <w:u w:val="single" w:color="auto"/>
          <w:color w:val="0000EE"/>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(14)(a)</w:t>
      </w:r>
      <w:r>
        <w:rPr>
          <w:sz w:val="20"/>
          <w:szCs w:val="20"/>
          <w:color w:val="auto"/>
        </w:rPr>
        <w:tab/>
      </w:r>
      <w:r>
        <w:rPr>
          <w:rFonts w:ascii="Times New Roman" w:cs="Times New Roman" w:eastAsia="Times New Roman" w:hAnsi="Times New Roman"/>
          <w:sz w:val="18"/>
          <w:szCs w:val="18"/>
          <w:u w:val="single" w:color="auto"/>
          <w:color w:val="0000EE"/>
        </w:rPr>
        <w:t>Consent of KPMG LLP*</w:t>
      </w:r>
    </w:p>
    <w:p>
      <w:pPr>
        <w:spacing w:after="0" w:line="158"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320" w:top="455" w:right="5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20" w:right="36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(14)(b)</w:t>
      </w:r>
      <w:r>
        <w:rPr>
          <w:sz w:val="20"/>
          <w:szCs w:val="20"/>
          <w:color w:val="auto"/>
        </w:rPr>
        <w:tab/>
      </w:r>
      <w:hyperlink r:id="rId183">
        <w:r>
          <w:rPr>
            <w:rFonts w:ascii="Times New Roman" w:cs="Times New Roman" w:eastAsia="Times New Roman" w:hAnsi="Times New Roman"/>
            <w:sz w:val="18"/>
            <w:szCs w:val="18"/>
            <w:u w:val="single" w:color="auto"/>
            <w:color w:val="0000EE"/>
          </w:rPr>
          <w:t>Report of KPMG LLP regarding the senior securities table (incorporated by reference to Exhibit 99.1 to Registrant’s Annual Report on</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Form 10-K, filed on February 14, 2025)</w:t>
        </w:r>
      </w:hyperlink>
    </w:p>
    <w:p>
      <w:pPr>
        <w:spacing w:after="0" w:line="54" w:lineRule="exact"/>
        <w:rPr>
          <w:sz w:val="20"/>
          <w:szCs w:val="20"/>
          <w:color w:val="auto"/>
        </w:rPr>
      </w:pPr>
    </w:p>
    <w:p>
      <w:pPr>
        <w:ind w:left="920" w:right="340" w:hanging="912"/>
        <w:spacing w:after="0" w:line="282" w:lineRule="auto"/>
        <w:tabs>
          <w:tab w:leader="none" w:pos="920" w:val="left"/>
        </w:tabs>
        <w:numPr>
          <w:ilvl w:val="0"/>
          <w:numId w:val="41"/>
        </w:numPr>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Power of Attorney (incorporated by reference to Exhibit (16) to Registrant’s Registration Statement on Form N-14, filed on August 28,</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2025)</w:t>
        </w:r>
      </w:hyperlink>
    </w:p>
    <w:p>
      <w:pPr>
        <w:spacing w:after="0" w:line="54" w:lineRule="exact"/>
        <w:rPr>
          <w:rFonts w:ascii="Times New Roman" w:cs="Times New Roman" w:eastAsia="Times New Roman" w:hAnsi="Times New Roman"/>
          <w:sz w:val="18"/>
          <w:szCs w:val="18"/>
          <w:color w:val="auto"/>
        </w:rPr>
      </w:pPr>
    </w:p>
    <w:p>
      <w:pPr>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(17)(a)</w:t>
      </w:r>
      <w:r>
        <w:rPr>
          <w:sz w:val="20"/>
          <w:szCs w:val="20"/>
          <w:color w:val="auto"/>
        </w:rPr>
        <w:tab/>
      </w:r>
      <w:hyperlink r:id="rId185">
        <w:r>
          <w:rPr>
            <w:rFonts w:ascii="Times New Roman" w:cs="Times New Roman" w:eastAsia="Times New Roman" w:hAnsi="Times New Roman"/>
            <w:sz w:val="17"/>
            <w:szCs w:val="17"/>
            <w:u w:val="single" w:color="auto"/>
            <w:color w:val="0000EE"/>
          </w:rPr>
          <w:t>Statement of Eligibility on Form T-1 of U.S. Bank Trust Company, National Association, as trustee (incorporated by reference to Exhibit</w:t>
        </w:r>
      </w:hyperlink>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u w:val="single" w:color="auto"/>
          <w:color w:val="0000EE"/>
        </w:rPr>
      </w:pPr>
      <w:hyperlink r:id="rId185">
        <w:r>
          <w:rPr>
            <w:rFonts w:ascii="Times New Roman" w:cs="Times New Roman" w:eastAsia="Times New Roman" w:hAnsi="Times New Roman"/>
            <w:sz w:val="18"/>
            <w:szCs w:val="18"/>
            <w:u w:val="single" w:color="auto"/>
            <w:color w:val="0000EE"/>
          </w:rPr>
          <w:t>(17)(a) to Registrant’s Registration Statement on Form N-14, filed on August 28, 2025)</w:t>
        </w:r>
      </w:hyperlink>
    </w:p>
    <w:p>
      <w:pPr>
        <w:spacing w:after="0" w:line="99" w:lineRule="exact"/>
        <w:rPr>
          <w:rFonts w:ascii="Times New Roman" w:cs="Times New Roman" w:eastAsia="Times New Roman" w:hAnsi="Times New Roman"/>
          <w:sz w:val="18"/>
          <w:szCs w:val="18"/>
          <w:color w:val="auto"/>
        </w:rPr>
      </w:pPr>
    </w:p>
    <w:p>
      <w:pPr>
        <w:ind w:left="920" w:right="18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(17)(b)</w:t>
      </w:r>
      <w:r>
        <w:rPr>
          <w:sz w:val="20"/>
          <w:szCs w:val="20"/>
          <w:color w:val="auto"/>
        </w:rPr>
        <w:tab/>
      </w:r>
      <w:hyperlink r:id="rId186">
        <w:r>
          <w:rPr>
            <w:rFonts w:ascii="Times New Roman" w:cs="Times New Roman" w:eastAsia="Times New Roman" w:hAnsi="Times New Roman"/>
            <w:sz w:val="18"/>
            <w:szCs w:val="18"/>
            <w:u w:val="single" w:color="auto"/>
            <w:color w:val="0000EE"/>
          </w:rPr>
          <w:t>Form of Letter of Transmittal (incorporated by reference to Exhibit (17)(b) to Registrant’s Registration Statement on Form N-14, filed on</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August 28, 2025)</w:t>
        </w:r>
      </w:hyperlink>
    </w:p>
    <w:p>
      <w:pPr>
        <w:spacing w:after="0" w:line="54" w:lineRule="exact"/>
        <w:rPr>
          <w:sz w:val="20"/>
          <w:szCs w:val="20"/>
          <w:color w:val="auto"/>
        </w:rPr>
      </w:pPr>
    </w:p>
    <w:p>
      <w:pPr>
        <w:ind w:right="40" w:firstLine="8"/>
        <w:spacing w:after="0" w:line="501" w:lineRule="auto"/>
        <w:tabs>
          <w:tab w:leader="none" w:pos="918" w:val="left"/>
        </w:tabs>
        <w:numPr>
          <w:ilvl w:val="0"/>
          <w:numId w:val="42"/>
        </w:numPr>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Filing Fee Table (incorporated by reference to Exhibit (18) to Registrant’s Registration Statement on Form N-14, filed on August 28, 2025)</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sz w:val="20"/>
          <w:szCs w:val="20"/>
          <w:color w:val="auto"/>
        </w:rPr>
      </w:pPr>
    </w:p>
    <w:p>
      <w:pPr>
        <w:ind w:left="440" w:hanging="432"/>
        <w:spacing w:after="0" w:line="261"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prior to any public reoffering of the securities registered through the use of a prospectus which is a part of this registration statement by any person or party who is deemed to be an underwriter within the meaning of Rule 145(c) of the 1933 Act, the reoffering prospectus will contain the information called for by the applicable registration form for the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440" w:right="180" w:hanging="432"/>
        <w:spacing w:after="0" w:line="261"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every prospectus that is filed under paragraph (1) above will be filed as a part of an amendment to the registration statement and will not be used until the amendment is effective, and that, in determining any liability under the 1933 Act, each post-effective amendment will be deemed to be a new registration statement for the securities offered therein, and the offering of the securities at that time will be deemed to be the initial bona fide offering of them.</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320" w:top="455"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behalf of the Registrant, in New York, New York on the 1st day of October, 2025.</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As required by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 Trustee and Chairman of the Board of</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Joshua Easterly</w:t>
            </w:r>
          </w:p>
        </w:tc>
        <w:tc>
          <w:tcPr>
            <w:tcW w:w="100" w:type="dxa"/>
            <w:vAlign w:val="bottom"/>
          </w:tcPr>
          <w:p>
            <w:pPr>
              <w:spacing w:after="0"/>
              <w:rPr>
                <w:sz w:val="20"/>
                <w:szCs w:val="20"/>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Trustees (Principal Executive Officer)</w:t>
            </w: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Ian Simmonds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Deputy Chief Financial Officer (Principal Accounting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Graf</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 and Chairman of the Audit Committee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Judy Slotkin</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Jennifer Gordon</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Richard A. Higginbotham</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Hurley Doddy</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Stiepleman</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K. Tanemura</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5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Joshua Easterly</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89"/>
        </w:trPr>
        <w:tc>
          <w:tcPr>
            <w:tcW w:w="440" w:type="dxa"/>
            <w:vAlign w:val="bottom"/>
          </w:tcPr>
          <w:p>
            <w:pPr>
              <w:spacing w:after="0"/>
              <w:rPr>
                <w:sz w:val="16"/>
                <w:szCs w:val="16"/>
                <w:color w:val="auto"/>
              </w:rPr>
            </w:pPr>
          </w:p>
        </w:tc>
        <w:tc>
          <w:tcPr>
            <w:tcW w:w="324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Joshua Easterly</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36"/>
        </w:trPr>
        <w:tc>
          <w:tcPr>
            <w:tcW w:w="440" w:type="dxa"/>
            <w:vAlign w:val="bottom"/>
          </w:tcPr>
          <w:p>
            <w:pPr>
              <w:spacing w:after="0"/>
              <w:rPr>
                <w:sz w:val="20"/>
                <w:szCs w:val="20"/>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198"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original powers of attorney authorizing Joshua Easterly, Ian Simmonds, David Stiepleman, Jennifer Gordon and Anton Brett to execute the Registration Statement, and any amendments thereto, for the trustees of the Registrant on whose behalf this Registration Statement is filed have been executed and filed as exhibits 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320" w:top="455" w:right="5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ORRIS</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4"/>
          <w:szCs w:val="14"/>
          <w:b w:val="1"/>
          <w:bCs w:val="1"/>
          <w:color w:val="auto"/>
        </w:rPr>
        <w:t>ICHOLS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RSHT</w:t>
      </w:r>
      <w:r>
        <w:rPr>
          <w:rFonts w:ascii="Times New Roman" w:cs="Times New Roman" w:eastAsia="Times New Roman" w:hAnsi="Times New Roman"/>
          <w:sz w:val="18"/>
          <w:szCs w:val="18"/>
          <w:b w:val="1"/>
          <w:bCs w:val="1"/>
          <w:color w:val="auto"/>
        </w:rPr>
        <w:t xml:space="preserve"> &amp; T</w:t>
      </w:r>
      <w:r>
        <w:rPr>
          <w:rFonts w:ascii="Times New Roman" w:cs="Times New Roman" w:eastAsia="Times New Roman" w:hAnsi="Times New Roman"/>
          <w:sz w:val="14"/>
          <w:szCs w:val="14"/>
          <w:b w:val="1"/>
          <w:bCs w:val="1"/>
          <w:color w:val="auto"/>
        </w:rPr>
        <w:t>UNNELL LLP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1201 N</w:t>
      </w:r>
      <w:r>
        <w:rPr>
          <w:rFonts w:ascii="Times New Roman" w:cs="Times New Roman" w:eastAsia="Times New Roman" w:hAnsi="Times New Roman"/>
          <w:sz w:val="14"/>
          <w:szCs w:val="14"/>
          <w:color w:val="auto"/>
        </w:rPr>
        <w:t>ORTH</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ARKET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 B</w:t>
      </w:r>
      <w:r>
        <w:rPr>
          <w:rFonts w:ascii="Times New Roman" w:cs="Times New Roman" w:eastAsia="Times New Roman" w:hAnsi="Times New Roman"/>
          <w:sz w:val="14"/>
          <w:szCs w:val="14"/>
          <w:color w:val="auto"/>
        </w:rPr>
        <w:t>OX</w:t>
      </w:r>
      <w:r>
        <w:rPr>
          <w:rFonts w:ascii="Times New Roman" w:cs="Times New Roman" w:eastAsia="Times New Roman" w:hAnsi="Times New Roman"/>
          <w:sz w:val="18"/>
          <w:szCs w:val="18"/>
          <w:color w:val="auto"/>
        </w:rPr>
        <w:t xml:space="preserve"> 1347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ILMINGTON</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ELAWARE</w:t>
      </w:r>
      <w:r>
        <w:rPr>
          <w:rFonts w:ascii="Times New Roman" w:cs="Times New Roman" w:eastAsia="Times New Roman" w:hAnsi="Times New Roman"/>
          <w:sz w:val="18"/>
          <w:szCs w:val="18"/>
          <w:color w:val="auto"/>
        </w:rPr>
        <w:t xml:space="preserve"> 19899-1347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228600</wp:posOffset>
            </wp:positionV>
            <wp:extent cx="1474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380" w:hanging="426"/>
        <w:spacing w:after="0"/>
        <w:tabs>
          <w:tab w:leader="none" w:pos="5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658-9200</w:t>
      </w:r>
    </w:p>
    <w:p>
      <w:pPr>
        <w:spacing w:after="0" w:line="27" w:lineRule="exact"/>
        <w:rPr>
          <w:rFonts w:ascii="Times New Roman" w:cs="Times New Roman" w:eastAsia="Times New Roman" w:hAnsi="Times New Roman"/>
          <w:sz w:val="18"/>
          <w:szCs w:val="18"/>
          <w:color w:val="auto"/>
        </w:rPr>
      </w:pPr>
    </w:p>
    <w:p>
      <w:pPr>
        <w:ind w:left="5200" w:hanging="442"/>
        <w:spacing w:after="0"/>
        <w:tabs>
          <w:tab w:leader="none" w:pos="5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658-3989 FAX</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 2025</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Sixth Street Lending Partners</w:t>
      </w:r>
    </w:p>
    <w:p>
      <w:pPr>
        <w:spacing w:after="0" w:line="252"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Sixth Street Lending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We have acted as special Delaware counsel to Sixth Street Lending Partners, a Delaware statutory trust (the “Trust”), in connection with certain matters of Delaware law set forth below.</w:t>
      </w:r>
    </w:p>
    <w:p>
      <w:pPr>
        <w:spacing w:after="0" w:line="162" w:lineRule="exact"/>
        <w:rPr>
          <w:sz w:val="20"/>
          <w:szCs w:val="20"/>
          <w:color w:val="auto"/>
        </w:rPr>
      </w:pPr>
    </w:p>
    <w:p>
      <w:pPr>
        <w:jc w:val="both"/>
        <w:ind w:right="80" w:firstLine="991"/>
        <w:spacing w:after="0" w:line="258" w:lineRule="auto"/>
        <w:rPr>
          <w:sz w:val="20"/>
          <w:szCs w:val="20"/>
          <w:color w:val="auto"/>
        </w:rPr>
      </w:pPr>
      <w:r>
        <w:rPr>
          <w:rFonts w:ascii="Times New Roman" w:cs="Times New Roman" w:eastAsia="Times New Roman" w:hAnsi="Times New Roman"/>
          <w:sz w:val="18"/>
          <w:szCs w:val="18"/>
          <w:color w:val="auto"/>
        </w:rPr>
        <w:t>In rendering this opinion, we have examined and relied upon copies or drafts of the documents identified on Annex A hereto in the forms provided to us. In such examinations, we have assumed the genuineness of all signatures, the authenticity of all documents submitted to us as originals, the conformity to original documents of all documents submitted to us as copies or drafts of documents to be executed and the legal capacity of natural persons to complete the execution of documents. Capitalized terms used but not defined herein shall have the meanings given to such terms in Annex A attached hereto.</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7"/>
          <w:szCs w:val="17"/>
          <w:color w:val="auto"/>
        </w:rPr>
        <w:t>We have further assumed for purposes of this opinion: (i) except to the extent addressed by our opinion set forth in paragraph 1 below, the due incorporation, formation or organization, valid existence and good standing of each entity that is a signatory to any of the documents reviewed by us under the laws of the jurisdiction of its respective incorporation, formation or organization; (ii) except to the extent addressed by our opinion set forth in paragraph 3 below, the due authorization, adoption, execution, filing and delivery of each of the above-referenced documents by each of the parties thereto; (iii) that each of the Indenture and the Exchange Notes constitutes a legal, valid and binding obligation of each of the parties thereto, and is enforceable against each of the parties thereto in accordance with its terms; (iv) that the Exchange Notes will be issued in accordance with the Trust Documents and as contemplated by the Registration Statement; (v) the satisfaction of, or compliance with, all of the terms, conditions and restrictions set forth in the Original Trust Agreement, the A&amp;R Trust Agreement and the Trust Agreement, as applicable, in connection with the admission of beneficial owners to the Trust and the issuance of beneficial interests in the Trust; (vi) that the activities of the Trust have been and will be conducted in accordance with the terms of the Trust Agreement and the Delaware Statutory Trust Act, 12 Del. C. §§ 3801 et seq. (the “DSTA”); (vii) that the Trust has entered into the Indenture for a proper purpose in accordance with Section 1.2 of the Trust Agreement; (viii) that no event or circumstance has occurred on or prior to the date hereof that would cause a dissolution or termination of the Trust under the Original Trust Agreement, the A&amp;R Trust Agreement or the Trust Agreement, as applicable; (ix) that an authorized signatory of the Trust has voluntarily and unconditionally transferred possession of an executed counterpart of each of the Original Indenture, the First Supplemental Indenture, the Second Supplemental Indenture, the Third Supplemental Indenture and the Fourth Supplemental Indenture to the other parties thereto with the intent of bringing each of the Original Indenture, the First Supplemental Indenture, the Second Supplemental Indenture, the Third Supplemental Indenture and the Fourth Supplemental Indenture into effect;</w:t>
      </w:r>
    </w:p>
    <w:p>
      <w:pPr>
        <w:spacing w:after="0" w:line="8" w:lineRule="exact"/>
        <w:rPr>
          <w:sz w:val="20"/>
          <w:szCs w:val="20"/>
          <w:color w:val="auto"/>
        </w:rPr>
      </w:pPr>
    </w:p>
    <w:p>
      <w:pPr>
        <w:ind w:right="20" w:firstLine="8"/>
        <w:spacing w:after="0" w:line="251"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1940 Act (as defined in the Trust Agreement) does not prohibit Trustees (as defined in the Trust Agreement) who are Interested Persons (as defined in the Trust Agreement) from being counted for quorum purposes or voting with respect to the matters addressed in the Consents; and (xi) that the documents examined by us are in full force and effect, express the entire understanding of the parties thereto with respect to the subject matter thereof and have not been amended, supplemented or otherwise modified. We have not reviewed any documents other than those identified above in connection with this opinion, and we have assumed that there are no other documents, facts or circumstances that are contrary to or inconsistent with the opinions expressed herein. In addition, we have not participated in the preparation of any offering material and assume no responsibility for the contents of such material. No opinion is expressed herein with respect to the requirements of, or compliance with, federal or state securities or blue sky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to any facts material to our opinion, other than those assumed, we have relied, without independent investigation, on the above-referenced documents, and the accuracy, as of the date hereof, of the matters therein contained.</w:t>
      </w:r>
    </w:p>
    <w:p>
      <w:pPr>
        <w:sectPr>
          <w:pgSz w:w="11900" w:h="16838" w:orient="portrait"/>
          <w:cols w:equalWidth="0" w:num="1">
            <w:col w:w="11020"/>
          </w:cols>
          <w:pgMar w:left="320" w:top="117" w:right="5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addition, we note that the Indenture is governed by and construed in accordance with laws other than those of the State of Delaware and, for purposes of our opinions, we have assumed that the Indenture will be interpreted in accordance with the plain meaning of the written terms thereof as such terms would be interpreted as a matter of Delaware law and we express no opinion with respect to any legal standards or concepts under any laws other than those of the State of Delaware.</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and to the further qualifications set forth below, and limited in all respects to matters of Delaware law, it is our opinion that:</w:t>
      </w:r>
    </w:p>
    <w:p>
      <w:pPr>
        <w:spacing w:after="0" w:line="54" w:lineRule="exact"/>
        <w:rPr>
          <w:sz w:val="20"/>
          <w:szCs w:val="20"/>
          <w:color w:val="auto"/>
        </w:rPr>
      </w:pPr>
    </w:p>
    <w:p>
      <w:pPr>
        <w:ind w:left="1180" w:hanging="181"/>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a duly formed and validly existing statutory trust in good standing under the laws of the State of Delaware.</w:t>
      </w:r>
    </w:p>
    <w:p>
      <w:pPr>
        <w:spacing w:after="0" w:line="225" w:lineRule="exact"/>
        <w:rPr>
          <w:rFonts w:ascii="Times New Roman" w:cs="Times New Roman" w:eastAsia="Times New Roman" w:hAnsi="Times New Roman"/>
          <w:sz w:val="18"/>
          <w:szCs w:val="18"/>
          <w:color w:val="auto"/>
        </w:rPr>
      </w:pPr>
    </w:p>
    <w:p>
      <w:pPr>
        <w:ind w:right="100" w:firstLine="999"/>
        <w:spacing w:after="0" w:line="282"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the requisite statutory trust power and authority to execute, deliver and perform its obligations under the Indenture and to issue the Exchange Notes.</w:t>
      </w:r>
    </w:p>
    <w:p>
      <w:pPr>
        <w:spacing w:after="0" w:line="161" w:lineRule="exact"/>
        <w:rPr>
          <w:rFonts w:ascii="Times New Roman" w:cs="Times New Roman" w:eastAsia="Times New Roman" w:hAnsi="Times New Roman"/>
          <w:sz w:val="18"/>
          <w:szCs w:val="18"/>
          <w:color w:val="auto"/>
        </w:rPr>
      </w:pPr>
    </w:p>
    <w:p>
      <w:pPr>
        <w:ind w:right="200" w:firstLine="999"/>
        <w:spacing w:after="0" w:line="282"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Trust of the Indenture and the issuance of the Exchange Notes, and the performance by the Trust of its obligations under the Indenture, have been duly authorized by all necessary statutory trust action on the part of the Trust.</w:t>
      </w:r>
    </w:p>
    <w:p>
      <w:pPr>
        <w:spacing w:after="0" w:line="161" w:lineRule="exact"/>
        <w:rPr>
          <w:rFonts w:ascii="Times New Roman" w:cs="Times New Roman" w:eastAsia="Times New Roman" w:hAnsi="Times New Roman"/>
          <w:sz w:val="18"/>
          <w:szCs w:val="18"/>
          <w:color w:val="auto"/>
        </w:rPr>
      </w:pPr>
    </w:p>
    <w:p>
      <w:pPr>
        <w:ind w:right="780" w:firstLine="999"/>
        <w:spacing w:after="0" w:line="282" w:lineRule="auto"/>
        <w:tabs>
          <w:tab w:leader="none" w:pos="1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duly executed and delivered the Original Indenture, the First Supplemental Indenture, the Second Supplemental Indenture, the Third Supplemental Indenture and the Fourth Supplemental Indenture.</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our name under the heading “Legal Matters” in the Prospectus. In giving this consent, we do not thereby admit that we come within the category of persons whose consent is required under Section 7 of the Securities Act of 1933, as amended, or the rules and regulations of the Securities and Exchange Commission thereunder. This opinion speaks only as of the date hereof and is based on our understandings and assumptions as to present facts, and on our review of the above-referenced documents and the application of Delaware law as the same exist on the date hereof, and we undertake no obligation to update or supplement this opinion after the date hereof for the benefit of any person or entity with respect to any facts or circumstances that may hereafter come to our attention or any changes in facts or law that may hereafter occur or take effect.</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MORRIS, NICHOLS, ARSHT &amp; TUNNELL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Sara A. Gelsinger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Sara A. Gelsinger</w:t>
      </w:r>
    </w:p>
    <w:p>
      <w:pPr>
        <w:sectPr>
          <w:pgSz w:w="11900" w:h="16838" w:orient="portrait"/>
          <w:cols w:equalWidth="0" w:num="1">
            <w:col w:w="11020"/>
          </w:cols>
          <w:pgMar w:left="320" w:top="270" w:right="559" w:bottom="1440" w:gutter="0" w:footer="0" w:header="0"/>
        </w:sectPr>
      </w:pPr>
    </w:p>
    <w:bookmarkStart w:id="81" w:name="page82"/>
    <w:bookmarkEnd w:id="81"/>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Documents Reviewed in connection with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Morris, Nichols, Arsht &amp; Tunnell LLP Opinion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October 1, 2025 relating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34" w:lineRule="exact"/>
        <w:rPr>
          <w:sz w:val="20"/>
          <w:szCs w:val="20"/>
          <w:color w:val="auto"/>
        </w:rPr>
      </w:pPr>
    </w:p>
    <w:p>
      <w:pPr>
        <w:ind w:left="440" w:right="120" w:hanging="432"/>
        <w:spacing w:after="0" w:line="261"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“Registration Statement”) on Form N-14, under the Securities Act of 1933, as amended, including a preliminary prospectus (and the statement of additional information incorporated by reference therein) dated October 1, 2025 (the “Prospectus”), with respect to the proposed issuance and offer to exchange new 6.125% Notes due 2030 (the “Exchange Notes”), for any of the Trust’s unregistered outstanding 6.125% Notes due 2030 (the “6.125% Unregistered Notes”), filed by the Trust with the Securities and Exchange Commission;</w:t>
      </w:r>
    </w:p>
    <w:p>
      <w:pPr>
        <w:spacing w:after="0" w:line="85" w:lineRule="exact"/>
        <w:rPr>
          <w:rFonts w:ascii="Times New Roman" w:cs="Times New Roman" w:eastAsia="Times New Roman" w:hAnsi="Times New Roman"/>
          <w:sz w:val="18"/>
          <w:szCs w:val="18"/>
          <w:color w:val="auto"/>
        </w:rPr>
      </w:pPr>
    </w:p>
    <w:p>
      <w:pPr>
        <w:ind w:left="440" w:hanging="432"/>
        <w:spacing w:after="0" w:line="254"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dated March 11, 2024 (the “Original Indenture”), between the Trust and U.S. Bank Trust Company, National Association, as trustee, as supplemented by the First Supplemental Indenture dated as of March 11, 2024 (the “First Supplemental Indenture”), between the Trust and U.S. Bank Trust Company, National Association, as trustee, as further supplemented by the Second Supplemental Indenture dated as of June 17, 2024 (the “Second Supplemental Indenture”), between the Trust and U.S. Bank Trust Company, National Association, as trustee, as further supplemented by the Third Supplemental Indenture dated as of September 16, 2024 (the “Third Supplemental Indenture”) between the Trust and U.S. Bank Trust Company, National Association, as trustee, and as further supplemented by the Fourth Supplemental Indenture dated as of January 13, 2025 (the “Fourth Supplemental Indenture” and the Original Indenture as supplemented by the First Supplemental Indenture, the Second Supplemental Indenture, the Third Supplemental Indenture and the Fourth Supplemental Indenture, the “Indenture”), between the Trust and U.S. Bank Trust Company, National Association, as trustee;</w:t>
      </w:r>
    </w:p>
    <w:p>
      <w:pPr>
        <w:spacing w:after="0" w:line="9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Indenture;</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Supplemental Indenture;</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Supplemental Indenture;</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Supplemental Indenture;</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Supplemental Indenture;</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6.125% Unregistered Note;</w:t>
      </w:r>
    </w:p>
    <w:p>
      <w:pPr>
        <w:spacing w:after="0" w:line="130" w:lineRule="exact"/>
        <w:rPr>
          <w:rFonts w:ascii="Times New Roman" w:cs="Times New Roman" w:eastAsia="Times New Roman" w:hAnsi="Times New Roman"/>
          <w:sz w:val="18"/>
          <w:szCs w:val="18"/>
          <w:color w:val="auto"/>
        </w:rPr>
      </w:pPr>
    </w:p>
    <w:p>
      <w:pPr>
        <w:ind w:left="440" w:right="220" w:hanging="432"/>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Trust of the Trust as filed in the Office of the Secretary of State of the State of Delaware (the “State Office”) on April 7, 2022 (the “Certificate”);</w:t>
      </w:r>
    </w:p>
    <w:p>
      <w:pPr>
        <w:spacing w:after="0" w:line="6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Trust of the Trust dated as of April 5, 2022 (the “Original Trust Agreement”);</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Agreement and Declaration of Trust dated as of June 27, 2022 (the “A&amp;R Trust Agreement”);</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Agreement and Declaration of Trust dated as of August 22, 2022 (the “Trust Agreement”);</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Board of Trustees of the Trust dated March 4, 2024 (the “March Consent”);</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Board of Trustees of the Trust dated June 10, 2024 (the “June Consent”);</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Board of Trustees of the Trust dated September 9, 2024 (the “September Consent”);</w:t>
      </w:r>
    </w:p>
    <w:p>
      <w:pPr>
        <w:spacing w:after="0" w:line="130" w:lineRule="exact"/>
        <w:rPr>
          <w:rFonts w:ascii="Times New Roman" w:cs="Times New Roman" w:eastAsia="Times New Roman" w:hAnsi="Times New Roman"/>
          <w:sz w:val="18"/>
          <w:szCs w:val="18"/>
          <w:color w:val="auto"/>
        </w:rPr>
      </w:pPr>
    </w:p>
    <w:p>
      <w:pPr>
        <w:jc w:val="both"/>
        <w:ind w:left="440" w:right="60" w:hanging="432"/>
        <w:spacing w:after="0" w:line="266"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Board of Trustees of the Trust dated January 6, 2025 (the “January Consent” and together with the March Consent, the June Consent and the September Consent, the “Consents” and each, individually, a “Consent” and together with the Trust Agreement and the Certificate, the “Trust Documents”);and</w:t>
      </w:r>
    </w:p>
    <w:p>
      <w:pPr>
        <w:spacing w:after="0" w:line="8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of good standing of the Trust obtained as of a recent date from the State Office.</w:t>
      </w:r>
    </w:p>
    <w:p>
      <w:pPr>
        <w:sectPr>
          <w:pgSz w:w="11900" w:h="16838" w:orient="portrait"/>
          <w:cols w:equalWidth="0" w:num="1">
            <w:col w:w="11020"/>
          </w:cols>
          <w:pgMar w:left="320" w:top="266" w:right="559" w:bottom="1440" w:gutter="0" w:footer="0" w:header="0"/>
        </w:sectPr>
      </w:pPr>
    </w:p>
    <w:bookmarkStart w:id="82" w:name="page83"/>
    <w:bookmarkEnd w:id="82"/>
    <w:p>
      <w:pPr>
        <w:ind w:left="9920"/>
        <w:spacing w:after="0"/>
        <w:rPr>
          <w:sz w:val="20"/>
          <w:szCs w:val="20"/>
          <w:color w:val="auto"/>
        </w:rPr>
      </w:pPr>
      <w:r>
        <w:rPr>
          <w:rFonts w:ascii="Times New Roman" w:cs="Times New Roman" w:eastAsia="Times New Roman" w:hAnsi="Times New Roman"/>
          <w:sz w:val="17"/>
          <w:szCs w:val="17"/>
          <w:b w:val="1"/>
          <w:bCs w:val="1"/>
          <w:i w:val="1"/>
          <w:iCs w:val="1"/>
          <w:color w:val="auto"/>
        </w:rPr>
        <w:t>Exhibit (11)(b)</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rPr>
              <w:t xml:space="preserve">Simpson Thacher &amp; Bartlett </w:t>
            </w:r>
            <w:r>
              <w:rPr>
                <w:rFonts w:ascii="Times New Roman" w:cs="Times New Roman" w:eastAsia="Times New Roman" w:hAnsi="Times New Roman"/>
                <w:sz w:val="14"/>
                <w:szCs w:val="14"/>
                <w:color w:val="auto"/>
              </w:rPr>
              <w:t>LLP</w:t>
            </w:r>
          </w:p>
        </w:tc>
      </w:tr>
      <w:tr>
        <w:trPr>
          <w:trHeight w:val="306"/>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6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color w:val="auto"/>
              </w:rPr>
              <w:t>900 G S</w:t>
            </w:r>
            <w:r>
              <w:rPr>
                <w:rFonts w:ascii="Times New Roman" w:cs="Times New Roman" w:eastAsia="Times New Roman" w:hAnsi="Times New Roman"/>
                <w:sz w:val="14"/>
                <w:szCs w:val="14"/>
                <w:color w:val="auto"/>
              </w:rPr>
              <w:t>TREET</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W</w:t>
            </w:r>
          </w:p>
        </w:tc>
      </w:tr>
      <w:tr>
        <w:trPr>
          <w:trHeight w:val="234"/>
        </w:trPr>
        <w:tc>
          <w:tcPr>
            <w:tcW w:w="3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60" w:type="dxa"/>
            <w:vAlign w:val="bottom"/>
            <w:gridSpan w:val="2"/>
          </w:tcPr>
          <w:p>
            <w:pPr>
              <w:jc w:val="center"/>
              <w:ind w:right="425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ASHINGTON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 20001</w:t>
            </w:r>
          </w:p>
        </w:tc>
      </w:tr>
      <w:tr>
        <w:trPr>
          <w:trHeight w:val="229"/>
        </w:trPr>
        <w:tc>
          <w:tcPr>
            <w:tcW w:w="3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340" w:type="dxa"/>
            <w:vAlign w:val="bottom"/>
          </w:tcPr>
          <w:p>
            <w:pPr>
              <w:spacing w:after="0"/>
              <w:rPr>
                <w:sz w:val="19"/>
                <w:szCs w:val="19"/>
                <w:color w:val="auto"/>
              </w:rPr>
            </w:pPr>
          </w:p>
        </w:tc>
      </w:tr>
      <w:tr>
        <w:trPr>
          <w:trHeight w:val="299"/>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60" w:type="dxa"/>
            <w:vAlign w:val="bottom"/>
            <w:gridSpan w:val="2"/>
          </w:tcPr>
          <w:p>
            <w:pPr>
              <w:jc w:val="center"/>
              <w:ind w:right="425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tc>
      </w:tr>
      <w:tr>
        <w:trPr>
          <w:trHeight w:val="234"/>
        </w:trPr>
        <w:tc>
          <w:tcPr>
            <w:tcW w:w="3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60" w:type="dxa"/>
            <w:vAlign w:val="bottom"/>
            <w:gridSpan w:val="2"/>
          </w:tcPr>
          <w:p>
            <w:pPr>
              <w:jc w:val="center"/>
              <w:ind w:right="427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tc>
      </w:tr>
      <w:tr>
        <w:trPr>
          <w:trHeight w:val="44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+1-202-636-5543</w:t>
            </w: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rajib.chanda@stblaw.com</w:t>
            </w:r>
          </w:p>
        </w:tc>
      </w:tr>
      <w:tr>
        <w:trPr>
          <w:trHeight w:val="445"/>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 2025</w:t>
            </w: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2100 McKinney Avenue, Suite 1500</w:t>
            </w:r>
          </w:p>
        </w:tc>
        <w:tc>
          <w:tcPr>
            <w:tcW w:w="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Dallas, TX 75201</w:t>
            </w: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Sixth Street Lending Partners, a Delaware statutory trust (the “Company”), in connection with the Registration Statement on Form N-14 (the “Registration Statement”) filed by the Company with the Securities and Exchange Commission (the “Commission”) under the Securities Act of 1933, as amended (the “Securities Act”), relating to the issuance by the Company of up to $750,000,000 aggregate principal amount of 6.125% Notes due 2030 (the “Exchange Notes”).</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Exchange Notes will be issued pursuant to an indenture, dated as of March 11, 2024 (the “Base Indenture”) and the fourth supplemental indenture, dated as of January 13, 2025, to the Base Indenture (the “Fourth Supplemental Indenture” and, collectively with the Base Indenture, the “Indenture”) between the Company and U.S. Bank Trust Company, National Association, as Trustee (the “Trustee”). The Exchange Notes will be offered by the Company in exchange for $750,000,000 aggregate principal amount of the Company’s outstanding 6.125% Notes due 2030, which have not been registered under the Securities Act.</w:t>
      </w:r>
    </w:p>
    <w:p>
      <w:pPr>
        <w:spacing w:after="0" w:line="355" w:lineRule="exact"/>
        <w:rPr>
          <w:sz w:val="20"/>
          <w:szCs w:val="20"/>
          <w:color w:val="auto"/>
        </w:rPr>
      </w:pPr>
    </w:p>
    <w:p>
      <w:pPr>
        <w:spacing w:after="0"/>
        <w:tabs>
          <w:tab w:leader="none" w:pos="840" w:val="left"/>
          <w:tab w:leader="none" w:pos="2180" w:val="left"/>
          <w:tab w:leader="none" w:pos="3300" w:val="left"/>
          <w:tab w:leader="none" w:pos="4280" w:val="left"/>
          <w:tab w:leader="none" w:pos="5760" w:val="left"/>
          <w:tab w:leader="none" w:pos="7000" w:val="left"/>
          <w:tab w:leader="none" w:pos="8260" w:val="left"/>
          <w:tab w:leader="none" w:pos="9120" w:val="left"/>
        </w:tabs>
        <w:rPr>
          <w:sz w:val="20"/>
          <w:szCs w:val="20"/>
          <w:color w:val="auto"/>
        </w:rPr>
      </w:pPr>
      <w:r>
        <w:rPr>
          <w:rFonts w:ascii="Times New Roman" w:cs="Times New Roman" w:eastAsia="Times New Roman" w:hAnsi="Times New Roman"/>
          <w:sz w:val="14"/>
          <w:szCs w:val="14"/>
          <w:color w:val="auto"/>
        </w:rPr>
        <w:t>BEIJING</w:t>
      </w:r>
      <w:r>
        <w:rPr>
          <w:sz w:val="20"/>
          <w:szCs w:val="20"/>
          <w:color w:val="auto"/>
        </w:rPr>
        <w:tab/>
      </w:r>
      <w:r>
        <w:rPr>
          <w:rFonts w:ascii="Times New Roman" w:cs="Times New Roman" w:eastAsia="Times New Roman" w:hAnsi="Times New Roman"/>
          <w:sz w:val="14"/>
          <w:szCs w:val="14"/>
          <w:color w:val="auto"/>
        </w:rPr>
        <w:t>HONG KONG</w:t>
      </w:r>
      <w:r>
        <w:rPr>
          <w:sz w:val="20"/>
          <w:szCs w:val="20"/>
          <w:color w:val="auto"/>
        </w:rPr>
        <w:tab/>
      </w:r>
      <w:r>
        <w:rPr>
          <w:rFonts w:ascii="Times New Roman" w:cs="Times New Roman" w:eastAsia="Times New Roman" w:hAnsi="Times New Roman"/>
          <w:sz w:val="14"/>
          <w:szCs w:val="14"/>
          <w:color w:val="auto"/>
        </w:rPr>
        <w:t>HOUSTON</w:t>
      </w:r>
      <w:r>
        <w:rPr>
          <w:sz w:val="20"/>
          <w:szCs w:val="20"/>
          <w:color w:val="auto"/>
        </w:rPr>
        <w:tab/>
      </w:r>
      <w:r>
        <w:rPr>
          <w:rFonts w:ascii="Times New Roman" w:cs="Times New Roman" w:eastAsia="Times New Roman" w:hAnsi="Times New Roman"/>
          <w:sz w:val="14"/>
          <w:szCs w:val="14"/>
          <w:color w:val="auto"/>
        </w:rPr>
        <w:t>LONDON</w:t>
      </w:r>
      <w:r>
        <w:rPr>
          <w:sz w:val="20"/>
          <w:szCs w:val="20"/>
          <w:color w:val="auto"/>
        </w:rPr>
        <w:tab/>
      </w: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PALO ALTO</w:t>
      </w:r>
      <w:r>
        <w:rPr>
          <w:sz w:val="20"/>
          <w:szCs w:val="20"/>
          <w:color w:val="auto"/>
        </w:rPr>
        <w:tab/>
      </w:r>
      <w:r>
        <w:rPr>
          <w:rFonts w:ascii="Times New Roman" w:cs="Times New Roman" w:eastAsia="Times New Roman" w:hAnsi="Times New Roman"/>
          <w:sz w:val="14"/>
          <w:szCs w:val="14"/>
          <w:color w:val="auto"/>
        </w:rPr>
        <w:t>SÃO PAULO</w:t>
      </w:r>
      <w:r>
        <w:rPr>
          <w:sz w:val="20"/>
          <w:szCs w:val="20"/>
          <w:color w:val="auto"/>
        </w:rPr>
        <w:tab/>
      </w:r>
      <w:r>
        <w:rPr>
          <w:rFonts w:ascii="Times New Roman" w:cs="Times New Roman" w:eastAsia="Times New Roman" w:hAnsi="Times New Roman"/>
          <w:sz w:val="14"/>
          <w:szCs w:val="14"/>
          <w:color w:val="auto"/>
        </w:rPr>
        <w:t>TOKYO</w:t>
      </w:r>
      <w:r>
        <w:rPr>
          <w:sz w:val="20"/>
          <w:szCs w:val="20"/>
          <w:color w:val="auto"/>
        </w:rPr>
        <w:tab/>
      </w:r>
      <w:r>
        <w:rPr>
          <w:rFonts w:ascii="Times New Roman" w:cs="Times New Roman" w:eastAsia="Times New Roman" w:hAnsi="Times New Roman"/>
          <w:sz w:val="14"/>
          <w:szCs w:val="14"/>
          <w:color w:val="auto"/>
        </w:rPr>
        <w:t>WASHINGTON, D.C.</w:t>
      </w:r>
    </w:p>
    <w:p>
      <w:pPr>
        <w:sectPr>
          <w:pgSz w:w="11900" w:h="16838" w:orient="portrait"/>
          <w:cols w:equalWidth="0" w:num="1">
            <w:col w:w="11020"/>
          </w:cols>
          <w:pgMar w:left="320" w:top="117" w:right="559" w:bottom="1440" w:gutter="0" w:footer="0" w:header="0"/>
        </w:sectPr>
      </w:pPr>
    </w:p>
    <w:bookmarkStart w:id="83" w:name="page84"/>
    <w:bookmarkEnd w:id="83"/>
    <w:p>
      <w:pPr>
        <w:ind w:left="5480" w:hanging="3709"/>
        <w:spacing w:after="0" w:line="261" w:lineRule="auto"/>
        <w:tabs>
          <w:tab w:leader="none" w:pos="54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r>
        <w:rPr>
          <w:sz w:val="20"/>
          <w:szCs w:val="20"/>
          <w:color w:val="auto"/>
        </w:rPr>
        <w:tab/>
      </w:r>
      <w:r>
        <w:rPr>
          <w:rFonts w:ascii="Times New Roman" w:cs="Times New Roman" w:eastAsia="Times New Roman" w:hAnsi="Times New Roman"/>
          <w:sz w:val="18"/>
          <w:szCs w:val="18"/>
          <w:color w:val="auto"/>
        </w:rPr>
        <w:t>Simpson Thacher &amp; Bartlett LLP 2</w:t>
      </w:r>
    </w:p>
    <w:p>
      <w:pPr>
        <w:spacing w:after="0" w:line="200" w:lineRule="exact"/>
        <w:rPr>
          <w:sz w:val="20"/>
          <w:szCs w:val="20"/>
          <w:color w:val="auto"/>
        </w:rPr>
      </w:pPr>
    </w:p>
    <w:p>
      <w:pPr>
        <w:spacing w:after="0" w:line="3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and the Indenture, which is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rendering the opinion set forth below, we have assumed further that (1) the Company is validly existing and in good standing under the law of the jurisdiction in which it is organized and has duly authorized, executed, issued and delivered the Indenture and the Exchange Notes, as applicable, in accordance with its organizational documents and the law of the jurisdiction in which it is organized, (2) the execution, issuance, delivery and performance by the Company of the Indenture and the Exchange Notes, as applicable, do not constitute a breach or violation of its organizational documents or violate the law of the jurisdiction in which it is organized or any other jurisdiction (except that no such assumption is made with respect to the law of the State of New York) and (3) the execution, issuance, delivery and performance by the Company of the Indenture and the Exchange Notes, as applicable, do not constitute a breach or default under any agreement or instrument which is binding upon the Company.</w:t>
      </w:r>
    </w:p>
    <w:p>
      <w:pPr>
        <w:sectPr>
          <w:pgSz w:w="11900" w:h="16838" w:orient="portrait"/>
          <w:cols w:equalWidth="0" w:num="1">
            <w:col w:w="11020"/>
          </w:cols>
          <w:pgMar w:left="320" w:top="270" w:right="559" w:bottom="1440" w:gutter="0" w:footer="0" w:header="0"/>
        </w:sectPr>
      </w:pPr>
    </w:p>
    <w:bookmarkStart w:id="84" w:name="page85"/>
    <w:bookmarkEnd w:id="84"/>
    <w:p>
      <w:pPr>
        <w:ind w:left="5480" w:hanging="3709"/>
        <w:spacing w:after="0" w:line="261" w:lineRule="auto"/>
        <w:tabs>
          <w:tab w:leader="none" w:pos="54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r>
        <w:rPr>
          <w:sz w:val="20"/>
          <w:szCs w:val="20"/>
          <w:color w:val="auto"/>
        </w:rPr>
        <w:tab/>
      </w:r>
      <w:r>
        <w:rPr>
          <w:rFonts w:ascii="Times New Roman" w:cs="Times New Roman" w:eastAsia="Times New Roman" w:hAnsi="Times New Roman"/>
          <w:sz w:val="18"/>
          <w:szCs w:val="18"/>
          <w:color w:val="auto"/>
        </w:rPr>
        <w:t>Simpson Thacher &amp; Bartlett LLP 3</w:t>
      </w:r>
    </w:p>
    <w:p>
      <w:pPr>
        <w:spacing w:after="0" w:line="200" w:lineRule="exact"/>
        <w:rPr>
          <w:sz w:val="20"/>
          <w:szCs w:val="20"/>
          <w:color w:val="auto"/>
        </w:rPr>
      </w:pPr>
    </w:p>
    <w:p>
      <w:pPr>
        <w:spacing w:after="0" w:line="362"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when the Exchange Notes have been duly executed, authenticated, issued and delivered in accordance with the provisions of the Indenture pursuant to the exchange offers described in the Registration Statement, the Exchange Notes will constitute valid and legally binding obligations of the Company enforceable against the Company in accordance with their terms.</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(i) the waiver of rights and defenses contained in Section 5.14 of the Base Indenture or (ii) Section 1.09 of the Base Indenture relating to the separability of provisions of the Base Indenture.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w:t>
      </w:r>
    </w:p>
    <w:p>
      <w:pPr>
        <w:sectPr>
          <w:pgSz w:w="11900" w:h="16838" w:orient="portrait"/>
          <w:cols w:equalWidth="0" w:num="1">
            <w:col w:w="11020"/>
          </w:cols>
          <w:pgMar w:left="320" w:top="270" w:right="559" w:bottom="1440" w:gutter="0" w:footer="0" w:header="0"/>
        </w:sectPr>
      </w:pPr>
    </w:p>
    <w:bookmarkStart w:id="85" w:name="page86"/>
    <w:bookmarkEnd w:id="85"/>
    <w:p>
      <w:pPr>
        <w:ind w:left="5480" w:hanging="3709"/>
        <w:spacing w:after="0" w:line="261" w:lineRule="auto"/>
        <w:tabs>
          <w:tab w:leader="none" w:pos="54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r>
        <w:rPr>
          <w:sz w:val="20"/>
          <w:szCs w:val="20"/>
          <w:color w:val="auto"/>
        </w:rPr>
        <w:tab/>
      </w:r>
      <w:r>
        <w:rPr>
          <w:rFonts w:ascii="Times New Roman" w:cs="Times New Roman" w:eastAsia="Times New Roman" w:hAnsi="Times New Roman"/>
          <w:sz w:val="18"/>
          <w:szCs w:val="18"/>
          <w:color w:val="auto"/>
        </w:rPr>
        <w:t>Simpson Thacher &amp; Bartlett LLP 4</w:t>
      </w:r>
    </w:p>
    <w:p>
      <w:pPr>
        <w:spacing w:after="0" w:line="200" w:lineRule="exact"/>
        <w:rPr>
          <w:sz w:val="20"/>
          <w:szCs w:val="20"/>
          <w:color w:val="auto"/>
        </w:rPr>
      </w:pPr>
    </w:p>
    <w:p>
      <w:pPr>
        <w:spacing w:after="0" w:line="3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11(b) to the Registration Statement and to the use of our name under the caption “Legal Matters” in the prospectus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27946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p>
      <w:pPr>
        <w:sectPr>
          <w:pgSz w:w="11900" w:h="16838" w:orient="portrait"/>
          <w:cols w:equalWidth="0" w:num="1">
            <w:col w:w="11020"/>
          </w:cols>
          <w:pgMar w:left="320" w:top="270" w:right="55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Simpson Thacher &amp; Bartlett </w:t>
      </w:r>
      <w:r>
        <w:rPr>
          <w:rFonts w:ascii="Times New Roman" w:cs="Times New Roman" w:eastAsia="Times New Roman" w:hAnsi="Times New Roman"/>
          <w:sz w:val="14"/>
          <w:szCs w:val="14"/>
          <w:color w:val="auto"/>
        </w:rPr>
        <w:t>LLP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4"/>
          <w:szCs w:val="14"/>
          <w:color w:val="auto"/>
        </w:rPr>
        <w:t>LEXINGTON AVENUE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NEW YORK</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NY </w:t>
      </w:r>
      <w:r>
        <w:rPr>
          <w:rFonts w:ascii="Times New Roman" w:cs="Times New Roman" w:eastAsia="Times New Roman" w:hAnsi="Times New Roman"/>
          <w:sz w:val="17"/>
          <w:szCs w:val="17"/>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236220</wp:posOffset>
            </wp:positionV>
            <wp:extent cx="1474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+1-212-455-2000</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+1-212-455-2502</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have acted as U.S. counsel to Sixth Street Lending Partners (the “Company”), in connection with the registration statement on Form N-14 (the “Registration Statement”) filed by the Company with the U.S. Securities and Exchange Commission (the “Commission”) under the U.S. Securities Act of 1933, as amended (the “Act”), relating to the Company’s offer to exchange all of its outstanding 6.125% Notes due 2030, which were issued in a transaction not requiring registration under the Act, for an equal aggregate principal amount of its new 6.125% Notes due 2030 that have been registered with the Commission under the Act.</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(including the form of prospectus contained therein (the “Prospectus”)).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 In such examination, we have assumed the accuracy of the factual matters described in the Registration Statement.</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the statements made in the Prospectus under the caption “Certain Material U.S. Federal Income Tax Considerations,” insofar as they purport to constitute summaries of certain provisions of U.S. federal income tax law and regulations or legal conclusions with respect thereto, constitute accurate summaries of such matters in all material respects.</w:t>
      </w:r>
    </w:p>
    <w:p>
      <w:pPr>
        <w:sectPr>
          <w:pgSz w:w="11900" w:h="16838" w:orient="portrait"/>
          <w:cols w:equalWidth="0" w:num="1">
            <w:col w:w="11020"/>
          </w:cols>
          <w:pgMar w:left="320" w:top="117" w:right="5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do not express any opinion herein concerning any law other than U.S. federal income tax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 SIMPSON THACHER &amp; BARTLETT LLP</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15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699"/>
          </w:cols>
          <w:pgMar w:left="760" w:top="270"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use of our report dated February 14, 2025, with respect to the consolidated financial statements of Sixth Street Lending Partners, incorporated herein by reference, to the use of our report dated February 14, 2025 on the senior securities table of Sixth Street Lending Partners, incorporated herein by reference, and to the references to our firm under the headings “Financial Highlights”, “Senior Securities”, and “Experts” in the Form N-14.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2025</w:t>
      </w:r>
    </w:p>
    <w:sectPr>
      <w:pgSz w:w="11900" w:h="16838" w:orient="portrait"/>
      <w:cols w:equalWidth="0" w:num="1">
        <w:col w:w="11020"/>
      </w:cols>
      <w:pgMar w:left="320" w:top="11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1)"/>
      <w:numFmt w:val="lowerRoman"/>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5"/>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lowerRoman"/>
      <w:start w:val="2"/>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decimal"/>
      <w:start w:val="12"/>
    </w:lvl>
  </w:abstractNum>
  <w:abstractNum w:abstractNumId="40">
    <w:nsid w:val="2CD89A32"/>
    <w:multiLevelType w:val="hybridMultilevel"/>
    <w:lvl w:ilvl="0">
      <w:lvlJc w:val="left"/>
      <w:lvlText w:val="(%1)"/>
      <w:numFmt w:val="decimal"/>
      <w:start w:val="16"/>
    </w:lvl>
  </w:abstractNum>
  <w:abstractNum w:abstractNumId="41">
    <w:nsid w:val="57E4CCAF"/>
    <w:multiLevelType w:val="hybridMultilevel"/>
    <w:lvl w:ilvl="0">
      <w:lvlJc w:val="left"/>
      <w:lvlText w:val="(%1)"/>
      <w:numFmt w:val="decimal"/>
      <w:start w:val="18"/>
    </w:lvl>
  </w:abstractNum>
  <w:abstractNum w:abstractNumId="42">
    <w:nsid w:val="7A6D8D3C"/>
    <w:multiLevelType w:val="hybridMultilevel"/>
    <w:lvl w:ilvl="0">
      <w:lvlJc w:val="left"/>
      <w:lvlText w:val="(%1)"/>
      <w:numFmt w:val="decimal"/>
      <w:start w:val="3"/>
    </w:lvl>
  </w:abstractNum>
  <w:abstractNum w:abstractNumId="43">
    <w:nsid w:val="4B588F54"/>
    <w:multiLevelType w:val="hybridMultilevel"/>
    <w:lvl w:ilvl="0">
      <w:lvlJc w:val="left"/>
      <w:lvlText w:val="%1"/>
      <w:numFmt w:val="decimal"/>
      <w:start w:val="1"/>
    </w:lvl>
    <w:lvl w:ilvl="1">
      <w:lvlJc w:val="left"/>
      <w:lvlText w:val="(%2)"/>
      <w:numFmt w:val="decimal"/>
      <w:start w:val="302"/>
    </w:lvl>
  </w:abstractNum>
  <w:abstractNum w:abstractNumId="44">
    <w:nsid w:val="542289EC"/>
    <w:multiLevelType w:val="hybridMultilevel"/>
    <w:lvl w:ilvl="0">
      <w:lvlJc w:val="left"/>
      <w:lvlText w:val="(%1)"/>
      <w:numFmt w:val="decimal"/>
      <w:start w:val="302"/>
    </w:lvl>
    <w:lvl w:ilvl="1">
      <w:lvlJc w:val="left"/>
      <w:lvlText w:val="%2"/>
      <w:numFmt w:val="decimal"/>
      <w:start w:val="1"/>
    </w:lvl>
  </w:abstractNum>
  <w:abstractNum w:abstractNumId="45">
    <w:nsid w:val="6DE91B18"/>
    <w:multiLevelType w:val="hybridMultilevel"/>
    <w:lvl w:ilvl="0">
      <w:lvlJc w:val="left"/>
      <w:lvlText w:val="(%1)"/>
      <w:numFmt w:val="lowerRoman"/>
      <w:start w:val="10"/>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63" Type="http://schemas.openxmlformats.org/officeDocument/2006/relationships/image" Target="media/image149.png"/><Relationship Id="rId169" Type="http://schemas.openxmlformats.org/officeDocument/2006/relationships/image" Target="media/image150.png"/><Relationship Id="rId182"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6" Type="http://schemas.openxmlformats.org/officeDocument/2006/relationships/hyperlink" Target="http://www.sec.gov/ix?doc=/Archives/edgar/data/0001925309/000095017025021144/ck0001925309-20241231.htm" TargetMode="External"/><Relationship Id="rId29" Type="http://schemas.openxmlformats.org/officeDocument/2006/relationships/hyperlink" Target="http://www.sec.gov/ix?doc=/Archives/edgar/data/1925309/000095017025101397/ck0001925309-20250630.htm" TargetMode="External"/><Relationship Id="rId158" Type="http://schemas.openxmlformats.org/officeDocument/2006/relationships/hyperlink" Target="http://www.sec.gov/ix?doc=/Archives/edgar/data/0001925309/000095017025062722/ck0001925309-20250331.htm" TargetMode="External"/><Relationship Id="rId159" Type="http://schemas.openxmlformats.org/officeDocument/2006/relationships/hyperlink" Target="http://www.sec.gov/ix?doc=/Archives/edgar/data/0001925309/000095017025101397/ck0001925309-20250630.htm" TargetMode="External"/><Relationship Id="rId160" Type="http://schemas.openxmlformats.org/officeDocument/2006/relationships/hyperlink" Target="http://www.sec.gov/ix?doc=/Archives/edgar/data/1925309/000119312525004453/d918699d8k.htm" TargetMode="External"/><Relationship Id="rId161" Type="http://schemas.openxmlformats.org/officeDocument/2006/relationships/hyperlink" Target="http://www.sec.gov/ix?doc=/Archives/edgar/data/1925309/000119312525008441/d854887d8k.htm" TargetMode="External"/><Relationship Id="rId162" Type="http://schemas.openxmlformats.org/officeDocument/2006/relationships/hyperlink" Target="http://www.sec.gov/ix?doc=/Archives/edgar/data/0001925309/000119312525049885/d931064d8k.htm" TargetMode="External"/><Relationship Id="rId164" Type="http://schemas.openxmlformats.org/officeDocument/2006/relationships/hyperlink" Target="http://www.sec.gov/Archives/edgar/data/1925309/000119312522226504/d260658dex31.htm" TargetMode="External"/><Relationship Id="rId165" Type="http://schemas.openxmlformats.org/officeDocument/2006/relationships/hyperlink" Target="http://www.sec.gov/Archives/edgar/data/1925309/000119312522183512/d260658dex32.htm" TargetMode="External"/><Relationship Id="rId166" Type="http://schemas.openxmlformats.org/officeDocument/2006/relationships/hyperlink" Target="http://www.sec.gov/Archives/edgar/data/1925309/000119312522183512/d260658dex41.htm" TargetMode="External"/><Relationship Id="rId167" Type="http://schemas.openxmlformats.org/officeDocument/2006/relationships/hyperlink" Target="http://www.sec.gov/Archives/edgar/data/1925309/000119312524069137/d813134dex41.htm" TargetMode="External"/><Relationship Id="rId168" Type="http://schemas.openxmlformats.org/officeDocument/2006/relationships/hyperlink" Target="http://www.sec.gov/Archives/edgar/data/1925309/000119312525008441/d854887dex42.htm" TargetMode="External"/><Relationship Id="rId170" Type="http://schemas.openxmlformats.org/officeDocument/2006/relationships/hyperlink" Target="http://www.sec.gov/Archives/edgar/data/1925309/000119312525008441/d854887dex44.htm" TargetMode="External"/><Relationship Id="rId171" Type="http://schemas.openxmlformats.org/officeDocument/2006/relationships/hyperlink" Target="http://www.sec.gov/Archives/edgar/data/1925309/000119312522183512/d260658dex101.htm" TargetMode="External"/><Relationship Id="rId172" Type="http://schemas.openxmlformats.org/officeDocument/2006/relationships/hyperlink" Target="http://www.sec.gov/Archives/edgar/data/1925309/000119312522183512/d260658dex102.htm" TargetMode="External"/><Relationship Id="rId173" Type="http://schemas.openxmlformats.org/officeDocument/2006/relationships/hyperlink" Target="http://www.sec.gov/Archives/edgar/data/1925309/000119312522183512/d260658dex105.htm" TargetMode="External"/><Relationship Id="rId174" Type="http://schemas.openxmlformats.org/officeDocument/2006/relationships/hyperlink" Target="http://www.sec.gov/Archives/edgar/data/1925309/000119312522183512/d260658dex103.htm" TargetMode="External"/><Relationship Id="rId175" Type="http://schemas.openxmlformats.org/officeDocument/2006/relationships/hyperlink" Target="http://www.sec.gov/Archives/edgar/data/1925309/000119312522183512/d260658dex104.htm" TargetMode="External"/><Relationship Id="rId176" Type="http://schemas.openxmlformats.org/officeDocument/2006/relationships/hyperlink" Target="http://www.sec.gov/Archives/edgar/data/1925309/000119312522226504/d260658dex106.htm" TargetMode="External"/><Relationship Id="rId177" Type="http://schemas.openxmlformats.org/officeDocument/2006/relationships/hyperlink" Target="http://www.sec.gov/Archives/edgar/data/1925309/000119312522239007/d304088dex101.htm" TargetMode="External"/><Relationship Id="rId178" Type="http://schemas.openxmlformats.org/officeDocument/2006/relationships/hyperlink" Target="http://www.sec.gov/Archives/edgar/data/1925309/000119312522311034/d413255dex101.htm" TargetMode="External"/><Relationship Id="rId179" Type="http://schemas.openxmlformats.org/officeDocument/2006/relationships/hyperlink" Target="http://www.sec.gov/Archives/edgar/data/1925309/000119312523014261/d426575dex101.htm" TargetMode="External"/><Relationship Id="rId180" Type="http://schemas.openxmlformats.org/officeDocument/2006/relationships/hyperlink" Target="http://www.sec.gov/Archives/edgar/data/1925309/000119312524030209/d734650dex101.htm" TargetMode="External"/><Relationship Id="rId181" Type="http://schemas.openxmlformats.org/officeDocument/2006/relationships/hyperlink" Target="http://www.sec.gov/Archives/edgar/data/1925309/000095017025062722/ck0001925309-ex10_1.htm" TargetMode="External"/><Relationship Id="rId183" Type="http://schemas.openxmlformats.org/officeDocument/2006/relationships/hyperlink" Target="http://www.sec.gov/Archives/edgar/data/1925309/000095017025021144/ck0001925309-ex99_1.htm" TargetMode="External"/><Relationship Id="rId184" Type="http://schemas.openxmlformats.org/officeDocument/2006/relationships/hyperlink" Target="http://www.sec.gov/Archives/edgar/data/1925309/000119312525191229/d27259dex9916.htm" TargetMode="External"/><Relationship Id="rId185" Type="http://schemas.openxmlformats.org/officeDocument/2006/relationships/hyperlink" Target="http://www.sec.gov/Archives/edgar/data/1925309/000119312525191229/d27259dex9917a.htm" TargetMode="External"/><Relationship Id="rId186" Type="http://schemas.openxmlformats.org/officeDocument/2006/relationships/hyperlink" Target="http://www.sec.gov/Archives/edgar/data/1925309/000119312525191229/d27259dex9917b.htm" TargetMode="External"/><Relationship Id="rId187" Type="http://schemas.openxmlformats.org/officeDocument/2006/relationships/hyperlink" Target="http://www.sec.gov/ix?doc=/Archives/edgar/data/1925309/000119312525191229/d27259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2025-10-01T07:31:27Z</dcterms:created>
  <dcterms:modified xsi:type="dcterms:W3CDTF">2025-10-01T07:31:27Z</dcterms:modified>
</cp:coreProperties>
</file>