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Hamrah Craig</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60" w:type="dxa"/>
            <w:vAlign w:val="bottom"/>
            <w:tcBorders>
              <w:top w:val="single" w:sz="8" w:color="0000EE"/>
              <w:bottom w:val="single" w:sz="8" w:color="9A9A9A"/>
            </w:tcBorders>
          </w:tcPr>
          <w:p>
            <w:pPr>
              <w:spacing w:after="0"/>
              <w:rPr>
                <w:sz w:val="17"/>
                <w:szCs w:val="17"/>
                <w:color w:val="auto"/>
              </w:rPr>
            </w:pPr>
          </w:p>
        </w:tc>
        <w:tc>
          <w:tcPr>
            <w:tcW w:w="17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02/12/2026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Sixth Street Lending Partners</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NONE</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517"/>
        <w:spacing w:after="0" w:line="275" w:lineRule="auto"/>
        <w:rPr>
          <w:sz w:val="20"/>
          <w:szCs w:val="20"/>
          <w:color w:val="auto"/>
        </w:rPr>
      </w:pPr>
      <w:r>
        <w:rPr>
          <w:rFonts w:ascii="Times New Roman" w:cs="Times New Roman" w:eastAsia="Times New Roman" w:hAnsi="Times New Roman"/>
          <w:sz w:val="20"/>
          <w:szCs w:val="20"/>
          <w:color w:val="0000FF"/>
        </w:rPr>
        <w:t>C/O SIXTH STREET LENDING PARTNERS</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2100 MCKINNEY AVENUE,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1500</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7"/>
                <w:szCs w:val="17"/>
                <w:color w:val="auto"/>
              </w:rPr>
            </w:pPr>
          </w:p>
        </w:tc>
      </w:tr>
      <w:tr>
        <w:trPr>
          <w:trHeight w:val="265"/>
        </w:trPr>
        <w:tc>
          <w:tcPr>
            <w:tcW w:w="17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DALLAS   TX</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75201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003"/>
        <w:spacing w:after="0"/>
        <w:rPr>
          <w:sz w:val="20"/>
          <w:szCs w:val="20"/>
          <w:color w:val="auto"/>
        </w:rPr>
      </w:pPr>
      <w:r>
        <w:rPr>
          <w:rFonts w:ascii="Times New Roman" w:cs="Times New Roman" w:eastAsia="Times New Roman" w:hAnsi="Times New Roman"/>
          <w:sz w:val="20"/>
          <w:szCs w:val="20"/>
          <w:color w:val="0000FF"/>
        </w:rPr>
        <w:t>Vice President</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right="360" w:firstLine="5"/>
        <w:spacing w:after="0" w:line="259" w:lineRule="auto"/>
        <w:tabs>
          <w:tab w:leader="none" w:pos="253"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Anton Brett is signing on behalf of Craig Hamrah pursuant to a Power of Attorney dated February 20, 2026, which is attached hereto as an exhibit. Exhibit List Exhibit 24 - Power of Attorney.</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Anton Brett, on behalf</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02/20/2026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600" w:type="dxa"/>
            <w:vAlign w:val="bottom"/>
            <w:tcBorders>
              <w:top w:val="single" w:sz="8" w:color="auto"/>
              <w:bottom w:val="single" w:sz="8" w:color="auto"/>
            </w:tcBorders>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6"/>
              </w:rPr>
              <w:t>of Craig Hamrah (1)</w:t>
            </w:r>
          </w:p>
        </w:tc>
        <w:tc>
          <w:tcPr>
            <w:tcW w:w="380" w:type="dxa"/>
            <w:vAlign w:val="bottom"/>
            <w:tcBorders>
              <w:top w:val="single" w:sz="8" w:color="auto"/>
              <w:bottom w:val="single" w:sz="8" w:color="auto"/>
            </w:tcBorders>
            <w:vMerge w:val="restart"/>
          </w:tcPr>
          <w:p>
            <w:pPr>
              <w:spacing w:after="0"/>
              <w:rPr>
                <w:sz w:val="8"/>
                <w:szCs w:val="8"/>
                <w:color w:val="auto"/>
              </w:rPr>
            </w:pPr>
          </w:p>
        </w:tc>
        <w:tc>
          <w:tcPr>
            <w:tcW w:w="2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600" w:type="dxa"/>
            <w:vAlign w:val="bottom"/>
            <w:tcBorders>
              <w:bottom w:val="single" w:sz="8" w:color="auto"/>
            </w:tcBorders>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LIMITED POWER OF ATTORNEY FOR</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16 REPORTING OBLIGATIONS</w:t>
      </w:r>
    </w:p>
    <w:p>
      <w:pPr>
        <w:spacing w:after="0" w:line="230" w:lineRule="exact"/>
        <w:rPr>
          <w:sz w:val="20"/>
          <w:szCs w:val="20"/>
          <w:color w:val="auto"/>
        </w:rPr>
      </w:pPr>
    </w:p>
    <w:p>
      <w:pPr>
        <w:jc w:val="both"/>
        <w:spacing w:after="0" w:line="244" w:lineRule="exact"/>
        <w:rPr>
          <w:sz w:val="20"/>
          <w:szCs w:val="20"/>
          <w:color w:val="auto"/>
        </w:rPr>
      </w:pPr>
      <w:r>
        <w:rPr>
          <w:rFonts w:ascii="Times New Roman" w:cs="Times New Roman" w:eastAsia="Times New Roman" w:hAnsi="Times New Roman"/>
          <w:sz w:val="20"/>
          <w:szCs w:val="20"/>
          <w:color w:val="auto"/>
        </w:rPr>
        <w:t>Know all by these presents, that the undersigned hereby makes, constitutes and appoints each of David Stiepleman, Jennifer Gordon, Ian Simmonds, Anton Brett, Joshua Peck, and Steven Pluss or any of them acting singly, and with full power of substitution and re-substitution, the undersigned’s true and lawful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(each of such persons and their substitutes being referred to herein as the “Attorney-in-Fact”), with full power to act for the undersigned and in the undersigned’s name, place and stead, in any and all capacities, to:</w:t>
      </w:r>
    </w:p>
    <w:p>
      <w:pPr>
        <w:spacing w:after="0" w:line="224" w:lineRule="exact"/>
        <w:rPr>
          <w:sz w:val="20"/>
          <w:szCs w:val="20"/>
          <w:color w:val="auto"/>
        </w:rPr>
      </w:pPr>
    </w:p>
    <w:p>
      <w:pPr>
        <w:jc w:val="both"/>
        <w:spacing w:after="0" w:line="261" w:lineRule="auto"/>
        <w:tabs>
          <w:tab w:leader="none" w:pos="21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and submit to the Securities and Exchange Commission (“SEC”) a Form ID, including amendments thereto, and any other documents necessary or appropriate to obtain codes and passwords enabling the undersigned to make electronic filings with the SEC of reports required or considered by the Attorney-in-Fact to be advisable under Section 13 or Section 16 of the Securities Exchange Act of 1934, as amended (the “Exchange Act”), or any rule or regulation promulgated by the SEC;</w:t>
      </w:r>
    </w:p>
    <w:p>
      <w:pPr>
        <w:spacing w:after="0" w:line="200" w:lineRule="exact"/>
        <w:rPr>
          <w:rFonts w:ascii="Times New Roman" w:cs="Times New Roman" w:eastAsia="Times New Roman" w:hAnsi="Times New Roman"/>
          <w:sz w:val="20"/>
          <w:szCs w:val="20"/>
          <w:color w:val="auto"/>
        </w:rPr>
      </w:pPr>
    </w:p>
    <w:p>
      <w:pPr>
        <w:jc w:val="both"/>
        <w:spacing w:after="0" w:line="258" w:lineRule="auto"/>
        <w:tabs>
          <w:tab w:leader="none" w:pos="229"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and submit to the SEC, Sixth Street Lending Partners, a Delaware statutory trust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Exchange Act or any rule or regulation thereunder, or under Rule 144 under the Securities Act of 1933, as amended (“Rule 144”), with respect to the any security of the Company, including Forms 3, 4 and 5, Schedules 13D and 13G, and Form 144;</w:t>
      </w:r>
    </w:p>
    <w:p>
      <w:pPr>
        <w:spacing w:after="0" w:line="204" w:lineRule="exact"/>
        <w:rPr>
          <w:rFonts w:ascii="Times New Roman" w:cs="Times New Roman" w:eastAsia="Times New Roman" w:hAnsi="Times New Roman"/>
          <w:sz w:val="20"/>
          <w:szCs w:val="20"/>
          <w:color w:val="auto"/>
        </w:rPr>
      </w:pPr>
    </w:p>
    <w:p>
      <w:pPr>
        <w:jc w:val="both"/>
        <w:ind w:right="20"/>
        <w:spacing w:after="0" w:line="266" w:lineRule="auto"/>
        <w:tabs>
          <w:tab w:leader="none" w:pos="209"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Form 144 or other form or report, and timely file such form or report with the SEC, the NASDAQ Stock Market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spacing w:after="0" w:line="266" w:lineRule="auto"/>
        <w:tabs>
          <w:tab w:leader="none" w:pos="222"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undersigned acknowledges that:</w:t>
      </w:r>
    </w:p>
    <w:p>
      <w:pPr>
        <w:spacing w:after="0" w:line="250" w:lineRule="exact"/>
        <w:rPr>
          <w:sz w:val="20"/>
          <w:szCs w:val="20"/>
          <w:color w:val="auto"/>
        </w:rPr>
      </w:pPr>
    </w:p>
    <w:p>
      <w:pPr>
        <w:spacing w:after="0" w:line="282" w:lineRule="auto"/>
        <w:tabs>
          <w:tab w:leader="none" w:pos="209"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authorizes, but does not require, the Attorney-in-Fact to act in his or her discretion on information provided to such Attorney-in-Fact without independent verification of such information;</w:t>
      </w:r>
    </w:p>
    <w:p>
      <w:pPr>
        <w:spacing w:after="0" w:line="179" w:lineRule="exact"/>
        <w:rPr>
          <w:rFonts w:ascii="Times New Roman" w:cs="Times New Roman" w:eastAsia="Times New Roman" w:hAnsi="Times New Roman"/>
          <w:sz w:val="20"/>
          <w:szCs w:val="20"/>
          <w:color w:val="auto"/>
        </w:rPr>
      </w:pPr>
    </w:p>
    <w:p>
      <w:pPr>
        <w:spacing w:after="0" w:line="282" w:lineRule="auto"/>
        <w:tabs>
          <w:tab w:leader="none" w:pos="202"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79" w:lineRule="exact"/>
        <w:rPr>
          <w:rFonts w:ascii="Times New Roman" w:cs="Times New Roman" w:eastAsia="Times New Roman" w:hAnsi="Times New Roman"/>
          <w:sz w:val="20"/>
          <w:szCs w:val="20"/>
          <w:color w:val="auto"/>
        </w:rPr>
      </w:pPr>
    </w:p>
    <w:p>
      <w:pPr>
        <w:jc w:val="both"/>
        <w:spacing w:after="0" w:line="266" w:lineRule="auto"/>
        <w:tabs>
          <w:tab w:leader="none" w:pos="249"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95" w:lineRule="exact"/>
        <w:rPr>
          <w:rFonts w:ascii="Times New Roman" w:cs="Times New Roman" w:eastAsia="Times New Roman" w:hAnsi="Times New Roman"/>
          <w:sz w:val="20"/>
          <w:szCs w:val="20"/>
          <w:color w:val="auto"/>
        </w:rPr>
      </w:pPr>
    </w:p>
    <w:p>
      <w:pPr>
        <w:jc w:val="both"/>
        <w:ind w:right="20"/>
        <w:spacing w:after="0" w:line="266" w:lineRule="auto"/>
        <w:tabs>
          <w:tab w:leader="none" w:pos="203"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if personally present, hereby ratifying and confirming all that the Attorney-in-Fact, or his or her substitute or substitutes, shall lawfully do or cause to be done by authority of this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1280160</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139700</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2" w:name="page3"/>
    <w:bookmarkEnd w:id="2"/>
    <w:p>
      <w:pPr>
        <w:spacing w:after="0" w:line="36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or in the event any Attorney-in-Fact ceases to be an employee of the Company, this Power of Attorney shall cease to have effect in relation to such Attorney-in-Fact upon such cessation but shall continue in full force and effect in relation to any remaining Attorney-in-Fact. This Power of Attorney revokes all previous powers of attorney with respect to the subject matter of this Power of Attorney.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executed this Power of Attorney as of February 20, 2026.</w:t>
      </w:r>
    </w:p>
    <w:p>
      <w:pPr>
        <w:spacing w:after="0" w:line="200" w:lineRule="exact"/>
        <w:rPr>
          <w:sz w:val="20"/>
          <w:szCs w:val="20"/>
          <w:color w:val="auto"/>
        </w:rPr>
      </w:pPr>
    </w:p>
    <w:p>
      <w:pPr>
        <w:spacing w:after="0" w:line="29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/s/ Craig Hamrah</w:t>
      </w:r>
    </w:p>
    <w:p>
      <w:pPr>
        <w:spacing w:after="0" w:line="3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Name: Craig Hamrah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1947545</wp:posOffset>
            </wp:positionV>
            <wp:extent cx="6972300"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72300" cy="44450"/>
                    </a:xfrm>
                    <a:prstGeom prst="rect">
                      <a:avLst/>
                    </a:prstGeom>
                    <a:noFill/>
                  </pic:spPr>
                </pic:pic>
              </a:graphicData>
            </a:graphic>
          </wp:anchor>
        </w:drawing>
        <w:drawing>
          <wp:anchor simplePos="0" relativeHeight="251657728" behindDoc="1" locked="0" layoutInCell="0" allowOverlap="1">
            <wp:simplePos x="0" y="0"/>
            <wp:positionH relativeFrom="column">
              <wp:posOffset>4278630</wp:posOffset>
            </wp:positionH>
            <wp:positionV relativeFrom="paragraph">
              <wp:posOffset>-145415</wp:posOffset>
            </wp:positionV>
            <wp:extent cx="266827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668270" cy="9525"/>
                    </a:xfrm>
                    <a:prstGeom prst="rect">
                      <a:avLst/>
                    </a:prstGeom>
                    <a:noFill/>
                  </pic:spPr>
                </pic:pic>
              </a:graphicData>
            </a:graphic>
          </wp:anchor>
        </w:drawing>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1681552" TargetMode="External"/><Relationship Id="rId11" Type="http://schemas.openxmlformats.org/officeDocument/2006/relationships/hyperlink" Target="http://www.sec.gov/cgi-bin/browse-edgar?action=getcompany&amp;CIK=00019253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2026-02-20T17:31:12Z</dcterms:created>
  <dcterms:modified xsi:type="dcterms:W3CDTF">2026-02-20T17:31:12Z</dcterms:modified>
</cp:coreProperties>
</file>