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SIXTH STREET LENDING PARTNERS</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shares of beneficial interest, par value $0.001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Ricardo Davidovich, Esq.</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Haynes and Boone, LLP</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30 Rockefeller Plaza</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26th Floor</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New York, NY 10112</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(212) 835-4837</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March 6,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1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4"/>
          <w:szCs w:val="24"/>
          <w:color w:val="auto"/>
        </w:rPr>
      </w:pPr>
    </w:p>
    <w:p>
      <w:pPr>
        <w:ind w:left="4"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§240.13d-7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4" w:lineRule="exact"/>
        <w:rPr>
          <w:sz w:val="24"/>
          <w:szCs w:val="24"/>
          <w:color w:val="auto"/>
        </w:rPr>
      </w:pPr>
    </w:p>
    <w:p>
      <w:pPr>
        <w:ind w:left="424" w:hanging="424"/>
        <w:spacing w:after="0" w:line="208" w:lineRule="auto"/>
        <w:tabs>
          <w:tab w:leader="none" w:pos="424" w:val="left"/>
        </w:tabs>
        <w:numPr>
          <w:ilvl w:val="0"/>
          <w:numId w:val="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as amended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200660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511" w:right="5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N/A</w:t>
      </w:r>
    </w:p>
    <w:p>
      <w:pPr>
        <w:spacing w:after="0" w:line="266" w:lineRule="exact"/>
        <w:rPr>
          <w:sz w:val="20"/>
          <w:szCs w:val="20"/>
          <w:color w:val="auto"/>
        </w:rPr>
      </w:pPr>
    </w:p>
    <w:p>
      <w:pPr>
        <w:ind w:left="244" w:hanging="87"/>
        <w:spacing w:after="0"/>
        <w:tabs>
          <w:tab w:leader="none" w:pos="2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Public Institution for Social Security</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WC</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64" w:hanging="97"/>
        <w:spacing w:after="0" w:line="207" w:lineRule="exact"/>
        <w:tabs>
          <w:tab w:leader="none" w:pos="664"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0"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Kuwait</w:t>
      </w:r>
    </w:p>
    <w:p>
      <w:pPr>
        <w:spacing w:after="0" w:line="40" w:lineRule="exact"/>
        <w:rPr>
          <w:rFonts w:ascii="Times New Roman" w:cs="Times New Roman" w:eastAsia="Times New Roman" w:hAnsi="Times New Roman"/>
          <w:sz w:val="18"/>
          <w:szCs w:val="18"/>
          <w:color w:val="auto"/>
        </w:rPr>
      </w:pPr>
    </w:p>
    <w:p>
      <w:pPr>
        <w:ind w:left="1404" w:hanging="81"/>
        <w:spacing w:after="0"/>
        <w:tabs>
          <w:tab w:leader="none" w:pos="1404" w:val="left"/>
        </w:tabs>
        <w:numPr>
          <w:ilvl w:val="2"/>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35" w:lineRule="exact"/>
        <w:rPr>
          <w:sz w:val="20"/>
          <w:szCs w:val="20"/>
          <w:color w:val="auto"/>
        </w:rPr>
      </w:pPr>
    </w:p>
    <w:tbl>
      <w:tblPr>
        <w:tblLayout w:type="fixed"/>
        <w:tblInd w:w="204" w:type="dxa"/>
        <w:tblCellMar>
          <w:top w:w="0" w:type="dxa"/>
          <w:left w:w="0" w:type="dxa"/>
          <w:bottom w:w="0" w:type="dxa"/>
          <w:right w:w="0" w:type="dxa"/>
        </w:tblCellMar>
      </w:tblPr>
      <w:tr>
        <w:trPr>
          <w:trHeight w:val="22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Pr>
          <w:p>
            <w:pPr>
              <w:spacing w:after="0"/>
              <w:rPr>
                <w:sz w:val="19"/>
                <w:szCs w:val="19"/>
                <w:color w:val="auto"/>
              </w:rPr>
            </w:pPr>
          </w:p>
        </w:tc>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5,472,221</w:t>
            </w:r>
          </w:p>
        </w:tc>
        <w:tc>
          <w:tcPr>
            <w:tcW w:w="0" w:type="dxa"/>
            <w:vAlign w:val="bottom"/>
          </w:tcPr>
          <w:p>
            <w:pPr>
              <w:spacing w:after="0"/>
              <w:rPr>
                <w:sz w:val="1"/>
                <w:szCs w:val="1"/>
                <w:color w:val="auto"/>
              </w:rPr>
            </w:pPr>
          </w:p>
        </w:tc>
      </w:tr>
      <w:tr>
        <w:trPr>
          <w:trHeight w:val="67"/>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20" w:type="dxa"/>
            <w:vAlign w:val="bottom"/>
            <w:tcBorders>
              <w:bottom w:val="single" w:sz="8" w:color="auto"/>
            </w:tcBorders>
          </w:tcPr>
          <w:p>
            <w:pPr>
              <w:spacing w:after="0"/>
              <w:rPr>
                <w:sz w:val="5"/>
                <w:szCs w:val="5"/>
                <w:color w:val="auto"/>
              </w:rPr>
            </w:pPr>
          </w:p>
        </w:tc>
        <w:tc>
          <w:tcPr>
            <w:tcW w:w="9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020" w:type="dxa"/>
            <w:vAlign w:val="bottom"/>
            <w:vMerge w:val="continue"/>
          </w:tcPr>
          <w:p>
            <w:pPr>
              <w:spacing w:after="0"/>
              <w:rPr>
                <w:sz w:val="10"/>
                <w:szCs w:val="10"/>
                <w:color w:val="auto"/>
              </w:rPr>
            </w:pPr>
          </w:p>
        </w:tc>
        <w:tc>
          <w:tcPr>
            <w:tcW w:w="9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104"/>
        </w:trPr>
        <w:tc>
          <w:tcPr>
            <w:tcW w:w="10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 Beneficially</w:t>
            </w:r>
          </w:p>
        </w:tc>
        <w:tc>
          <w:tcPr>
            <w:tcW w:w="9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0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Pr>
          <w:p>
            <w:pPr>
              <w:spacing w:after="0"/>
              <w:rPr>
                <w:sz w:val="18"/>
                <w:szCs w:val="18"/>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20" w:type="dxa"/>
            <w:vAlign w:val="bottom"/>
            <w:tcBorders>
              <w:bottom w:val="single" w:sz="8" w:color="auto"/>
            </w:tcBorders>
          </w:tcPr>
          <w:p>
            <w:pPr>
              <w:spacing w:after="0"/>
              <w:rPr>
                <w:sz w:val="10"/>
                <w:szCs w:val="10"/>
                <w:color w:val="auto"/>
              </w:rPr>
            </w:pPr>
          </w:p>
        </w:tc>
        <w:tc>
          <w:tcPr>
            <w:tcW w:w="92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20" w:type="dxa"/>
            <w:vAlign w:val="bottom"/>
            <w:vMerge w:val="continue"/>
          </w:tcPr>
          <w:p>
            <w:pPr>
              <w:spacing w:after="0"/>
              <w:rPr>
                <w:sz w:val="6"/>
                <w:szCs w:val="6"/>
                <w:color w:val="auto"/>
              </w:rPr>
            </w:pPr>
          </w:p>
        </w:tc>
        <w:tc>
          <w:tcPr>
            <w:tcW w:w="9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5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0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20" w:type="dxa"/>
            <w:vAlign w:val="bottom"/>
          </w:tcPr>
          <w:p>
            <w:pPr>
              <w:spacing w:after="0"/>
              <w:rPr>
                <w:sz w:val="18"/>
                <w:szCs w:val="18"/>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5,472,221</w:t>
            </w:r>
          </w:p>
        </w:tc>
        <w:tc>
          <w:tcPr>
            <w:tcW w:w="0" w:type="dxa"/>
            <w:vAlign w:val="bottom"/>
          </w:tcPr>
          <w:p>
            <w:pPr>
              <w:spacing w:after="0"/>
              <w:rPr>
                <w:sz w:val="1"/>
                <w:szCs w:val="1"/>
                <w:color w:val="auto"/>
              </w:rPr>
            </w:pPr>
          </w:p>
        </w:tc>
      </w:tr>
      <w:tr>
        <w:trPr>
          <w:trHeight w:val="180"/>
        </w:trPr>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tcBorders>
          </w:tcPr>
          <w:p>
            <w:pPr>
              <w:spacing w:after="0"/>
              <w:rPr>
                <w:sz w:val="15"/>
                <w:szCs w:val="15"/>
                <w:color w:val="auto"/>
              </w:rPr>
            </w:pPr>
          </w:p>
        </w:tc>
        <w:tc>
          <w:tcPr>
            <w:tcW w:w="9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20" w:type="dxa"/>
            <w:vAlign w:val="bottom"/>
          </w:tcPr>
          <w:p>
            <w:pPr>
              <w:spacing w:after="0"/>
              <w:rPr>
                <w:sz w:val="19"/>
                <w:szCs w:val="19"/>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44" w:hanging="89"/>
        <w:spacing w:after="0"/>
        <w:tabs>
          <w:tab w:leader="none" w:pos="184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0</w:t>
      </w:r>
    </w:p>
    <w:p>
      <w:pPr>
        <w:spacing w:after="0" w:line="52" w:lineRule="exact"/>
        <w:rPr>
          <w:sz w:val="20"/>
          <w:szCs w:val="20"/>
          <w:color w:val="auto"/>
        </w:rPr>
      </w:pPr>
    </w:p>
    <w:p>
      <w:pPr>
        <w:ind w:left="164"/>
        <w:spacing w:after="0"/>
        <w:tabs>
          <w:tab w:leader="none" w:pos="544" w:val="left"/>
        </w:tabs>
        <w:rPr>
          <w:sz w:val="20"/>
          <w:szCs w:val="20"/>
          <w:color w:val="auto"/>
        </w:rPr>
      </w:pPr>
      <w:r>
        <w:rPr>
          <w:rFonts w:ascii="Times New Roman" w:cs="Times New Roman" w:eastAsia="Times New Roman" w:hAnsi="Times New Roman"/>
          <w:sz w:val="18"/>
          <w:szCs w:val="18"/>
          <w:color w:val="auto"/>
        </w:rPr>
        <w:t>11. </w:t>
      </w:r>
      <w:r>
        <w:rPr>
          <w:sz w:val="20"/>
          <w:szCs w:val="20"/>
          <w:color w:val="auto"/>
        </w:rPr>
        <w:tab/>
      </w:r>
      <w:r>
        <w:rPr>
          <w:rFonts w:ascii="Times New Roman" w:cs="Times New Roman" w:eastAsia="Times New Roman" w:hAnsi="Times New Roman"/>
          <w:sz w:val="17"/>
          <w:szCs w:val="17"/>
          <w:color w:val="auto"/>
        </w:rPr>
        <w:t>  Aggregate Amount Beneficially Owned by Each Reporting Person</w:t>
      </w:r>
    </w:p>
    <w:p>
      <w:pPr>
        <w:spacing w:after="0" w:line="248" w:lineRule="exact"/>
        <w:rPr>
          <w:sz w:val="20"/>
          <w:szCs w:val="20"/>
          <w:color w:val="auto"/>
        </w:rPr>
      </w:pPr>
    </w:p>
    <w:p>
      <w:pPr>
        <w:ind w:left="664" w:hanging="97"/>
        <w:spacing w:after="0"/>
        <w:tabs>
          <w:tab w:leader="none" w:pos="664"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5,472,221</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7.0% (1)</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EP</w:t>
      </w:r>
    </w:p>
    <w:p>
      <w:pPr>
        <w:spacing w:after="0" w:line="283" w:lineRule="exact"/>
        <w:rPr>
          <w:rFonts w:ascii="Times New Roman" w:cs="Times New Roman" w:eastAsia="Times New Roman" w:hAnsi="Times New Roman"/>
          <w:sz w:val="18"/>
          <w:szCs w:val="18"/>
          <w:color w:val="auto"/>
        </w:rPr>
      </w:pPr>
    </w:p>
    <w:p>
      <w:pPr>
        <w:ind w:left="424" w:right="40" w:hanging="424"/>
        <w:spacing w:after="0" w:line="28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78,448,568 Shares outstanding as of March 6, 2024, as disclosed by the Issuer to the Reporting Person in connection with the March Issuance (as defined below).</w:t>
      </w:r>
    </w:p>
    <w:p>
      <w:pPr>
        <w:sectPr>
          <w:pgSz w:w="11900" w:h="16838" w:orient="portrait"/>
          <w:cols w:equalWidth="0" w:num="1">
            <w:col w:w="10904"/>
          </w:cols>
          <w:pgMar w:left="436" w:top="270" w:right="559" w:bottom="1440" w:gutter="0" w:footer="0" w:header="0"/>
        </w:sectPr>
      </w:pPr>
    </w:p>
    <w:bookmarkStart w:id="2" w:name="page3"/>
    <w:bookmarkEnd w:id="2"/>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Amendment to Schedule 13D (as amended, this “</w:t>
      </w:r>
      <w:r>
        <w:rPr>
          <w:rFonts w:ascii="Times New Roman" w:cs="Times New Roman" w:eastAsia="Times New Roman" w:hAnsi="Times New Roman"/>
          <w:sz w:val="18"/>
          <w:szCs w:val="18"/>
          <w:b w:val="1"/>
          <w:bCs w:val="1"/>
          <w:i w:val="1"/>
          <w:iCs w:val="1"/>
          <w:color w:val="auto"/>
        </w:rPr>
        <w:t>Schedule 13D</w:t>
      </w:r>
      <w:r>
        <w:rPr>
          <w:rFonts w:ascii="Times New Roman" w:cs="Times New Roman" w:eastAsia="Times New Roman" w:hAnsi="Times New Roman"/>
          <w:sz w:val="18"/>
          <w:szCs w:val="18"/>
          <w:color w:val="auto"/>
        </w:rPr>
        <w:t>”) is being filed by the Reporting Person to amend the Schedule 13D related to common shares of beneficial interest, par value $0.001 per share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Sixth Street Lending Partners, a Delaware statutory trust (the “</w:t>
      </w:r>
      <w:r>
        <w:rPr>
          <w:rFonts w:ascii="Times New Roman" w:cs="Times New Roman" w:eastAsia="Times New Roman" w:hAnsi="Times New Roman"/>
          <w:sz w:val="18"/>
          <w:szCs w:val="18"/>
          <w:b w:val="1"/>
          <w:bCs w:val="1"/>
          <w:i w:val="1"/>
          <w:iCs w:val="1"/>
          <w:color w:val="auto"/>
        </w:rPr>
        <w:t>Issuer</w:t>
      </w:r>
      <w:r>
        <w:rPr>
          <w:rFonts w:ascii="Times New Roman" w:cs="Times New Roman" w:eastAsia="Times New Roman" w:hAnsi="Times New Roman"/>
          <w:sz w:val="18"/>
          <w:szCs w:val="18"/>
          <w:color w:val="auto"/>
        </w:rPr>
        <w:t>”), initially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December 22, 2022.</w:t>
      </w:r>
    </w:p>
    <w:p>
      <w:pPr>
        <w:spacing w:after="0" w:line="17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This Amendment to Schedule 13D is being filed to update the aggregate percentage of Shares owned by the Reporting Person, which changed primarily due to the Issuer’s issuance of additional Shares on March 6, 2024 (the “</w:t>
      </w:r>
      <w:r>
        <w:rPr>
          <w:rFonts w:ascii="Times New Roman" w:cs="Times New Roman" w:eastAsia="Times New Roman" w:hAnsi="Times New Roman"/>
          <w:sz w:val="18"/>
          <w:szCs w:val="18"/>
          <w:b w:val="1"/>
          <w:bCs w:val="1"/>
          <w:i w:val="1"/>
          <w:iCs w:val="1"/>
          <w:color w:val="auto"/>
        </w:rPr>
        <w:t>March Issuance</w:t>
      </w:r>
      <w:r>
        <w:rPr>
          <w:rFonts w:ascii="Times New Roman" w:cs="Times New Roman" w:eastAsia="Times New Roman" w:hAnsi="Times New Roman"/>
          <w:sz w:val="18"/>
          <w:szCs w:val="18"/>
          <w:color w:val="auto"/>
        </w:rPr>
        <w:t>”), rather than as a result of any acquisition or disposition of Shares by the Reporting Person. Based on 78,448,568 Shares outstanding as of March 6, 2024, as disclosed by the Issuer to the Reporting Person in connection with the March Issuance, such March Issuance contributed to a decrease of over one percent (1%) in the aggregate percentage ownership reported by the Reporting Person in the Amendment to Schedule 13D filed on December 27, 2023.</w:t>
      </w:r>
    </w:p>
    <w:p>
      <w:pPr>
        <w:spacing w:after="0" w:line="183"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Each capitalized term used and not defined herein shall have the meaning assigned to such term in the Schedule 13D. Except as otherwise provided herein, each Item of the Schedule 13D remains unchanged.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3 is hereby amended and supplemented as follows:</w:t>
      </w:r>
    </w:p>
    <w:p>
      <w:pPr>
        <w:spacing w:after="0" w:line="117"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Board’s declaration of certain dividends on December 29, 2023, pursuant to the Reporting Person’s participation in the DRIP, the Reporting Person acquired an additional 129,007 Shares on February 21, 2024. No additional cash was paid by the Reporting Person in connection with the acquisition of these additional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5 is hereby amended and restated in its entirety as follows: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Items 3 and 4 of this Schedule 13D is hereby incorporated herein by reference.</w:t>
      </w:r>
    </w:p>
    <w:p>
      <w:pPr>
        <w:spacing w:after="0" w:line="225" w:lineRule="exact"/>
        <w:rPr>
          <w:sz w:val="20"/>
          <w:szCs w:val="20"/>
          <w:color w:val="auto"/>
        </w:rPr>
      </w:pPr>
    </w:p>
    <w:p>
      <w:pPr>
        <w:ind w:right="300" w:firstLine="436"/>
        <w:spacing w:after="0" w:line="282" w:lineRule="auto"/>
        <w:tabs>
          <w:tab w:leader="none" w:pos="6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and percentage of the class of securities identified pursuant to Item 1 beneficially owned by the Reporting Person is stated in Items 11 and 13 on the cover page(s) hereto.</w:t>
      </w:r>
    </w:p>
    <w:p>
      <w:pPr>
        <w:spacing w:after="0" w:line="162"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The Reporting Person declares that neither the filing of this Schedule 13D nor anything herein shall be construed as an admission that such person is, for the purposes of Section 13(d) or 13(g) of the Act or any other purpose, the beneficial owner of any securities covered by this Schedule 13D.</w:t>
      </w:r>
    </w:p>
    <w:p>
      <w:pPr>
        <w:spacing w:after="0" w:line="140"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Reporting Person declares that neither the filing of this Schedule 13D nor anything herein shall be construed as an admission that the Reporting Person is, for the purposes of Section 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p>
      <w:pPr>
        <w:spacing w:after="0" w:line="89" w:lineRule="exact"/>
        <w:rPr>
          <w:sz w:val="20"/>
          <w:szCs w:val="20"/>
          <w:color w:val="auto"/>
        </w:rPr>
      </w:pPr>
    </w:p>
    <w:p>
      <w:pPr>
        <w:ind w:left="960" w:hanging="532"/>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Reporting Person has:</w:t>
      </w:r>
    </w:p>
    <w:p>
      <w:pPr>
        <w:spacing w:after="0" w:line="130" w:lineRule="exact"/>
        <w:rPr>
          <w:rFonts w:ascii="Times New Roman" w:cs="Times New Roman" w:eastAsia="Times New Roman" w:hAnsi="Times New Roman"/>
          <w:sz w:val="18"/>
          <w:szCs w:val="18"/>
          <w:color w:val="auto"/>
        </w:rPr>
      </w:pPr>
    </w:p>
    <w:p>
      <w:pPr>
        <w:jc w:val="both"/>
        <w:ind w:left="1420" w:right="6720" w:hanging="439"/>
        <w:spacing w:after="0" w:line="383" w:lineRule="auto"/>
        <w:tabs>
          <w:tab w:leader="none" w:pos="140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Item 7 on the cover page(s) hereto.</w:t>
      </w:r>
    </w:p>
    <w:p>
      <w:pPr>
        <w:ind w:left="1420" w:right="6540" w:hanging="439"/>
        <w:spacing w:after="0" w:line="383" w:lineRule="auto"/>
        <w:tabs>
          <w:tab w:leader="none" w:pos="140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Item 8 on the cover page(s) hereto.</w:t>
      </w:r>
    </w:p>
    <w:p>
      <w:pPr>
        <w:ind w:left="1420" w:right="5820" w:hanging="439"/>
        <w:spacing w:after="0" w:line="407" w:lineRule="auto"/>
        <w:tabs>
          <w:tab w:leader="none" w:pos="140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Item 9 on the cover page(s) hereto.</w:t>
      </w:r>
    </w:p>
    <w:p>
      <w:pPr>
        <w:sectPr>
          <w:pgSz w:w="11900" w:h="16838" w:orient="portrait"/>
          <w:cols w:equalWidth="0" w:num="1">
            <w:col w:w="10960"/>
          </w:cols>
          <w:pgMar w:left="440" w:top="266" w:right="499" w:bottom="1440" w:gutter="0" w:footer="0" w:header="0"/>
        </w:sectPr>
      </w:pPr>
    </w:p>
    <w:bookmarkStart w:id="3" w:name="page4"/>
    <w:bookmarkEnd w:id="3"/>
    <w:p>
      <w:pPr>
        <w:ind w:left="984" w:right="5180" w:hanging="439"/>
        <w:spacing w:after="0" w:line="407" w:lineRule="auto"/>
        <w:tabs>
          <w:tab w:leader="none" w:pos="9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shared power to dispose or to direct the disposition of: See Item 10 on the cover page(s) hereto.</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the date hereof, the Reporting Person owns only the Shares of the Issuer as set forth in this Item 5.</w:t>
      </w:r>
    </w:p>
    <w:p>
      <w:pPr>
        <w:spacing w:after="0" w:line="225" w:lineRule="exact"/>
        <w:rPr>
          <w:sz w:val="20"/>
          <w:szCs w:val="20"/>
          <w:color w:val="auto"/>
        </w:rPr>
      </w:pPr>
    </w:p>
    <w:p>
      <w:pPr>
        <w:ind w:left="-436" w:firstLine="436"/>
        <w:spacing w:after="0" w:line="282" w:lineRule="auto"/>
        <w:tabs>
          <w:tab w:leader="none" w:pos="24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there have been no transactions in the class of securities reported on that were effected by the Reporting Person during the past sixty days or since the most recent filing of Schedule 13D, whichever is less.</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064"/>
          </w:cols>
          <w:pgMar w:left="876" w:top="270" w:right="959" w:bottom="1440" w:gutter="0" w:footer="0" w:header="0"/>
        </w:sectPr>
      </w:pPr>
    </w:p>
    <w:bookmarkStart w:id="4" w:name="page5"/>
    <w:bookmarkEnd w:id="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March 8, 2024</w:t>
      </w:r>
      <w:r>
        <w:rPr>
          <w:sz w:val="20"/>
          <w:szCs w:val="20"/>
          <w:color w:val="auto"/>
        </w:rPr>
        <w:tab/>
      </w:r>
      <w:r>
        <w:rPr>
          <w:rFonts w:ascii="Times New Roman" w:cs="Times New Roman" w:eastAsia="Times New Roman" w:hAnsi="Times New Roman"/>
          <w:sz w:val="17"/>
          <w:szCs w:val="17"/>
          <w:b w:val="1"/>
          <w:bCs w:val="1"/>
          <w:color w:val="auto"/>
        </w:rPr>
        <w:t>THE PUBLIC INSTITUTION FOR SOCIAL SECURITY</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Ricardo Davidovich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Ricardo Davidovich</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10900"/>
          </w:cols>
          <w:pgMar w:left="440" w:top="266" w:right="559" w:bottom="1440" w:gutter="0" w:footer="0" w:header="0"/>
        </w:sectPr>
      </w:pPr>
    </w:p>
    <w:bookmarkStart w:id="5" w:name="page6"/>
    <w:bookmarkEnd w:id="5"/>
    <w:p>
      <w:pPr>
        <w:ind w:left="5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11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RECENT TRANSACTIONS BY THE REPORTING PERSON IN SHARES OF</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Reporting Person</w:t>
            </w:r>
          </w:p>
        </w:tc>
        <w:tc>
          <w:tcPr>
            <w:tcW w:w="5900" w:type="dxa"/>
            <w:vAlign w:val="bottom"/>
            <w:vMerge w:val="restart"/>
          </w:tcPr>
          <w:p>
            <w:pPr>
              <w:spacing w:after="0"/>
              <w:rPr>
                <w:sz w:val="13"/>
                <w:szCs w:val="13"/>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3"/>
                <w:szCs w:val="13"/>
                <w:color w:val="auto"/>
              </w:rPr>
            </w:pP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auto"/>
            </w:tcBorders>
            <w:vMerge w:val="continue"/>
          </w:tcPr>
          <w:p>
            <w:pPr>
              <w:spacing w:after="0"/>
              <w:rPr>
                <w:sz w:val="15"/>
                <w:szCs w:val="15"/>
                <w:color w:val="auto"/>
              </w:rPr>
            </w:pPr>
          </w:p>
        </w:tc>
        <w:tc>
          <w:tcPr>
            <w:tcW w:w="5900" w:type="dxa"/>
            <w:vAlign w:val="bottom"/>
            <w:vMerge w:val="continue"/>
          </w:tcPr>
          <w:p>
            <w:pPr>
              <w:spacing w:after="0"/>
              <w:rPr>
                <w:sz w:val="15"/>
                <w:szCs w:val="15"/>
                <w:color w:val="auto"/>
              </w:rPr>
            </w:pPr>
          </w:p>
        </w:tc>
        <w:tc>
          <w:tcPr>
            <w:tcW w:w="104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130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of Transaction</w:t>
            </w:r>
          </w:p>
        </w:tc>
        <w:tc>
          <w:tcPr>
            <w:tcW w:w="94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Acquired</w:t>
            </w:r>
          </w:p>
        </w:tc>
        <w:tc>
          <w:tcPr>
            <w:tcW w:w="100" w:type="dxa"/>
            <w:vAlign w:val="bottom"/>
          </w:tcPr>
          <w:p>
            <w:pPr>
              <w:spacing w:after="0"/>
              <w:rPr>
                <w:sz w:val="15"/>
                <w:szCs w:val="15"/>
                <w:color w:val="auto"/>
              </w:rPr>
            </w:pPr>
          </w:p>
        </w:tc>
        <w:tc>
          <w:tcPr>
            <w:tcW w:w="6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85"/>
        </w:trPr>
        <w:tc>
          <w:tcPr>
            <w:tcW w:w="6980" w:type="dxa"/>
            <w:vAlign w:val="bottom"/>
            <w:tcBorders>
              <w:top w:val="single" w:sz="8" w:color="CCEEFF"/>
            </w:tcBorders>
            <w:gridSpan w:val="2"/>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The Public Institution for Social Security</w:t>
            </w: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Reinvestment of</w:t>
            </w: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p>
        </w:tc>
        <w:tc>
          <w:tcPr>
            <w:tcW w:w="59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02/21/2024</w:t>
            </w:r>
          </w:p>
        </w:tc>
        <w:tc>
          <w:tcPr>
            <w:tcW w:w="13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Dividends</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129,007.00</w:t>
            </w:r>
          </w:p>
        </w:tc>
        <w:tc>
          <w:tcPr>
            <w:tcW w:w="7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$ 27.75</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
      <w:numFmt w:val="bullet"/>
      <w:start w:val="1"/>
    </w:lvl>
    <w:lvl w:ilvl="1">
      <w:lvlJc w:val="left"/>
      <w:lvlText w:val=" "/>
      <w:numFmt w:val="bullet"/>
      <w:start w:val="1"/>
    </w:lvl>
  </w:abstractNum>
  <w:abstractNum w:abstractNumId="2">
    <w:nsid w:val="2EB141F2"/>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
    <w:nsid w:val="41B71EFB"/>
    <w:multiLevelType w:val="hybridMultilevel"/>
    <w:lvl w:ilvl="0">
      <w:lvlJc w:val="left"/>
      <w:lvlText w:val=" "/>
      <w:numFmt w:val="bullet"/>
      <w:start w:val="1"/>
    </w:lvl>
  </w:abstractNum>
  <w:abstractNum w:abstractNumId="4">
    <w:nsid w:val="79E2A9E3"/>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5">
    <w:nsid w:val="7545E146"/>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2"/>
    </w:lvl>
    <w:lvl w:ilvl="1">
      <w:lvlJc w:val="left"/>
      <w:lvlText w:val="(%2)"/>
      <w:numFmt w:val="lowerRoman"/>
      <w:start w:val="1"/>
    </w:lvl>
  </w:abstractNum>
  <w:abstractNum w:abstractNumId="8">
    <w:nsid w:val="12200854"/>
    <w:multiLevelType w:val="hybridMultilevel"/>
    <w:lvl w:ilvl="0">
      <w:lvlJc w:val="left"/>
      <w:lvlText w:val="(%1)"/>
      <w:numFmt w:val="lowerRoman"/>
      <w:start w:val="4"/>
    </w:lvl>
  </w:abstractNum>
  <w:abstractNum w:abstractNumId="9">
    <w:nsid w:val="4DB127F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2024-03-08T20:34:36Z</dcterms:created>
  <dcterms:modified xsi:type="dcterms:W3CDTF">2024-03-08T20:34:36Z</dcterms:modified>
</cp:coreProperties>
</file>