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(Amendment No. __ )*</w:t>
      </w:r>
    </w:p>
    <w:p>
      <w:pPr>
        <w:spacing w:after="0" w:line="200" w:lineRule="exact"/>
        <w:rPr>
          <w:sz w:val="24"/>
          <w:szCs w:val="24"/>
          <w:color w:val="auto"/>
        </w:rPr>
      </w:pPr>
    </w:p>
    <w:p>
      <w:pPr>
        <w:spacing w:after="0" w:line="25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(Name of Issuer)</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Common shares of beneficial interest,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4"/>
          <w:szCs w:val="14"/>
          <w:color w:val="auto"/>
        </w:rPr>
        <w:t>(Title of Class of Securities)</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4"/>
          <w:szCs w:val="14"/>
          <w:color w:val="auto"/>
        </w:rPr>
        <w:t>(CUSIP Number)</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March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4"/>
          <w:szCs w:val="14"/>
          <w:color w:val="auto"/>
        </w:rPr>
        <w:t>(Date of Event Which Requires Filing of this Statement)</w:t>
      </w: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18" w:lineRule="exact"/>
        <w:rPr>
          <w:sz w:val="24"/>
          <w:szCs w:val="24"/>
          <w:color w:val="auto"/>
        </w:rPr>
      </w:pPr>
    </w:p>
    <w:p>
      <w:pPr>
        <w:ind w:left="1180" w:hanging="1172"/>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 w:lineRule="exact"/>
        <w:rPr>
          <w:sz w:val="24"/>
          <w:szCs w:val="24"/>
          <w:color w:val="auto"/>
        </w:rPr>
      </w:pPr>
    </w:p>
    <w:p>
      <w:pPr>
        <w:ind w:left="1180" w:hanging="1172"/>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9" w:lineRule="exact"/>
        <w:rPr>
          <w:sz w:val="24"/>
          <w:szCs w:val="24"/>
          <w:color w:val="auto"/>
        </w:rPr>
      </w:pPr>
    </w:p>
    <w:p>
      <w:pPr>
        <w:ind w:left="1180" w:hanging="1172"/>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sz w:val="24"/>
          <w:szCs w:val="24"/>
          <w:color w:val="auto"/>
        </w:rPr>
      </w:pPr>
    </w:p>
    <w:p>
      <w:pPr>
        <w:spacing w:after="0" w:line="273" w:lineRule="exact"/>
        <w:rPr>
          <w:sz w:val="24"/>
          <w:szCs w:val="24"/>
          <w:color w:val="auto"/>
        </w:rPr>
      </w:pPr>
    </w:p>
    <w:p>
      <w:pPr>
        <w:ind w:firstLine="8"/>
        <w:spacing w:after="0" w:line="200" w:lineRule="auto"/>
        <w:tabs>
          <w:tab w:leader="none" w:pos="198"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39"/>
        </w:trPr>
        <w:tc>
          <w:tcPr>
            <w:tcW w:w="1100" w:type="dxa"/>
            <w:vAlign w:val="bottom"/>
            <w:tcBorders>
              <w:top w:val="single" w:sz="8" w:color="auto"/>
              <w:left w:val="single" w:sz="8" w:color="auto"/>
              <w:right w:val="single" w:sz="8" w:color="auto"/>
            </w:tcBorders>
            <w:vMerge w:val="restart"/>
          </w:tcPr>
          <w:p>
            <w:pPr>
              <w:jc w:val="center"/>
              <w:ind w:left="72"/>
              <w:spacing w:after="0"/>
              <w:rPr>
                <w:sz w:val="20"/>
                <w:szCs w:val="20"/>
                <w:color w:val="auto"/>
              </w:rPr>
            </w:pPr>
            <w:r>
              <w:rPr>
                <w:rFonts w:ascii="Times New Roman" w:cs="Times New Roman" w:eastAsia="Times New Roman" w:hAnsi="Times New Roman"/>
                <w:sz w:val="43"/>
                <w:szCs w:val="43"/>
                <w:b w:val="1"/>
                <w:bCs w:val="1"/>
                <w:color w:val="auto"/>
              </w:rPr>
              <w:t>1</w:t>
            </w:r>
          </w:p>
        </w:tc>
        <w:tc>
          <w:tcPr>
            <w:tcW w:w="10140" w:type="dxa"/>
            <w:vAlign w:val="bottom"/>
            <w:tcBorders>
              <w:top w:val="single" w:sz="8" w:color="auto"/>
              <w:right w:val="single" w:sz="8" w:color="auto"/>
            </w:tcBorders>
            <w:gridSpan w:val="3"/>
          </w:tcPr>
          <w:p>
            <w:pPr>
              <w:spacing w:after="0" w:line="139" w:lineRule="exact"/>
              <w:rPr>
                <w:sz w:val="20"/>
                <w:szCs w:val="20"/>
                <w:color w:val="auto"/>
              </w:rPr>
            </w:pPr>
            <w:r>
              <w:rPr>
                <w:rFonts w:ascii="Times New Roman" w:cs="Times New Roman" w:eastAsia="Times New Roman" w:hAnsi="Times New Roman"/>
                <w:sz w:val="14"/>
                <w:szCs w:val="14"/>
                <w:color w:val="auto"/>
              </w:rPr>
              <w:t>NAME OF REPORTING PERSONS.</w:t>
            </w:r>
          </w:p>
        </w:tc>
        <w:tc>
          <w:tcPr>
            <w:tcW w:w="0" w:type="dxa"/>
            <w:vAlign w:val="bottom"/>
          </w:tcPr>
          <w:p>
            <w:pPr>
              <w:spacing w:after="0"/>
              <w:rPr>
                <w:sz w:val="1"/>
                <w:szCs w:val="1"/>
                <w:color w:val="auto"/>
              </w:rPr>
            </w:pPr>
          </w:p>
        </w:tc>
      </w:tr>
      <w:tr>
        <w:trPr>
          <w:trHeight w:val="153"/>
        </w:trPr>
        <w:tc>
          <w:tcPr>
            <w:tcW w:w="1100" w:type="dxa"/>
            <w:vAlign w:val="bottom"/>
            <w:tcBorders>
              <w:left w:val="single" w:sz="8" w:color="auto"/>
              <w:right w:val="single" w:sz="8" w:color="auto"/>
            </w:tcBorders>
            <w:vMerge w:val="continue"/>
          </w:tcPr>
          <w:p>
            <w:pPr>
              <w:spacing w:after="0"/>
              <w:rPr>
                <w:sz w:val="13"/>
                <w:szCs w:val="13"/>
                <w:color w:val="auto"/>
              </w:rPr>
            </w:pPr>
          </w:p>
        </w:tc>
        <w:tc>
          <w:tcPr>
            <w:tcW w:w="10140" w:type="dxa"/>
            <w:vAlign w:val="bottom"/>
            <w:tcBorders>
              <w:right w:val="single" w:sz="8" w:color="auto"/>
            </w:tcBorders>
            <w:gridSpan w:val="3"/>
          </w:tcPr>
          <w:p>
            <w:pPr>
              <w:spacing w:after="0" w:line="153" w:lineRule="exact"/>
              <w:rPr>
                <w:sz w:val="20"/>
                <w:szCs w:val="20"/>
                <w:color w:val="auto"/>
              </w:rPr>
            </w:pPr>
            <w:r>
              <w:rPr>
                <w:rFonts w:ascii="Times New Roman" w:cs="Times New Roman" w:eastAsia="Times New Roman" w:hAnsi="Times New Roman"/>
                <w:sz w:val="14"/>
                <w:szCs w:val="14"/>
                <w:color w:val="auto"/>
              </w:rPr>
              <w:t>I.R.S. IDENTIFICATION NOS. OF ABOVE PERSONS (ENTITIES ONLY).</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01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Amwal Investments L.L.C.</w:t>
            </w:r>
          </w:p>
        </w:tc>
        <w:tc>
          <w:tcPr>
            <w:tcW w:w="0" w:type="dxa"/>
            <w:vAlign w:val="bottom"/>
          </w:tcPr>
          <w:p>
            <w:pPr>
              <w:spacing w:after="0"/>
              <w:rPr>
                <w:sz w:val="1"/>
                <w:szCs w:val="1"/>
                <w:color w:val="auto"/>
              </w:rPr>
            </w:pPr>
          </w:p>
        </w:tc>
      </w:tr>
      <w:tr>
        <w:trPr>
          <w:trHeight w:val="115"/>
        </w:trPr>
        <w:tc>
          <w:tcPr>
            <w:tcW w:w="1100" w:type="dxa"/>
            <w:vAlign w:val="bottom"/>
            <w:tcBorders>
              <w:left w:val="single" w:sz="8" w:color="auto"/>
              <w:right w:val="single" w:sz="8" w:color="auto"/>
            </w:tcBorders>
            <w:vMerge w:val="restart"/>
          </w:tcPr>
          <w:p>
            <w:pPr>
              <w:jc w:val="center"/>
              <w:ind w:left="72"/>
              <w:spacing w:after="0"/>
              <w:rPr>
                <w:sz w:val="20"/>
                <w:szCs w:val="20"/>
                <w:color w:val="auto"/>
              </w:rPr>
            </w:pPr>
            <w:r>
              <w:rPr>
                <w:rFonts w:ascii="Times New Roman" w:cs="Times New Roman" w:eastAsia="Times New Roman" w:hAnsi="Times New Roman"/>
                <w:sz w:val="43"/>
                <w:szCs w:val="43"/>
                <w:b w:val="1"/>
                <w:bCs w:val="1"/>
                <w:color w:val="auto"/>
              </w:rPr>
              <w:t>2</w:t>
            </w:r>
          </w:p>
        </w:tc>
        <w:tc>
          <w:tcPr>
            <w:tcW w:w="10140" w:type="dxa"/>
            <w:vAlign w:val="bottom"/>
            <w:tcBorders>
              <w:right w:val="single" w:sz="8" w:color="auto"/>
            </w:tcBorders>
            <w:gridSpan w:val="3"/>
          </w:tcPr>
          <w:p>
            <w:pPr>
              <w:spacing w:after="0" w:line="115" w:lineRule="exact"/>
              <w:rPr>
                <w:sz w:val="20"/>
                <w:szCs w:val="20"/>
                <w:color w:val="auto"/>
              </w:rPr>
            </w:pPr>
            <w:r>
              <w:rPr>
                <w:rFonts w:ascii="Times New Roman" w:cs="Times New Roman" w:eastAsia="Times New Roman" w:hAnsi="Times New Roman"/>
                <w:sz w:val="13"/>
                <w:szCs w:val="13"/>
                <w:color w:val="auto"/>
              </w:rPr>
              <w:t>CHECK THE APPROPRIATE BOX IF A MEMBER OF A GROUP (See Instructions)</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right w:val="single" w:sz="8" w:color="auto"/>
            </w:tcBorders>
            <w:vMerge w:val="continue"/>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8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10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4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1100" w:type="dxa"/>
            <w:vAlign w:val="bottom"/>
            <w:tcBorders>
              <w:left w:val="single" w:sz="8" w:color="auto"/>
              <w:bottom w:val="single" w:sz="8" w:color="auto"/>
              <w:right w:val="single" w:sz="8" w:color="auto"/>
            </w:tcBorders>
          </w:tcPr>
          <w:p>
            <w:pPr>
              <w:jc w:val="center"/>
              <w:ind w:left="72"/>
              <w:spacing w:after="0" w:line="493" w:lineRule="exact"/>
              <w:rPr>
                <w:sz w:val="20"/>
                <w:szCs w:val="20"/>
                <w:color w:val="auto"/>
              </w:rPr>
            </w:pPr>
            <w:r>
              <w:rPr>
                <w:rFonts w:ascii="Times New Roman" w:cs="Times New Roman" w:eastAsia="Times New Roman" w:hAnsi="Times New Roman"/>
                <w:sz w:val="43"/>
                <w:szCs w:val="43"/>
                <w:b w:val="1"/>
                <w:bCs w:val="1"/>
                <w:color w:val="auto"/>
              </w:rPr>
              <w:t>3</w:t>
            </w: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SEC USE ONLY</w:t>
            </w: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72"/>
              <w:spacing w:after="0" w:line="493" w:lineRule="exact"/>
              <w:rPr>
                <w:sz w:val="20"/>
                <w:szCs w:val="20"/>
                <w:color w:val="auto"/>
              </w:rPr>
            </w:pPr>
            <w:r>
              <w:rPr>
                <w:rFonts w:ascii="Times New Roman" w:cs="Times New Roman" w:eastAsia="Times New Roman" w:hAnsi="Times New Roman"/>
                <w:sz w:val="43"/>
                <w:szCs w:val="43"/>
                <w:b w:val="1"/>
                <w:bCs w:val="1"/>
                <w:color w:val="auto"/>
              </w:rPr>
              <w:t>4</w:t>
            </w:r>
          </w:p>
        </w:tc>
        <w:tc>
          <w:tcPr>
            <w:tcW w:w="10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CITIZENSHIP OR PLACE OF ORGANIZATION</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014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Emirate of Abu Dhabi, United Arab Emirates</w:t>
            </w:r>
          </w:p>
        </w:tc>
        <w:tc>
          <w:tcPr>
            <w:tcW w:w="0" w:type="dxa"/>
            <w:vAlign w:val="bottom"/>
          </w:tcPr>
          <w:p>
            <w:pPr>
              <w:spacing w:after="0"/>
              <w:rPr>
                <w:sz w:val="1"/>
                <w:szCs w:val="1"/>
                <w:color w:val="auto"/>
              </w:rPr>
            </w:pPr>
          </w:p>
        </w:tc>
      </w:tr>
      <w:tr>
        <w:trPr>
          <w:trHeight w:val="237"/>
        </w:trPr>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vMerge w:val="restart"/>
          </w:tcPr>
          <w:p>
            <w:pPr>
              <w:jc w:val="right"/>
              <w:ind w:right="146"/>
              <w:spacing w:after="0" w:line="493" w:lineRule="exact"/>
              <w:rPr>
                <w:sz w:val="20"/>
                <w:szCs w:val="20"/>
                <w:color w:val="auto"/>
              </w:rPr>
            </w:pPr>
            <w:r>
              <w:rPr>
                <w:rFonts w:ascii="Times New Roman" w:cs="Times New Roman" w:eastAsia="Times New Roman" w:hAnsi="Times New Roman"/>
                <w:sz w:val="43"/>
                <w:szCs w:val="43"/>
                <w:b w:val="1"/>
                <w:bCs w:val="1"/>
                <w:color w:val="auto"/>
              </w:rPr>
              <w:t>5</w:t>
            </w:r>
          </w:p>
        </w:tc>
        <w:tc>
          <w:tcPr>
            <w:tcW w:w="8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vMerge w:val="continue"/>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73"/>
        </w:trPr>
        <w:tc>
          <w:tcPr>
            <w:tcW w:w="110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vMerge w:val="restart"/>
          </w:tcPr>
          <w:p>
            <w:pPr>
              <w:jc w:val="right"/>
              <w:ind w:right="146"/>
              <w:spacing w:after="0" w:line="470" w:lineRule="exact"/>
              <w:rPr>
                <w:sz w:val="20"/>
                <w:szCs w:val="20"/>
                <w:color w:val="auto"/>
              </w:rPr>
            </w:pPr>
            <w:r>
              <w:rPr>
                <w:rFonts w:ascii="Times New Roman" w:cs="Times New Roman" w:eastAsia="Times New Roman" w:hAnsi="Times New Roman"/>
                <w:sz w:val="43"/>
                <w:szCs w:val="43"/>
                <w:b w:val="1"/>
                <w:bCs w:val="1"/>
                <w:color w:val="auto"/>
              </w:rPr>
              <w:t>6</w:t>
            </w:r>
          </w:p>
        </w:tc>
        <w:tc>
          <w:tcPr>
            <w:tcW w:w="8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49"/>
        </w:trPr>
        <w:tc>
          <w:tcPr>
            <w:tcW w:w="1720" w:type="dxa"/>
            <w:vAlign w:val="bottom"/>
            <w:tcBorders>
              <w:left w:val="single" w:sz="8" w:color="auto"/>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 SHARES</w:t>
            </w:r>
          </w:p>
        </w:tc>
        <w:tc>
          <w:tcPr>
            <w:tcW w:w="1080" w:type="dxa"/>
            <w:vAlign w:val="bottom"/>
            <w:tcBorders>
              <w:right w:val="single" w:sz="8" w:color="auto"/>
            </w:tcBorders>
            <w:vMerge w:val="continue"/>
          </w:tcPr>
          <w:p>
            <w:pPr>
              <w:spacing w:after="0"/>
              <w:rPr>
                <w:sz w:val="12"/>
                <w:szCs w:val="12"/>
                <w:color w:val="auto"/>
              </w:rPr>
            </w:pPr>
          </w:p>
        </w:tc>
        <w:tc>
          <w:tcPr>
            <w:tcW w:w="8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1,805,383 shares</w:t>
            </w: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BENEFICIALLY OWNED</w:t>
            </w:r>
          </w:p>
        </w:tc>
        <w:tc>
          <w:tcPr>
            <w:tcW w:w="1080" w:type="dxa"/>
            <w:vAlign w:val="bottom"/>
            <w:tcBorders>
              <w:right w:val="single" w:sz="8" w:color="auto"/>
            </w:tcBorders>
            <w:vMerge w:val="continue"/>
          </w:tcPr>
          <w:p>
            <w:pPr>
              <w:spacing w:after="0"/>
              <w:rPr>
                <w:sz w:val="12"/>
                <w:szCs w:val="12"/>
                <w:color w:val="auto"/>
              </w:rPr>
            </w:pPr>
          </w:p>
        </w:tc>
        <w:tc>
          <w:tcPr>
            <w:tcW w:w="84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720" w:type="dxa"/>
            <w:vAlign w:val="bottom"/>
            <w:tcBorders>
              <w:left w:val="single" w:sz="8" w:color="auto"/>
              <w:right w:val="single" w:sz="8" w:color="auto"/>
            </w:tcBorders>
            <w:gridSpan w:val="2"/>
            <w:vMerge w:val="restart"/>
          </w:tcPr>
          <w:p>
            <w:pPr>
              <w:jc w:val="center"/>
              <w:spacing w:after="0" w:line="158" w:lineRule="exact"/>
              <w:rPr>
                <w:sz w:val="20"/>
                <w:szCs w:val="20"/>
                <w:color w:val="auto"/>
              </w:rPr>
            </w:pPr>
            <w:r>
              <w:rPr>
                <w:rFonts w:ascii="Times New Roman" w:cs="Times New Roman" w:eastAsia="Times New Roman" w:hAnsi="Times New Roman"/>
                <w:sz w:val="14"/>
                <w:szCs w:val="14"/>
                <w:color w:val="auto"/>
              </w:rPr>
              <w:t>BY EACH REPORTING</w:t>
            </w: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720" w:type="dxa"/>
            <w:vAlign w:val="bottom"/>
            <w:tcBorders>
              <w:left w:val="single" w:sz="8" w:color="auto"/>
              <w:right w:val="single" w:sz="8" w:color="auto"/>
            </w:tcBorders>
            <w:gridSpan w:val="2"/>
            <w:vMerge w:val="continue"/>
          </w:tcPr>
          <w:p>
            <w:pPr>
              <w:spacing w:after="0"/>
              <w:rPr>
                <w:sz w:val="10"/>
                <w:szCs w:val="10"/>
                <w:color w:val="auto"/>
              </w:rPr>
            </w:pPr>
          </w:p>
        </w:tc>
        <w:tc>
          <w:tcPr>
            <w:tcW w:w="1080" w:type="dxa"/>
            <w:vAlign w:val="bottom"/>
            <w:tcBorders>
              <w:right w:val="single" w:sz="8" w:color="auto"/>
            </w:tcBorders>
            <w:vMerge w:val="restart"/>
          </w:tcPr>
          <w:p>
            <w:pPr>
              <w:jc w:val="right"/>
              <w:ind w:right="146"/>
              <w:spacing w:after="0" w:line="493" w:lineRule="exact"/>
              <w:rPr>
                <w:sz w:val="20"/>
                <w:szCs w:val="20"/>
                <w:color w:val="auto"/>
              </w:rPr>
            </w:pPr>
            <w:r>
              <w:rPr>
                <w:rFonts w:ascii="Times New Roman" w:cs="Times New Roman" w:eastAsia="Times New Roman" w:hAnsi="Times New Roman"/>
                <w:sz w:val="43"/>
                <w:szCs w:val="43"/>
                <w:b w:val="1"/>
                <w:bCs w:val="1"/>
                <w:color w:val="auto"/>
              </w:rPr>
              <w:t>7</w:t>
            </w:r>
          </w:p>
        </w:tc>
        <w:tc>
          <w:tcPr>
            <w:tcW w:w="8440" w:type="dxa"/>
            <w:vAlign w:val="bottom"/>
            <w:tcBorders>
              <w:right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rPr>
              <w:t>SOLE DISPOSITIVE POWER</w:t>
            </w:r>
          </w:p>
        </w:tc>
        <w:tc>
          <w:tcPr>
            <w:tcW w:w="0" w:type="dxa"/>
            <w:vAlign w:val="bottom"/>
          </w:tcPr>
          <w:p>
            <w:pPr>
              <w:spacing w:after="0"/>
              <w:rPr>
                <w:sz w:val="1"/>
                <w:szCs w:val="1"/>
                <w:color w:val="auto"/>
              </w:rPr>
            </w:pPr>
          </w:p>
        </w:tc>
      </w:tr>
      <w:tr>
        <w:trPr>
          <w:trHeight w:val="188"/>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PERSON WITH:</w:t>
            </w:r>
          </w:p>
        </w:tc>
        <w:tc>
          <w:tcPr>
            <w:tcW w:w="1080" w:type="dxa"/>
            <w:vAlign w:val="bottom"/>
            <w:tcBorders>
              <w:right w:val="single" w:sz="8" w:color="auto"/>
            </w:tcBorders>
            <w:vMerge w:val="continue"/>
          </w:tcPr>
          <w:p>
            <w:pPr>
              <w:spacing w:after="0"/>
              <w:rPr>
                <w:sz w:val="16"/>
                <w:szCs w:val="16"/>
                <w:color w:val="auto"/>
              </w:rPr>
            </w:pPr>
          </w:p>
        </w:tc>
        <w:tc>
          <w:tcPr>
            <w:tcW w:w="8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95"/>
        </w:trPr>
        <w:tc>
          <w:tcPr>
            <w:tcW w:w="110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vMerge w:val="continue"/>
          </w:tcPr>
          <w:p>
            <w:pPr>
              <w:spacing w:after="0"/>
              <w:rPr>
                <w:sz w:val="16"/>
                <w:szCs w:val="16"/>
                <w:color w:val="auto"/>
              </w:rPr>
            </w:pPr>
          </w:p>
        </w:tc>
        <w:tc>
          <w:tcPr>
            <w:tcW w:w="84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vMerge w:val="restart"/>
          </w:tcPr>
          <w:p>
            <w:pPr>
              <w:jc w:val="right"/>
              <w:ind w:right="146"/>
              <w:spacing w:after="0" w:line="493" w:lineRule="exact"/>
              <w:rPr>
                <w:sz w:val="20"/>
                <w:szCs w:val="20"/>
                <w:color w:val="auto"/>
              </w:rPr>
            </w:pPr>
            <w:r>
              <w:rPr>
                <w:rFonts w:ascii="Times New Roman" w:cs="Times New Roman" w:eastAsia="Times New Roman" w:hAnsi="Times New Roman"/>
                <w:sz w:val="43"/>
                <w:szCs w:val="43"/>
                <w:b w:val="1"/>
                <w:bCs w:val="1"/>
                <w:color w:val="auto"/>
              </w:rPr>
              <w:t>8</w:t>
            </w:r>
          </w:p>
        </w:tc>
        <w:tc>
          <w:tcPr>
            <w:tcW w:w="8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vMerge w:val="continue"/>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1,805,383 shares</w:t>
            </w:r>
          </w:p>
        </w:tc>
        <w:tc>
          <w:tcPr>
            <w:tcW w:w="0" w:type="dxa"/>
            <w:vAlign w:val="bottom"/>
          </w:tcPr>
          <w:p>
            <w:pPr>
              <w:spacing w:after="0"/>
              <w:rPr>
                <w:sz w:val="1"/>
                <w:szCs w:val="1"/>
                <w:color w:val="auto"/>
              </w:rPr>
            </w:pPr>
          </w:p>
        </w:tc>
      </w:tr>
      <w:tr>
        <w:trPr>
          <w:trHeight w:val="237"/>
        </w:trPr>
        <w:tc>
          <w:tcPr>
            <w:tcW w:w="1100" w:type="dxa"/>
            <w:vAlign w:val="bottom"/>
            <w:tcBorders>
              <w:bottom w:val="single" w:sz="8" w:color="auto"/>
            </w:tcBorders>
          </w:tcPr>
          <w:p>
            <w:pPr>
              <w:spacing w:after="0"/>
              <w:rPr>
                <w:sz w:val="20"/>
                <w:szCs w:val="20"/>
                <w:color w:val="auto"/>
              </w:rPr>
            </w:pPr>
          </w:p>
        </w:tc>
        <w:tc>
          <w:tcPr>
            <w:tcW w:w="101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72"/>
              <w:spacing w:after="0" w:line="493" w:lineRule="exact"/>
              <w:rPr>
                <w:sz w:val="20"/>
                <w:szCs w:val="20"/>
                <w:color w:val="auto"/>
              </w:rPr>
            </w:pPr>
            <w:r>
              <w:rPr>
                <w:rFonts w:ascii="Times New Roman" w:cs="Times New Roman" w:eastAsia="Times New Roman" w:hAnsi="Times New Roman"/>
                <w:sz w:val="43"/>
                <w:szCs w:val="43"/>
                <w:b w:val="1"/>
                <w:bCs w:val="1"/>
                <w:color w:val="auto"/>
              </w:rPr>
              <w:t>9</w:t>
            </w:r>
          </w:p>
        </w:tc>
        <w:tc>
          <w:tcPr>
            <w:tcW w:w="10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1,805,383 shares</w:t>
            </w: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00" w:type="dxa"/>
            <w:vAlign w:val="bottom"/>
            <w:tcBorders>
              <w:left w:val="single" w:sz="8" w:color="auto"/>
              <w:bottom w:val="single" w:sz="8" w:color="auto"/>
              <w:right w:val="single" w:sz="8" w:color="auto"/>
            </w:tcBorders>
          </w:tcPr>
          <w:p>
            <w:pPr>
              <w:jc w:val="center"/>
              <w:ind w:left="92"/>
              <w:spacing w:after="0" w:line="493" w:lineRule="exact"/>
              <w:rPr>
                <w:sz w:val="20"/>
                <w:szCs w:val="20"/>
                <w:color w:val="auto"/>
              </w:rPr>
            </w:pPr>
            <w:r>
              <w:rPr>
                <w:rFonts w:ascii="Times New Roman" w:cs="Times New Roman" w:eastAsia="Times New Roman" w:hAnsi="Times New Roman"/>
                <w:sz w:val="43"/>
                <w:szCs w:val="43"/>
                <w:b w:val="1"/>
                <w:bCs w:val="1"/>
                <w:color w:val="auto"/>
              </w:rPr>
              <w:t>10</w:t>
            </w:r>
          </w:p>
        </w:tc>
        <w:tc>
          <w:tcPr>
            <w:tcW w:w="10140" w:type="dxa"/>
            <w:vAlign w:val="bottom"/>
            <w:tcBorders>
              <w:bottom w:val="single" w:sz="8" w:color="auto"/>
              <w:right w:val="single" w:sz="8" w:color="auto"/>
            </w:tcBorders>
            <w:gridSpan w:val="3"/>
          </w:tcPr>
          <w:p>
            <w:pPr>
              <w:spacing w:after="0" w:line="196" w:lineRule="exact"/>
              <w:rPr>
                <w:sz w:val="20"/>
                <w:szCs w:val="20"/>
                <w:color w:val="auto"/>
              </w:rPr>
            </w:pPr>
            <w:r>
              <w:rPr>
                <w:rFonts w:ascii="Times New Roman" w:cs="Times New Roman" w:eastAsia="Times New Roman" w:hAnsi="Times New Roman"/>
                <w:sz w:val="14"/>
                <w:szCs w:val="14"/>
                <w:color w:val="auto"/>
              </w:rPr>
              <w:t xml:space="preserve">CHECK BOX IF THE AGGREGATE AMOUNT IN ROW (9) EXCLUDES CERTAIN SHARES (See Instructions)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92"/>
              <w:spacing w:after="0" w:line="493" w:lineRule="exact"/>
              <w:rPr>
                <w:sz w:val="20"/>
                <w:szCs w:val="20"/>
                <w:color w:val="auto"/>
              </w:rPr>
            </w:pPr>
            <w:r>
              <w:rPr>
                <w:rFonts w:ascii="Times New Roman" w:cs="Times New Roman" w:eastAsia="Times New Roman" w:hAnsi="Times New Roman"/>
                <w:sz w:val="43"/>
                <w:szCs w:val="43"/>
                <w:b w:val="1"/>
                <w:bCs w:val="1"/>
                <w:color w:val="auto"/>
                <w:w w:val="92"/>
              </w:rPr>
              <w:t>11</w:t>
            </w:r>
          </w:p>
        </w:tc>
        <w:tc>
          <w:tcPr>
            <w:tcW w:w="10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5.73%</w:t>
            </w:r>
          </w:p>
        </w:tc>
        <w:tc>
          <w:tcPr>
            <w:tcW w:w="108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92"/>
              <w:spacing w:after="0" w:line="493" w:lineRule="exact"/>
              <w:rPr>
                <w:sz w:val="20"/>
                <w:szCs w:val="20"/>
                <w:color w:val="auto"/>
              </w:rPr>
            </w:pPr>
            <w:r>
              <w:rPr>
                <w:rFonts w:ascii="Times New Roman" w:cs="Times New Roman" w:eastAsia="Times New Roman" w:hAnsi="Times New Roman"/>
                <w:sz w:val="43"/>
                <w:szCs w:val="43"/>
                <w:b w:val="1"/>
                <w:bCs w:val="1"/>
                <w:color w:val="auto"/>
              </w:rPr>
              <w:t>12</w:t>
            </w:r>
          </w:p>
        </w:tc>
        <w:tc>
          <w:tcPr>
            <w:tcW w:w="1014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OO</w:t>
            </w:r>
          </w:p>
        </w:tc>
        <w:tc>
          <w:tcPr>
            <w:tcW w:w="108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100" w:type="dxa"/>
            <w:vAlign w:val="bottom"/>
            <w:tcBorders>
              <w:top w:val="single" w:sz="8" w:color="auto"/>
              <w:left w:val="single" w:sz="8" w:color="auto"/>
              <w:right w:val="single" w:sz="8" w:color="auto"/>
            </w:tcBorders>
            <w:vMerge w:val="restart"/>
          </w:tcPr>
          <w:p>
            <w:pPr>
              <w:jc w:val="center"/>
              <w:ind w:left="72"/>
              <w:spacing w:after="0"/>
              <w:rPr>
                <w:sz w:val="20"/>
                <w:szCs w:val="20"/>
                <w:color w:val="auto"/>
              </w:rPr>
            </w:pPr>
            <w:r>
              <w:rPr>
                <w:rFonts w:ascii="Times New Roman" w:cs="Times New Roman" w:eastAsia="Times New Roman" w:hAnsi="Times New Roman"/>
                <w:sz w:val="43"/>
                <w:szCs w:val="43"/>
                <w:b w:val="1"/>
                <w:bCs w:val="1"/>
                <w:color w:val="auto"/>
              </w:rPr>
              <w:t>1</w:t>
            </w:r>
          </w:p>
        </w:tc>
        <w:tc>
          <w:tcPr>
            <w:tcW w:w="10140" w:type="dxa"/>
            <w:vAlign w:val="bottom"/>
            <w:tcBorders>
              <w:top w:val="single" w:sz="8" w:color="auto"/>
              <w:right w:val="single" w:sz="8" w:color="auto"/>
            </w:tcBorders>
            <w:gridSpan w:val="4"/>
          </w:tcPr>
          <w:p>
            <w:pPr>
              <w:spacing w:after="0" w:line="139" w:lineRule="exact"/>
              <w:rPr>
                <w:sz w:val="20"/>
                <w:szCs w:val="20"/>
                <w:color w:val="auto"/>
              </w:rPr>
            </w:pPr>
            <w:r>
              <w:rPr>
                <w:rFonts w:ascii="Times New Roman" w:cs="Times New Roman" w:eastAsia="Times New Roman" w:hAnsi="Times New Roman"/>
                <w:sz w:val="14"/>
                <w:szCs w:val="14"/>
                <w:color w:val="auto"/>
              </w:rPr>
              <w:t>NAME OF REPORTING PERSONS.</w:t>
            </w:r>
          </w:p>
        </w:tc>
        <w:tc>
          <w:tcPr>
            <w:tcW w:w="0" w:type="dxa"/>
            <w:vAlign w:val="bottom"/>
          </w:tcPr>
          <w:p>
            <w:pPr>
              <w:spacing w:after="0"/>
              <w:rPr>
                <w:sz w:val="1"/>
                <w:szCs w:val="1"/>
                <w:color w:val="auto"/>
              </w:rPr>
            </w:pPr>
          </w:p>
        </w:tc>
      </w:tr>
      <w:tr>
        <w:trPr>
          <w:trHeight w:val="153"/>
        </w:trPr>
        <w:tc>
          <w:tcPr>
            <w:tcW w:w="1100" w:type="dxa"/>
            <w:vAlign w:val="bottom"/>
            <w:tcBorders>
              <w:left w:val="single" w:sz="8" w:color="auto"/>
              <w:right w:val="single" w:sz="8" w:color="auto"/>
            </w:tcBorders>
            <w:vMerge w:val="continue"/>
          </w:tcPr>
          <w:p>
            <w:pPr>
              <w:spacing w:after="0"/>
              <w:rPr>
                <w:sz w:val="13"/>
                <w:szCs w:val="13"/>
                <w:color w:val="auto"/>
              </w:rPr>
            </w:pPr>
          </w:p>
        </w:tc>
        <w:tc>
          <w:tcPr>
            <w:tcW w:w="10140" w:type="dxa"/>
            <w:vAlign w:val="bottom"/>
            <w:tcBorders>
              <w:right w:val="single" w:sz="8" w:color="auto"/>
            </w:tcBorders>
            <w:gridSpan w:val="4"/>
          </w:tcPr>
          <w:p>
            <w:pPr>
              <w:spacing w:after="0" w:line="153" w:lineRule="exact"/>
              <w:rPr>
                <w:sz w:val="20"/>
                <w:szCs w:val="20"/>
                <w:color w:val="auto"/>
              </w:rPr>
            </w:pPr>
            <w:r>
              <w:rPr>
                <w:rFonts w:ascii="Times New Roman" w:cs="Times New Roman" w:eastAsia="Times New Roman" w:hAnsi="Times New Roman"/>
                <w:sz w:val="14"/>
                <w:szCs w:val="14"/>
                <w:color w:val="auto"/>
              </w:rPr>
              <w:t>I.R.S. IDENTIFICATION NOS. OF ABOVE PERSONS (ENTITIES ONLY).</w:t>
            </w: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01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Abu Dhabi Investment Council Company PJSC</w:t>
            </w:r>
          </w:p>
        </w:tc>
        <w:tc>
          <w:tcPr>
            <w:tcW w:w="0" w:type="dxa"/>
            <w:vAlign w:val="bottom"/>
          </w:tcPr>
          <w:p>
            <w:pPr>
              <w:spacing w:after="0"/>
              <w:rPr>
                <w:sz w:val="1"/>
                <w:szCs w:val="1"/>
                <w:color w:val="auto"/>
              </w:rPr>
            </w:pPr>
          </w:p>
        </w:tc>
      </w:tr>
      <w:tr>
        <w:trPr>
          <w:trHeight w:val="115"/>
        </w:trPr>
        <w:tc>
          <w:tcPr>
            <w:tcW w:w="1100" w:type="dxa"/>
            <w:vAlign w:val="bottom"/>
            <w:tcBorders>
              <w:left w:val="single" w:sz="8" w:color="auto"/>
              <w:right w:val="single" w:sz="8" w:color="auto"/>
            </w:tcBorders>
            <w:vMerge w:val="restart"/>
          </w:tcPr>
          <w:p>
            <w:pPr>
              <w:jc w:val="center"/>
              <w:ind w:left="72"/>
              <w:spacing w:after="0"/>
              <w:rPr>
                <w:sz w:val="20"/>
                <w:szCs w:val="20"/>
                <w:color w:val="auto"/>
              </w:rPr>
            </w:pPr>
            <w:r>
              <w:rPr>
                <w:rFonts w:ascii="Times New Roman" w:cs="Times New Roman" w:eastAsia="Times New Roman" w:hAnsi="Times New Roman"/>
                <w:sz w:val="43"/>
                <w:szCs w:val="43"/>
                <w:b w:val="1"/>
                <w:bCs w:val="1"/>
                <w:color w:val="auto"/>
              </w:rPr>
              <w:t>2</w:t>
            </w:r>
          </w:p>
        </w:tc>
        <w:tc>
          <w:tcPr>
            <w:tcW w:w="10140" w:type="dxa"/>
            <w:vAlign w:val="bottom"/>
            <w:tcBorders>
              <w:right w:val="single" w:sz="8" w:color="auto"/>
            </w:tcBorders>
            <w:gridSpan w:val="4"/>
          </w:tcPr>
          <w:p>
            <w:pPr>
              <w:spacing w:after="0" w:line="115" w:lineRule="exact"/>
              <w:rPr>
                <w:sz w:val="20"/>
                <w:szCs w:val="20"/>
                <w:color w:val="auto"/>
              </w:rPr>
            </w:pPr>
            <w:r>
              <w:rPr>
                <w:rFonts w:ascii="Times New Roman" w:cs="Times New Roman" w:eastAsia="Times New Roman" w:hAnsi="Times New Roman"/>
                <w:sz w:val="13"/>
                <w:szCs w:val="13"/>
                <w:color w:val="auto"/>
              </w:rPr>
              <w:t>CHECK THE APPROPRIATE BOX IF A MEMBER OF A GROUP (See Instructions)</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right w:val="single" w:sz="8" w:color="auto"/>
            </w:tcBorders>
            <w:vMerge w:val="continue"/>
          </w:tcPr>
          <w:p>
            <w:pPr>
              <w:spacing w:after="0"/>
              <w:rPr>
                <w:sz w:val="17"/>
                <w:szCs w:val="17"/>
                <w:color w:val="auto"/>
              </w:rPr>
            </w:pPr>
          </w:p>
        </w:tc>
        <w:tc>
          <w:tcPr>
            <w:tcW w:w="1080" w:type="dxa"/>
            <w:vAlign w:val="bottom"/>
            <w:gridSpan w:val="2"/>
          </w:tcPr>
          <w:p>
            <w:pPr>
              <w:ind w:left="380"/>
              <w:spacing w:after="0" w:line="19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620" w:type="dxa"/>
            <w:vAlign w:val="bottom"/>
          </w:tcPr>
          <w:p>
            <w:pPr>
              <w:spacing w:after="0"/>
              <w:rPr>
                <w:sz w:val="17"/>
                <w:szCs w:val="17"/>
                <w:color w:val="auto"/>
              </w:rPr>
            </w:pPr>
          </w:p>
        </w:tc>
        <w:tc>
          <w:tcPr>
            <w:tcW w:w="8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10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1080" w:type="dxa"/>
            <w:vAlign w:val="bottom"/>
            <w:tcBorders>
              <w:bottom w:val="single" w:sz="8" w:color="auto"/>
            </w:tcBorders>
            <w:gridSpan w:val="2"/>
          </w:tcPr>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620" w:type="dxa"/>
            <w:vAlign w:val="bottom"/>
            <w:tcBorders>
              <w:bottom w:val="single" w:sz="8" w:color="auto"/>
            </w:tcBorders>
          </w:tcPr>
          <w:p>
            <w:pPr>
              <w:spacing w:after="0"/>
              <w:rPr>
                <w:sz w:val="22"/>
                <w:szCs w:val="22"/>
                <w:color w:val="auto"/>
              </w:rPr>
            </w:pPr>
          </w:p>
        </w:tc>
        <w:tc>
          <w:tcPr>
            <w:tcW w:w="84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1100" w:type="dxa"/>
            <w:vAlign w:val="bottom"/>
            <w:tcBorders>
              <w:left w:val="single" w:sz="8" w:color="auto"/>
              <w:bottom w:val="single" w:sz="8" w:color="auto"/>
              <w:right w:val="single" w:sz="8" w:color="auto"/>
            </w:tcBorders>
          </w:tcPr>
          <w:p>
            <w:pPr>
              <w:jc w:val="center"/>
              <w:ind w:left="72"/>
              <w:spacing w:after="0" w:line="493" w:lineRule="exact"/>
              <w:rPr>
                <w:sz w:val="20"/>
                <w:szCs w:val="20"/>
                <w:color w:val="auto"/>
              </w:rPr>
            </w:pPr>
            <w:r>
              <w:rPr>
                <w:rFonts w:ascii="Times New Roman" w:cs="Times New Roman" w:eastAsia="Times New Roman" w:hAnsi="Times New Roman"/>
                <w:sz w:val="43"/>
                <w:szCs w:val="43"/>
                <w:b w:val="1"/>
                <w:bCs w:val="1"/>
                <w:color w:val="auto"/>
              </w:rPr>
              <w:t>3</w:t>
            </w: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SEC USE ONLY</w:t>
            </w:r>
          </w:p>
        </w:tc>
        <w:tc>
          <w:tcPr>
            <w:tcW w:w="62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72"/>
              <w:spacing w:after="0" w:line="493" w:lineRule="exact"/>
              <w:rPr>
                <w:sz w:val="20"/>
                <w:szCs w:val="20"/>
                <w:color w:val="auto"/>
              </w:rPr>
            </w:pPr>
            <w:r>
              <w:rPr>
                <w:rFonts w:ascii="Times New Roman" w:cs="Times New Roman" w:eastAsia="Times New Roman" w:hAnsi="Times New Roman"/>
                <w:sz w:val="43"/>
                <w:szCs w:val="43"/>
                <w:b w:val="1"/>
                <w:bCs w:val="1"/>
                <w:color w:val="auto"/>
              </w:rPr>
              <w:t>4</w:t>
            </w: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CITIZENSHIP OR PLACE OF ORGANIZATION</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014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The Emirate of Abu Dhabi, United Arab Emirates</w:t>
            </w:r>
          </w:p>
        </w:tc>
        <w:tc>
          <w:tcPr>
            <w:tcW w:w="0" w:type="dxa"/>
            <w:vAlign w:val="bottom"/>
          </w:tcPr>
          <w:p>
            <w:pPr>
              <w:spacing w:after="0"/>
              <w:rPr>
                <w:sz w:val="1"/>
                <w:szCs w:val="1"/>
                <w:color w:val="auto"/>
              </w:rPr>
            </w:pPr>
          </w:p>
        </w:tc>
      </w:tr>
      <w:tr>
        <w:trPr>
          <w:trHeight w:val="237"/>
        </w:trPr>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Borders>
              <w:right w:val="single" w:sz="8" w:color="auto"/>
            </w:tcBorders>
            <w:vMerge w:val="restart"/>
          </w:tcPr>
          <w:p>
            <w:pPr>
              <w:jc w:val="right"/>
              <w:ind w:right="104"/>
              <w:spacing w:after="0" w:line="493" w:lineRule="exact"/>
              <w:rPr>
                <w:sz w:val="20"/>
                <w:szCs w:val="20"/>
                <w:color w:val="auto"/>
              </w:rPr>
            </w:pPr>
            <w:r>
              <w:rPr>
                <w:rFonts w:ascii="Times New Roman" w:cs="Times New Roman" w:eastAsia="Times New Roman" w:hAnsi="Times New Roman"/>
                <w:sz w:val="43"/>
                <w:szCs w:val="43"/>
                <w:b w:val="1"/>
                <w:bCs w:val="1"/>
                <w:color w:val="auto"/>
              </w:rPr>
              <w:t>5</w:t>
            </w:r>
          </w:p>
        </w:tc>
        <w:tc>
          <w:tcPr>
            <w:tcW w:w="8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vMerge w:val="continue"/>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73"/>
        </w:trPr>
        <w:tc>
          <w:tcPr>
            <w:tcW w:w="110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Borders>
              <w:right w:val="single" w:sz="8" w:color="auto"/>
            </w:tcBorders>
            <w:vMerge w:val="restart"/>
          </w:tcPr>
          <w:p>
            <w:pPr>
              <w:jc w:val="right"/>
              <w:ind w:right="104"/>
              <w:spacing w:after="0" w:line="470" w:lineRule="exact"/>
              <w:rPr>
                <w:sz w:val="20"/>
                <w:szCs w:val="20"/>
                <w:color w:val="auto"/>
              </w:rPr>
            </w:pPr>
            <w:r>
              <w:rPr>
                <w:rFonts w:ascii="Times New Roman" w:cs="Times New Roman" w:eastAsia="Times New Roman" w:hAnsi="Times New Roman"/>
                <w:sz w:val="43"/>
                <w:szCs w:val="43"/>
                <w:b w:val="1"/>
                <w:bCs w:val="1"/>
                <w:color w:val="auto"/>
              </w:rPr>
              <w:t>6</w:t>
            </w:r>
          </w:p>
        </w:tc>
        <w:tc>
          <w:tcPr>
            <w:tcW w:w="8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49"/>
        </w:trPr>
        <w:tc>
          <w:tcPr>
            <w:tcW w:w="1720" w:type="dxa"/>
            <w:vAlign w:val="bottom"/>
            <w:tcBorders>
              <w:left w:val="single" w:sz="8" w:color="auto"/>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NUMBER OF SHARES</w:t>
            </w:r>
          </w:p>
        </w:tc>
        <w:tc>
          <w:tcPr>
            <w:tcW w:w="460" w:type="dxa"/>
            <w:vAlign w:val="bottom"/>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8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1,805,383 shares</w:t>
            </w:r>
          </w:p>
        </w:tc>
        <w:tc>
          <w:tcPr>
            <w:tcW w:w="0" w:type="dxa"/>
            <w:vAlign w:val="bottom"/>
          </w:tcPr>
          <w:p>
            <w:pPr>
              <w:spacing w:after="0"/>
              <w:rPr>
                <w:sz w:val="1"/>
                <w:szCs w:val="1"/>
                <w:color w:val="auto"/>
              </w:rPr>
            </w:pPr>
          </w:p>
        </w:tc>
      </w:tr>
      <w:tr>
        <w:trPr>
          <w:trHeight w:val="148"/>
        </w:trPr>
        <w:tc>
          <w:tcPr>
            <w:tcW w:w="1720" w:type="dxa"/>
            <w:vAlign w:val="bottom"/>
            <w:tcBorders>
              <w:left w:val="single" w:sz="8" w:color="auto"/>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BENEFICIALLY OWNED</w:t>
            </w:r>
          </w:p>
        </w:tc>
        <w:tc>
          <w:tcPr>
            <w:tcW w:w="460" w:type="dxa"/>
            <w:vAlign w:val="bottom"/>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84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720" w:type="dxa"/>
            <w:vAlign w:val="bottom"/>
            <w:tcBorders>
              <w:left w:val="single" w:sz="8" w:color="auto"/>
              <w:right w:val="single" w:sz="8" w:color="auto"/>
            </w:tcBorders>
            <w:gridSpan w:val="2"/>
            <w:vMerge w:val="restart"/>
          </w:tcPr>
          <w:p>
            <w:pPr>
              <w:jc w:val="center"/>
              <w:spacing w:after="0" w:line="158" w:lineRule="exact"/>
              <w:rPr>
                <w:sz w:val="20"/>
                <w:szCs w:val="20"/>
                <w:color w:val="auto"/>
              </w:rPr>
            </w:pPr>
            <w:r>
              <w:rPr>
                <w:rFonts w:ascii="Times New Roman" w:cs="Times New Roman" w:eastAsia="Times New Roman" w:hAnsi="Times New Roman"/>
                <w:sz w:val="14"/>
                <w:szCs w:val="14"/>
                <w:color w:val="auto"/>
              </w:rPr>
              <w:t>BY EACH REPORTING</w:t>
            </w: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8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720" w:type="dxa"/>
            <w:vAlign w:val="bottom"/>
            <w:tcBorders>
              <w:left w:val="single" w:sz="8" w:color="auto"/>
              <w:right w:val="single" w:sz="8" w:color="auto"/>
            </w:tcBorders>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Borders>
              <w:right w:val="single" w:sz="8" w:color="auto"/>
            </w:tcBorders>
            <w:vMerge w:val="restart"/>
          </w:tcPr>
          <w:p>
            <w:pPr>
              <w:jc w:val="right"/>
              <w:ind w:right="104"/>
              <w:spacing w:after="0" w:line="493" w:lineRule="exact"/>
              <w:rPr>
                <w:sz w:val="20"/>
                <w:szCs w:val="20"/>
                <w:color w:val="auto"/>
              </w:rPr>
            </w:pPr>
            <w:r>
              <w:rPr>
                <w:rFonts w:ascii="Times New Roman" w:cs="Times New Roman" w:eastAsia="Times New Roman" w:hAnsi="Times New Roman"/>
                <w:sz w:val="43"/>
                <w:szCs w:val="43"/>
                <w:b w:val="1"/>
                <w:bCs w:val="1"/>
                <w:color w:val="auto"/>
              </w:rPr>
              <w:t>7</w:t>
            </w:r>
          </w:p>
        </w:tc>
        <w:tc>
          <w:tcPr>
            <w:tcW w:w="8440" w:type="dxa"/>
            <w:vAlign w:val="bottom"/>
            <w:tcBorders>
              <w:right w:val="single" w:sz="8" w:color="auto"/>
            </w:tcBorders>
          </w:tcPr>
          <w:p>
            <w:pPr>
              <w:spacing w:after="0" w:line="115" w:lineRule="exact"/>
              <w:rPr>
                <w:sz w:val="20"/>
                <w:szCs w:val="20"/>
                <w:color w:val="auto"/>
              </w:rPr>
            </w:pPr>
            <w:r>
              <w:rPr>
                <w:rFonts w:ascii="Times New Roman" w:cs="Times New Roman" w:eastAsia="Times New Roman" w:hAnsi="Times New Roman"/>
                <w:sz w:val="13"/>
                <w:szCs w:val="13"/>
                <w:color w:val="auto"/>
              </w:rPr>
              <w:t>SOLE DISPOSITIVE POWER</w:t>
            </w:r>
          </w:p>
        </w:tc>
        <w:tc>
          <w:tcPr>
            <w:tcW w:w="0" w:type="dxa"/>
            <w:vAlign w:val="bottom"/>
          </w:tcPr>
          <w:p>
            <w:pPr>
              <w:spacing w:after="0"/>
              <w:rPr>
                <w:sz w:val="1"/>
                <w:szCs w:val="1"/>
                <w:color w:val="auto"/>
              </w:rPr>
            </w:pPr>
          </w:p>
        </w:tc>
      </w:tr>
      <w:tr>
        <w:trPr>
          <w:trHeight w:val="188"/>
        </w:trPr>
        <w:tc>
          <w:tcPr>
            <w:tcW w:w="172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PERSON WITH:</w:t>
            </w:r>
          </w:p>
        </w:tc>
        <w:tc>
          <w:tcPr>
            <w:tcW w:w="46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84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90"/>
        </w:trPr>
        <w:tc>
          <w:tcPr>
            <w:tcW w:w="1100" w:type="dxa"/>
            <w:vAlign w:val="bottom"/>
            <w:tcBorders>
              <w:lef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vMerge w:val="continue"/>
          </w:tcPr>
          <w:p>
            <w:pPr>
              <w:spacing w:after="0"/>
              <w:rPr>
                <w:sz w:val="16"/>
                <w:szCs w:val="16"/>
                <w:color w:val="auto"/>
              </w:rPr>
            </w:pPr>
          </w:p>
        </w:tc>
        <w:tc>
          <w:tcPr>
            <w:tcW w:w="84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Borders>
              <w:right w:val="single" w:sz="8" w:color="auto"/>
            </w:tcBorders>
            <w:vMerge w:val="restart"/>
          </w:tcPr>
          <w:p>
            <w:pPr>
              <w:jc w:val="right"/>
              <w:ind w:right="104"/>
              <w:spacing w:after="0" w:line="493" w:lineRule="exact"/>
              <w:rPr>
                <w:sz w:val="20"/>
                <w:szCs w:val="20"/>
                <w:color w:val="auto"/>
              </w:rPr>
            </w:pPr>
            <w:r>
              <w:rPr>
                <w:rFonts w:ascii="Times New Roman" w:cs="Times New Roman" w:eastAsia="Times New Roman" w:hAnsi="Times New Roman"/>
                <w:sz w:val="43"/>
                <w:szCs w:val="43"/>
                <w:b w:val="1"/>
                <w:bCs w:val="1"/>
                <w:color w:val="auto"/>
              </w:rPr>
              <w:t>8</w:t>
            </w:r>
          </w:p>
        </w:tc>
        <w:tc>
          <w:tcPr>
            <w:tcW w:w="8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SHARED DISPOSITIVE POWER</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vMerge w:val="continue"/>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1,805,383 shares</w:t>
            </w:r>
          </w:p>
        </w:tc>
        <w:tc>
          <w:tcPr>
            <w:tcW w:w="0" w:type="dxa"/>
            <w:vAlign w:val="bottom"/>
          </w:tcPr>
          <w:p>
            <w:pPr>
              <w:spacing w:after="0"/>
              <w:rPr>
                <w:sz w:val="1"/>
                <w:szCs w:val="1"/>
                <w:color w:val="auto"/>
              </w:rPr>
            </w:pPr>
          </w:p>
        </w:tc>
      </w:tr>
      <w:tr>
        <w:trPr>
          <w:trHeight w:val="237"/>
        </w:trPr>
        <w:tc>
          <w:tcPr>
            <w:tcW w:w="1100" w:type="dxa"/>
            <w:vAlign w:val="bottom"/>
            <w:tcBorders>
              <w:bottom w:val="single" w:sz="8" w:color="auto"/>
            </w:tcBorders>
          </w:tcPr>
          <w:p>
            <w:pPr>
              <w:spacing w:after="0"/>
              <w:rPr>
                <w:sz w:val="20"/>
                <w:szCs w:val="20"/>
                <w:color w:val="auto"/>
              </w:rPr>
            </w:pPr>
          </w:p>
        </w:tc>
        <w:tc>
          <w:tcPr>
            <w:tcW w:w="1014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72"/>
              <w:spacing w:after="0" w:line="493" w:lineRule="exact"/>
              <w:rPr>
                <w:sz w:val="20"/>
                <w:szCs w:val="20"/>
                <w:color w:val="auto"/>
              </w:rPr>
            </w:pPr>
            <w:r>
              <w:rPr>
                <w:rFonts w:ascii="Times New Roman" w:cs="Times New Roman" w:eastAsia="Times New Roman" w:hAnsi="Times New Roman"/>
                <w:sz w:val="43"/>
                <w:szCs w:val="43"/>
                <w:b w:val="1"/>
                <w:bCs w:val="1"/>
                <w:color w:val="auto"/>
              </w:rPr>
              <w:t>9</w:t>
            </w: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1,805,383 shares</w:t>
            </w: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100" w:type="dxa"/>
            <w:vAlign w:val="bottom"/>
            <w:tcBorders>
              <w:left w:val="single" w:sz="8" w:color="auto"/>
              <w:bottom w:val="single" w:sz="8" w:color="auto"/>
              <w:right w:val="single" w:sz="8" w:color="auto"/>
            </w:tcBorders>
          </w:tcPr>
          <w:p>
            <w:pPr>
              <w:jc w:val="center"/>
              <w:ind w:left="92"/>
              <w:spacing w:after="0" w:line="493" w:lineRule="exact"/>
              <w:rPr>
                <w:sz w:val="20"/>
                <w:szCs w:val="20"/>
                <w:color w:val="auto"/>
              </w:rPr>
            </w:pPr>
            <w:r>
              <w:rPr>
                <w:rFonts w:ascii="Times New Roman" w:cs="Times New Roman" w:eastAsia="Times New Roman" w:hAnsi="Times New Roman"/>
                <w:sz w:val="43"/>
                <w:szCs w:val="43"/>
                <w:b w:val="1"/>
                <w:bCs w:val="1"/>
                <w:color w:val="auto"/>
              </w:rPr>
              <w:t>10</w:t>
            </w:r>
          </w:p>
        </w:tc>
        <w:tc>
          <w:tcPr>
            <w:tcW w:w="10140" w:type="dxa"/>
            <w:vAlign w:val="bottom"/>
            <w:tcBorders>
              <w:bottom w:val="single" w:sz="8" w:color="auto"/>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14"/>
                <w:szCs w:val="14"/>
                <w:color w:val="auto"/>
              </w:rPr>
              <w:t xml:space="preserve">CHECK BOX IF THE AGGREGATE AMOUNT IN ROW (9) EXCLUDES CERTAIN SHARES (See Instructions)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92"/>
              <w:spacing w:after="0" w:line="493" w:lineRule="exact"/>
              <w:rPr>
                <w:sz w:val="20"/>
                <w:szCs w:val="20"/>
                <w:color w:val="auto"/>
              </w:rPr>
            </w:pPr>
            <w:r>
              <w:rPr>
                <w:rFonts w:ascii="Times New Roman" w:cs="Times New Roman" w:eastAsia="Times New Roman" w:hAnsi="Times New Roman"/>
                <w:sz w:val="43"/>
                <w:szCs w:val="43"/>
                <w:b w:val="1"/>
                <w:bCs w:val="1"/>
                <w:color w:val="auto"/>
                <w:w w:val="92"/>
              </w:rPr>
              <w:t>11</w:t>
            </w: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5.73%</w:t>
            </w: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ind w:left="92"/>
              <w:spacing w:after="0" w:line="493" w:lineRule="exact"/>
              <w:rPr>
                <w:sz w:val="20"/>
                <w:szCs w:val="20"/>
                <w:color w:val="auto"/>
              </w:rPr>
            </w:pPr>
            <w:r>
              <w:rPr>
                <w:rFonts w:ascii="Times New Roman" w:cs="Times New Roman" w:eastAsia="Times New Roman" w:hAnsi="Times New Roman"/>
                <w:sz w:val="43"/>
                <w:szCs w:val="43"/>
                <w:b w:val="1"/>
                <w:bCs w:val="1"/>
                <w:color w:val="auto"/>
              </w:rPr>
              <w:t>12</w:t>
            </w:r>
          </w:p>
        </w:tc>
        <w:tc>
          <w:tcPr>
            <w:tcW w:w="101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311"/>
        </w:trPr>
        <w:tc>
          <w:tcPr>
            <w:tcW w:w="11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w:t>
            </w:r>
          </w:p>
        </w:tc>
        <w:tc>
          <w:tcPr>
            <w:tcW w:w="620" w:type="dxa"/>
            <w:vAlign w:val="bottom"/>
            <w:tcBorders>
              <w:bottom w:val="single" w:sz="8" w:color="auto"/>
            </w:tcBorders>
          </w:tcPr>
          <w:p>
            <w:pPr>
              <w:spacing w:after="0"/>
              <w:rPr>
                <w:sz w:val="24"/>
                <w:szCs w:val="24"/>
                <w:color w:val="auto"/>
              </w:rPr>
            </w:pPr>
          </w:p>
        </w:tc>
        <w:tc>
          <w:tcPr>
            <w:tcW w:w="8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w:t>
            </w:r>
          </w:p>
        </w:tc>
        <w:tc>
          <w:tcPr>
            <w:tcW w:w="6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49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Name of Issuer</w:t>
            </w:r>
          </w:p>
        </w:tc>
        <w:tc>
          <w:tcPr>
            <w:tcW w:w="4740" w:type="dxa"/>
            <w:vAlign w:val="bottom"/>
          </w:tcPr>
          <w:p>
            <w:pPr>
              <w:spacing w:after="0"/>
              <w:rPr>
                <w:sz w:val="22"/>
                <w:szCs w:val="22"/>
                <w:color w:val="auto"/>
              </w:rPr>
            </w:pPr>
          </w:p>
        </w:tc>
      </w:tr>
      <w:tr>
        <w:trPr>
          <w:trHeight w:val="282"/>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Sixth Street Lending Partners (the “Issuer”).</w:t>
            </w:r>
          </w:p>
        </w:tc>
        <w:tc>
          <w:tcPr>
            <w:tcW w:w="4740" w:type="dxa"/>
            <w:vAlign w:val="bottom"/>
          </w:tcPr>
          <w:p>
            <w:pPr>
              <w:spacing w:after="0"/>
              <w:rPr>
                <w:sz w:val="24"/>
                <w:szCs w:val="24"/>
                <w:color w:val="auto"/>
              </w:rPr>
            </w:pPr>
          </w:p>
        </w:tc>
      </w:tr>
      <w:tr>
        <w:trPr>
          <w:trHeight w:val="447"/>
        </w:trPr>
        <w:tc>
          <w:tcPr>
            <w:tcW w:w="900" w:type="dxa"/>
            <w:vAlign w:val="bottom"/>
          </w:tcPr>
          <w:p>
            <w:pPr>
              <w:spacing w:after="0"/>
              <w:rPr>
                <w:sz w:val="24"/>
                <w:szCs w:val="24"/>
                <w:color w:val="auto"/>
              </w:rPr>
            </w:pPr>
          </w:p>
        </w:tc>
        <w:tc>
          <w:tcPr>
            <w:tcW w:w="560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   Address of Issuer’s Principal Executive Offices</w:t>
            </w:r>
          </w:p>
        </w:tc>
        <w:tc>
          <w:tcPr>
            <w:tcW w:w="4740" w:type="dxa"/>
            <w:vAlign w:val="bottom"/>
          </w:tcPr>
          <w:p>
            <w:pPr>
              <w:spacing w:after="0"/>
              <w:rPr>
                <w:sz w:val="24"/>
                <w:szCs w:val="24"/>
                <w:color w:val="auto"/>
              </w:rPr>
            </w:pPr>
          </w:p>
        </w:tc>
      </w:tr>
      <w:tr>
        <w:trPr>
          <w:trHeight w:val="243"/>
        </w:trPr>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2100 McKinney Avenue,</w:t>
            </w:r>
          </w:p>
        </w:tc>
        <w:tc>
          <w:tcPr>
            <w:tcW w:w="4740" w:type="dxa"/>
            <w:vAlign w:val="bottom"/>
          </w:tcPr>
          <w:p>
            <w:pPr>
              <w:spacing w:after="0"/>
              <w:rPr>
                <w:sz w:val="21"/>
                <w:szCs w:val="21"/>
                <w:color w:val="auto"/>
              </w:rPr>
            </w:pPr>
          </w:p>
        </w:tc>
      </w:tr>
      <w:tr>
        <w:trPr>
          <w:trHeight w:val="243"/>
        </w:trPr>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Suite 1500,</w:t>
            </w:r>
          </w:p>
        </w:tc>
        <w:tc>
          <w:tcPr>
            <w:tcW w:w="4740" w:type="dxa"/>
            <w:vAlign w:val="bottom"/>
          </w:tcPr>
          <w:p>
            <w:pPr>
              <w:spacing w:after="0"/>
              <w:rPr>
                <w:sz w:val="21"/>
                <w:szCs w:val="21"/>
                <w:color w:val="auto"/>
              </w:rPr>
            </w:pPr>
          </w:p>
        </w:tc>
      </w:tr>
      <w:tr>
        <w:trPr>
          <w:trHeight w:val="282"/>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Dallas, TX 75201</w:t>
            </w:r>
          </w:p>
        </w:tc>
        <w:tc>
          <w:tcPr>
            <w:tcW w:w="4740" w:type="dxa"/>
            <w:vAlign w:val="bottom"/>
          </w:tcPr>
          <w:p>
            <w:pPr>
              <w:spacing w:after="0"/>
              <w:rPr>
                <w:sz w:val="24"/>
                <w:szCs w:val="24"/>
                <w:color w:val="auto"/>
              </w:rPr>
            </w:pPr>
          </w:p>
        </w:tc>
      </w:tr>
      <w:tr>
        <w:trPr>
          <w:trHeight w:val="447"/>
        </w:trPr>
        <w:tc>
          <w:tcPr>
            <w:tcW w:w="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2.</w:t>
            </w:r>
          </w:p>
        </w:tc>
        <w:tc>
          <w:tcPr>
            <w:tcW w:w="6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49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Name of Person Filing</w:t>
            </w:r>
          </w:p>
        </w:tc>
        <w:tc>
          <w:tcPr>
            <w:tcW w:w="4740" w:type="dxa"/>
            <w:vAlign w:val="bottom"/>
          </w:tcPr>
          <w:p>
            <w:pPr>
              <w:spacing w:after="0"/>
              <w:rPr>
                <w:sz w:val="24"/>
                <w:szCs w:val="24"/>
                <w:color w:val="auto"/>
              </w:rPr>
            </w:pPr>
          </w:p>
        </w:tc>
      </w:tr>
      <w:tr>
        <w:trPr>
          <w:trHeight w:val="243"/>
        </w:trPr>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8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This statement is filed by (i) Amwal Investments L.L.C., (“Amwal”) and (ii) Abu Dhabi Investment Council</w:t>
            </w:r>
          </w:p>
        </w:tc>
      </w:tr>
      <w:tr>
        <w:trPr>
          <w:trHeight w:val="282"/>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Company PJSC (“ADIC”). The foregoing are collectively referred to herein as the “Reporting Persons.”</w:t>
            </w:r>
          </w:p>
        </w:tc>
      </w:tr>
      <w:tr>
        <w:trPr>
          <w:trHeight w:val="486"/>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Amwal holds the securities of the Issuer.</w:t>
            </w:r>
          </w:p>
        </w:tc>
        <w:tc>
          <w:tcPr>
            <w:tcW w:w="4740" w:type="dxa"/>
            <w:vAlign w:val="bottom"/>
          </w:tcPr>
          <w:p>
            <w:pPr>
              <w:spacing w:after="0"/>
              <w:rPr>
                <w:sz w:val="24"/>
                <w:szCs w:val="24"/>
                <w:color w:val="auto"/>
              </w:rPr>
            </w:pPr>
          </w:p>
        </w:tc>
      </w:tr>
      <w:tr>
        <w:trPr>
          <w:trHeight w:val="486"/>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Amwal is a wholly-owned subsidiary of ADIC.</w:t>
            </w:r>
          </w:p>
        </w:tc>
        <w:tc>
          <w:tcPr>
            <w:tcW w:w="4740" w:type="dxa"/>
            <w:vAlign w:val="bottom"/>
          </w:tcPr>
          <w:p>
            <w:pPr>
              <w:spacing w:after="0"/>
              <w:rPr>
                <w:sz w:val="24"/>
                <w:szCs w:val="24"/>
                <w:color w:val="auto"/>
              </w:rPr>
            </w:pPr>
          </w:p>
        </w:tc>
      </w:tr>
      <w:tr>
        <w:trPr>
          <w:trHeight w:val="486"/>
        </w:trPr>
        <w:tc>
          <w:tcPr>
            <w:tcW w:w="90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22"/>
                <w:szCs w:val="22"/>
                <w:b w:val="1"/>
                <w:bCs w:val="1"/>
                <w:color w:val="auto"/>
              </w:rPr>
              <w:t>(b)   Address of Principal Business Office or, if none, Residence</w:t>
            </w:r>
          </w:p>
        </w:tc>
      </w:tr>
      <w:tr>
        <w:trPr>
          <w:trHeight w:val="447"/>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8"/>
              </w:rPr>
              <w:t>The principal office of Amwal is Al Bahar Towers, Salam Street Intersection with 19</w:t>
            </w:r>
            <w:r>
              <w:rPr>
                <w:rFonts w:ascii="Times New Roman" w:cs="Times New Roman" w:eastAsia="Times New Roman" w:hAnsi="Times New Roman"/>
                <w:sz w:val="35"/>
                <w:szCs w:val="35"/>
                <w:color w:val="auto"/>
                <w:w w:val="98"/>
                <w:vertAlign w:val="superscript"/>
              </w:rPr>
              <w:t>th</w:t>
            </w:r>
            <w:r>
              <w:rPr>
                <w:rFonts w:ascii="Times New Roman" w:cs="Times New Roman" w:eastAsia="Times New Roman" w:hAnsi="Times New Roman"/>
                <w:sz w:val="22"/>
                <w:szCs w:val="22"/>
                <w:color w:val="auto"/>
                <w:w w:val="98"/>
              </w:rPr>
              <w:t xml:space="preserve"> Street, P.O. Box 6199,</w:t>
            </w:r>
          </w:p>
        </w:tc>
      </w:tr>
      <w:tr>
        <w:trPr>
          <w:trHeight w:val="243"/>
        </w:trPr>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8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Abu Dhabi, United Arab Emirates. The principial address of ADIC is Al Bahr Towers, Sheikh Zayed Bin</w:t>
            </w:r>
          </w:p>
        </w:tc>
      </w:tr>
      <w:tr>
        <w:trPr>
          <w:trHeight w:val="282"/>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Sullan, Street 19, Abu Dhabi, United Arab Emirates 61999.</w:t>
            </w:r>
          </w:p>
        </w:tc>
      </w:tr>
      <w:tr>
        <w:trPr>
          <w:trHeight w:val="447"/>
        </w:trPr>
        <w:tc>
          <w:tcPr>
            <w:tcW w:w="90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(c)</w:t>
            </w:r>
          </w:p>
        </w:tc>
        <w:tc>
          <w:tcPr>
            <w:tcW w:w="494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Citizenship</w:t>
            </w:r>
          </w:p>
        </w:tc>
        <w:tc>
          <w:tcPr>
            <w:tcW w:w="4740" w:type="dxa"/>
            <w:vAlign w:val="bottom"/>
          </w:tcPr>
          <w:p>
            <w:pPr>
              <w:spacing w:after="0"/>
              <w:rPr>
                <w:sz w:val="24"/>
                <w:szCs w:val="24"/>
                <w:color w:val="auto"/>
              </w:rPr>
            </w:pPr>
          </w:p>
        </w:tc>
      </w:tr>
      <w:tr>
        <w:trPr>
          <w:trHeight w:val="282"/>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Please refer to Item 4 on each cover page for each Reporting Person.</w:t>
            </w:r>
          </w:p>
        </w:tc>
      </w:tr>
      <w:tr>
        <w:trPr>
          <w:trHeight w:val="447"/>
        </w:trPr>
        <w:tc>
          <w:tcPr>
            <w:tcW w:w="900" w:type="dxa"/>
            <w:vAlign w:val="bottom"/>
          </w:tcPr>
          <w:p>
            <w:pPr>
              <w:spacing w:after="0"/>
              <w:rPr>
                <w:sz w:val="24"/>
                <w:szCs w:val="24"/>
                <w:color w:val="auto"/>
              </w:rPr>
            </w:pPr>
          </w:p>
        </w:tc>
        <w:tc>
          <w:tcPr>
            <w:tcW w:w="560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(d)   Title of Class of Securities</w:t>
            </w:r>
          </w:p>
        </w:tc>
        <w:tc>
          <w:tcPr>
            <w:tcW w:w="4740" w:type="dxa"/>
            <w:vAlign w:val="bottom"/>
          </w:tcPr>
          <w:p>
            <w:pPr>
              <w:spacing w:after="0"/>
              <w:rPr>
                <w:sz w:val="24"/>
                <w:szCs w:val="24"/>
                <w:color w:val="auto"/>
              </w:rPr>
            </w:pPr>
          </w:p>
        </w:tc>
      </w:tr>
      <w:tr>
        <w:trPr>
          <w:trHeight w:val="282"/>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Common shares of beneficial interest, par value $0.001 per share.</w:t>
            </w:r>
          </w:p>
        </w:tc>
      </w:tr>
      <w:tr>
        <w:trPr>
          <w:trHeight w:val="447"/>
        </w:trPr>
        <w:tc>
          <w:tcPr>
            <w:tcW w:w="90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(e)</w:t>
            </w:r>
          </w:p>
        </w:tc>
        <w:tc>
          <w:tcPr>
            <w:tcW w:w="494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CUSIP Number</w:t>
            </w:r>
          </w:p>
        </w:tc>
        <w:tc>
          <w:tcPr>
            <w:tcW w:w="4740" w:type="dxa"/>
            <w:vAlign w:val="bottom"/>
          </w:tcPr>
          <w:p>
            <w:pPr>
              <w:spacing w:after="0"/>
              <w:rPr>
                <w:sz w:val="24"/>
                <w:szCs w:val="24"/>
                <w:color w:val="auto"/>
              </w:rPr>
            </w:pPr>
          </w:p>
        </w:tc>
      </w:tr>
      <w:tr>
        <w:trPr>
          <w:trHeight w:val="282"/>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N/A</w:t>
            </w:r>
          </w:p>
        </w:tc>
        <w:tc>
          <w:tcPr>
            <w:tcW w:w="4740" w:type="dxa"/>
            <w:vAlign w:val="bottom"/>
          </w:tcPr>
          <w:p>
            <w:pPr>
              <w:spacing w:after="0"/>
              <w:rPr>
                <w:sz w:val="24"/>
                <w:szCs w:val="24"/>
                <w:color w:val="auto"/>
              </w:rPr>
            </w:pPr>
          </w:p>
        </w:tc>
      </w:tr>
      <w:tr>
        <w:trPr>
          <w:trHeight w:val="447"/>
        </w:trPr>
        <w:tc>
          <w:tcPr>
            <w:tcW w:w="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3.</w:t>
            </w:r>
          </w:p>
        </w:tc>
        <w:tc>
          <w:tcPr>
            <w:tcW w:w="10340" w:type="dxa"/>
            <w:vAlign w:val="bottom"/>
            <w:gridSpan w:val="3"/>
          </w:tcPr>
          <w:p>
            <w:pPr>
              <w:ind w:left="360"/>
              <w:spacing w:after="0"/>
              <w:rPr>
                <w:sz w:val="20"/>
                <w:szCs w:val="20"/>
                <w:color w:val="auto"/>
              </w:rPr>
            </w:pP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tc>
      </w:tr>
      <w:tr>
        <w:trPr>
          <w:trHeight w:val="282"/>
        </w:trPr>
        <w:tc>
          <w:tcPr>
            <w:tcW w:w="900" w:type="dxa"/>
            <w:vAlign w:val="bottom"/>
          </w:tcPr>
          <w:p>
            <w:pPr>
              <w:spacing w:after="0"/>
              <w:rPr>
                <w:sz w:val="24"/>
                <w:szCs w:val="24"/>
                <w:color w:val="auto"/>
              </w:rPr>
            </w:pPr>
          </w:p>
        </w:tc>
        <w:tc>
          <w:tcPr>
            <w:tcW w:w="56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Not applicable.</w:t>
            </w:r>
          </w:p>
        </w:tc>
        <w:tc>
          <w:tcPr>
            <w:tcW w:w="4740" w:type="dxa"/>
            <w:vAlign w:val="bottom"/>
          </w:tcPr>
          <w:p>
            <w:pPr>
              <w:spacing w:after="0"/>
              <w:rPr>
                <w:sz w:val="24"/>
                <w:szCs w:val="24"/>
                <w:color w:val="auto"/>
              </w:rPr>
            </w:pPr>
          </w:p>
        </w:tc>
      </w:tr>
      <w:tr>
        <w:trPr>
          <w:trHeight w:val="486"/>
        </w:trPr>
        <w:tc>
          <w:tcPr>
            <w:tcW w:w="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4.</w:t>
            </w:r>
          </w:p>
        </w:tc>
        <w:tc>
          <w:tcPr>
            <w:tcW w:w="5600" w:type="dxa"/>
            <w:vAlign w:val="bottom"/>
            <w:gridSpan w:val="2"/>
          </w:tcPr>
          <w:p>
            <w:pPr>
              <w:ind w:left="360"/>
              <w:spacing w:after="0"/>
              <w:rPr>
                <w:sz w:val="20"/>
                <w:szCs w:val="20"/>
                <w:color w:val="auto"/>
              </w:rPr>
            </w:pPr>
            <w:r>
              <w:rPr>
                <w:rFonts w:ascii="Times New Roman" w:cs="Times New Roman" w:eastAsia="Times New Roman" w:hAnsi="Times New Roman"/>
                <w:sz w:val="22"/>
                <w:szCs w:val="22"/>
                <w:b w:val="1"/>
                <w:bCs w:val="1"/>
                <w:color w:val="auto"/>
              </w:rPr>
              <w:t>Ownership.</w:t>
            </w:r>
          </w:p>
        </w:tc>
        <w:tc>
          <w:tcPr>
            <w:tcW w:w="4740" w:type="dxa"/>
            <w:vAlign w:val="bottom"/>
          </w:tcPr>
          <w:p>
            <w:pPr>
              <w:spacing w:after="0"/>
              <w:rPr>
                <w:sz w:val="24"/>
                <w:szCs w:val="24"/>
                <w:color w:val="auto"/>
              </w:rPr>
            </w:pPr>
          </w:p>
        </w:tc>
      </w:tr>
      <w:tr>
        <w:trPr>
          <w:trHeight w:val="447"/>
        </w:trPr>
        <w:tc>
          <w:tcPr>
            <w:tcW w:w="900" w:type="dxa"/>
            <w:vAlign w:val="bottom"/>
          </w:tcPr>
          <w:p>
            <w:pPr>
              <w:spacing w:after="0"/>
              <w:rPr>
                <w:sz w:val="24"/>
                <w:szCs w:val="24"/>
                <w:color w:val="auto"/>
              </w:rPr>
            </w:pPr>
          </w:p>
        </w:tc>
        <w:tc>
          <w:tcPr>
            <w:tcW w:w="1034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w w:val="98"/>
              </w:rPr>
              <w:t>Beneficial ownership information is reported as of March 21, 2023 for the common shares of beneficial interest, par</w:t>
            </w:r>
          </w:p>
        </w:tc>
      </w:tr>
      <w:tr>
        <w:trPr>
          <w:trHeight w:val="282"/>
        </w:trPr>
        <w:tc>
          <w:tcPr>
            <w:tcW w:w="900" w:type="dxa"/>
            <w:vAlign w:val="bottom"/>
          </w:tcPr>
          <w:p>
            <w:pPr>
              <w:spacing w:after="0"/>
              <w:rPr>
                <w:sz w:val="24"/>
                <w:szCs w:val="24"/>
                <w:color w:val="auto"/>
              </w:rPr>
            </w:pPr>
          </w:p>
        </w:tc>
        <w:tc>
          <w:tcPr>
            <w:tcW w:w="560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value $0.001 per share (“Common Shares”) reported herein.</w:t>
            </w:r>
          </w:p>
        </w:tc>
        <w:tc>
          <w:tcPr>
            <w:tcW w:w="4740" w:type="dxa"/>
            <w:vAlign w:val="bottom"/>
          </w:tcPr>
          <w:p>
            <w:pPr>
              <w:spacing w:after="0"/>
              <w:rPr>
                <w:sz w:val="24"/>
                <w:szCs w:val="24"/>
                <w:color w:val="auto"/>
              </w:rPr>
            </w:pPr>
          </w:p>
        </w:tc>
      </w:tr>
      <w:tr>
        <w:trPr>
          <w:trHeight w:val="486"/>
        </w:trPr>
        <w:tc>
          <w:tcPr>
            <w:tcW w:w="90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w:t>
            </w:r>
          </w:p>
        </w:tc>
        <w:tc>
          <w:tcPr>
            <w:tcW w:w="49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Amount beneficially owned:</w:t>
            </w:r>
          </w:p>
        </w:tc>
        <w:tc>
          <w:tcPr>
            <w:tcW w:w="4740" w:type="dxa"/>
            <w:vAlign w:val="bottom"/>
          </w:tcPr>
          <w:p>
            <w:pPr>
              <w:spacing w:after="0"/>
              <w:rPr>
                <w:sz w:val="24"/>
                <w:szCs w:val="24"/>
                <w:color w:val="auto"/>
              </w:rPr>
            </w:pPr>
          </w:p>
        </w:tc>
      </w:tr>
      <w:tr>
        <w:trPr>
          <w:trHeight w:val="429"/>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Amwal</w:t>
            </w:r>
          </w:p>
        </w:tc>
        <w:tc>
          <w:tcPr>
            <w:tcW w:w="4740" w:type="dxa"/>
            <w:vAlign w:val="bottom"/>
          </w:tcPr>
          <w:p>
            <w:pPr>
              <w:jc w:val="right"/>
              <w:ind w:right="3850"/>
              <w:spacing w:after="0"/>
              <w:rPr>
                <w:sz w:val="20"/>
                <w:szCs w:val="20"/>
                <w:color w:val="auto"/>
              </w:rPr>
            </w:pPr>
            <w:r>
              <w:rPr>
                <w:rFonts w:ascii="Times New Roman" w:cs="Times New Roman" w:eastAsia="Times New Roman" w:hAnsi="Times New Roman"/>
                <w:sz w:val="18"/>
                <w:szCs w:val="18"/>
                <w:color w:val="auto"/>
              </w:rPr>
              <w:t>1,805,383</w:t>
            </w:r>
          </w:p>
        </w:tc>
      </w:tr>
      <w:tr>
        <w:trPr>
          <w:trHeight w:val="234"/>
        </w:trPr>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9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ADIC</w:t>
            </w:r>
          </w:p>
        </w:tc>
        <w:tc>
          <w:tcPr>
            <w:tcW w:w="4740" w:type="dxa"/>
            <w:vAlign w:val="bottom"/>
          </w:tcPr>
          <w:p>
            <w:pPr>
              <w:jc w:val="right"/>
              <w:ind w:right="3850"/>
              <w:spacing w:after="0"/>
              <w:rPr>
                <w:sz w:val="20"/>
                <w:szCs w:val="20"/>
                <w:color w:val="auto"/>
              </w:rPr>
            </w:pPr>
            <w:r>
              <w:rPr>
                <w:rFonts w:ascii="Times New Roman" w:cs="Times New Roman" w:eastAsia="Times New Roman" w:hAnsi="Times New Roman"/>
                <w:sz w:val="18"/>
                <w:szCs w:val="18"/>
                <w:color w:val="auto"/>
              </w:rPr>
              <w:t>1,805,383</w:t>
            </w:r>
          </w:p>
        </w:tc>
      </w:tr>
      <w:tr>
        <w:trPr>
          <w:trHeight w:val="425"/>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2" w:right="339" w:bottom="1440" w:gutter="0" w:footer="0" w:header="0"/>
        </w:sectPr>
      </w:pPr>
    </w:p>
    <w:bookmarkStart w:id="4" w:name="page5"/>
    <w:bookmarkEnd w:id="4"/>
    <w:p>
      <w:pPr>
        <w:jc w:val="both"/>
        <w:ind w:left="1620"/>
        <w:spacing w:after="0"/>
        <w:rPr>
          <w:sz w:val="20"/>
          <w:szCs w:val="20"/>
          <w:color w:val="auto"/>
        </w:rPr>
      </w:pPr>
      <w:r>
        <w:rPr>
          <w:rFonts w:ascii="Times New Roman" w:cs="Times New Roman" w:eastAsia="Times New Roman" w:hAnsi="Times New Roman"/>
          <w:sz w:val="22"/>
          <w:szCs w:val="22"/>
          <w:color w:val="auto"/>
        </w:rPr>
        <w:t>ADIC disclaims beneficial ownership of all securities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200" w:lineRule="exact"/>
        <w:rPr>
          <w:sz w:val="20"/>
          <w:szCs w:val="20"/>
          <w:color w:val="auto"/>
        </w:rPr>
      </w:pPr>
    </w:p>
    <w:p>
      <w:pPr>
        <w:ind w:left="1740" w:hanging="598"/>
        <w:spacing w:after="0"/>
        <w:tabs>
          <w:tab w:leader="none" w:pos="174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Percent of class:</w:t>
      </w:r>
    </w:p>
    <w:p>
      <w:pPr>
        <w:spacing w:after="0" w:line="246" w:lineRule="exact"/>
        <w:rPr>
          <w:sz w:val="20"/>
          <w:szCs w:val="20"/>
          <w:color w:val="auto"/>
        </w:rPr>
      </w:pPr>
    </w:p>
    <w:tbl>
      <w:tblPr>
        <w:tblLayout w:type="fixed"/>
        <w:tblInd w:w="394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Amwal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ADIC</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bl>
    <w:p>
      <w:pPr>
        <w:spacing w:after="0" w:line="216" w:lineRule="exact"/>
        <w:rPr>
          <w:sz w:val="20"/>
          <w:szCs w:val="20"/>
          <w:color w:val="auto"/>
        </w:rPr>
      </w:pPr>
    </w:p>
    <w:p>
      <w:pPr>
        <w:ind w:left="1620"/>
        <w:spacing w:after="0" w:line="258" w:lineRule="auto"/>
        <w:rPr>
          <w:sz w:val="20"/>
          <w:szCs w:val="20"/>
          <w:color w:val="auto"/>
        </w:rPr>
      </w:pPr>
      <w:r>
        <w:rPr>
          <w:rFonts w:ascii="Times New Roman" w:cs="Times New Roman" w:eastAsia="Times New Roman" w:hAnsi="Times New Roman"/>
          <w:sz w:val="22"/>
          <w:szCs w:val="22"/>
          <w:color w:val="auto"/>
        </w:rPr>
        <w:t>The percentages are based on 31,525,841 Common Shares outstanding as of March 21, 2023, as disclosed by the Issuer to the Reporting Persons in connection with the issuance of Common Shares.</w:t>
      </w:r>
    </w:p>
    <w:p>
      <w:pPr>
        <w:spacing w:after="0" w:line="181" w:lineRule="exact"/>
        <w:rPr>
          <w:sz w:val="20"/>
          <w:szCs w:val="20"/>
          <w:color w:val="auto"/>
        </w:rPr>
      </w:pPr>
    </w:p>
    <w:p>
      <w:pPr>
        <w:ind w:left="1660" w:hanging="518"/>
        <w:spacing w:after="0"/>
        <w:tabs>
          <w:tab w:leader="none" w:pos="166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Number of shares as to which the person has:</w:t>
      </w:r>
    </w:p>
    <w:p>
      <w:pPr>
        <w:spacing w:after="0" w:line="237" w:lineRule="exact"/>
        <w:rPr>
          <w:sz w:val="20"/>
          <w:szCs w:val="20"/>
          <w:color w:val="auto"/>
        </w:rPr>
      </w:pPr>
    </w:p>
    <w:p>
      <w:pPr>
        <w:ind w:left="1640" w:hanging="498"/>
        <w:spacing w:after="0"/>
        <w:tabs>
          <w:tab w:leader="none" w:pos="1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4"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 for all Reporting Persons</w:t>
      </w:r>
    </w:p>
    <w:p>
      <w:pPr>
        <w:spacing w:after="0" w:line="209" w:lineRule="exact"/>
        <w:rPr>
          <w:rFonts w:ascii="Times New Roman" w:cs="Times New Roman" w:eastAsia="Times New Roman" w:hAnsi="Times New Roman"/>
          <w:sz w:val="22"/>
          <w:szCs w:val="22"/>
          <w:color w:val="auto"/>
        </w:rPr>
      </w:pPr>
    </w:p>
    <w:p>
      <w:pPr>
        <w:ind w:left="1680" w:hanging="538"/>
        <w:spacing w:after="0"/>
        <w:tabs>
          <w:tab w:leader="none" w:pos="16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42" w:lineRule="exact"/>
        <w:rPr>
          <w:sz w:val="20"/>
          <w:szCs w:val="20"/>
          <w:color w:val="auto"/>
        </w:rPr>
      </w:pPr>
    </w:p>
    <w:tbl>
      <w:tblPr>
        <w:tblLayout w:type="fixed"/>
        <w:tblInd w:w="394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Amwal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1,805,383</w:t>
            </w: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ADIC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1,805,383</w:t>
            </w:r>
          </w:p>
        </w:tc>
      </w:tr>
    </w:tbl>
    <w:p>
      <w:pPr>
        <w:spacing w:after="0" w:line="216" w:lineRule="exact"/>
        <w:rPr>
          <w:sz w:val="20"/>
          <w:szCs w:val="20"/>
          <w:color w:val="auto"/>
        </w:rPr>
      </w:pPr>
    </w:p>
    <w:p>
      <w:pPr>
        <w:ind w:left="1680" w:right="4980" w:hanging="538"/>
        <w:spacing w:after="0" w:line="258" w:lineRule="auto"/>
        <w:tabs>
          <w:tab w:leader="none" w:pos="174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for all Reporting Persons</w:t>
      </w:r>
    </w:p>
    <w:p>
      <w:pPr>
        <w:spacing w:after="0" w:line="185" w:lineRule="exact"/>
        <w:rPr>
          <w:rFonts w:ascii="Times New Roman" w:cs="Times New Roman" w:eastAsia="Times New Roman" w:hAnsi="Times New Roman"/>
          <w:sz w:val="22"/>
          <w:szCs w:val="22"/>
          <w:color w:val="auto"/>
        </w:rPr>
      </w:pPr>
    </w:p>
    <w:p>
      <w:pPr>
        <w:ind w:left="1740" w:hanging="598"/>
        <w:spacing w:after="0"/>
        <w:tabs>
          <w:tab w:leader="none" w:pos="17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42" w:lineRule="exact"/>
        <w:rPr>
          <w:sz w:val="20"/>
          <w:szCs w:val="20"/>
          <w:color w:val="auto"/>
        </w:rPr>
      </w:pPr>
    </w:p>
    <w:tbl>
      <w:tblPr>
        <w:tblLayout w:type="fixed"/>
        <w:tblInd w:w="394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Amwal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1,805,383</w:t>
            </w: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ADIC</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1,805,383</w:t>
            </w:r>
          </w:p>
        </w:tc>
      </w:tr>
    </w:tbl>
    <w:p>
      <w:pPr>
        <w:spacing w:after="0" w:line="21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18" w:lineRule="exact"/>
        <w:rPr>
          <w:sz w:val="20"/>
          <w:szCs w:val="20"/>
          <w:color w:val="auto"/>
        </w:rPr>
      </w:pPr>
    </w:p>
    <w:p>
      <w:pPr>
        <w:ind w:left="1140"/>
        <w:spacing w:after="0" w:line="268" w:lineRule="exact"/>
        <w:rPr>
          <w:sz w:val="20"/>
          <w:szCs w:val="20"/>
          <w:color w:val="auto"/>
        </w:rPr>
      </w:pPr>
      <w:r>
        <w:rPr>
          <w:rFonts w:ascii="Times New Roman" w:cs="Times New Roman" w:eastAsia="Times New Roman" w:hAnsi="Times New Roman"/>
          <w:sz w:val="22"/>
          <w:szCs w:val="22"/>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2"/>
          <w:szCs w:val="22"/>
          <w:color w:val="auto"/>
        </w:rPr>
        <w:t>☐</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2"/>
          <w:szCs w:val="22"/>
          <w:b w:val="1"/>
          <w:bCs w:val="1"/>
          <w:color w:val="auto"/>
        </w:rPr>
        <w:t>Item 7. Identification and Classification of the Subsidiary Which Acquired the Security Being Reported on by the Parent Holding Company.</w:t>
      </w: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Not applicable.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28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243"/>
        </w:trPr>
        <w:tc>
          <w:tcPr>
            <w:tcW w:w="960" w:type="dxa"/>
            <w:vAlign w:val="bottom"/>
          </w:tcPr>
          <w:p>
            <w:pPr>
              <w:spacing w:after="0"/>
              <w:rPr>
                <w:sz w:val="21"/>
                <w:szCs w:val="21"/>
                <w:color w:val="auto"/>
              </w:rPr>
            </w:pPr>
          </w:p>
        </w:tc>
        <w:tc>
          <w:tcPr>
            <w:tcW w:w="102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w:t>
            </w:r>
          </w:p>
        </w:tc>
      </w:tr>
      <w:tr>
        <w:trPr>
          <w:trHeight w:val="243"/>
        </w:trPr>
        <w:tc>
          <w:tcPr>
            <w:tcW w:w="960" w:type="dxa"/>
            <w:vAlign w:val="bottom"/>
          </w:tcPr>
          <w:p>
            <w:pPr>
              <w:spacing w:after="0"/>
              <w:rPr>
                <w:sz w:val="21"/>
                <w:szCs w:val="21"/>
                <w:color w:val="auto"/>
              </w:rPr>
            </w:pPr>
          </w:p>
        </w:tc>
        <w:tc>
          <w:tcPr>
            <w:tcW w:w="102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acquired and are not held for the purpose of or with the effect of changing or influencing the control of the issuer of</w:t>
            </w:r>
          </w:p>
        </w:tc>
      </w:tr>
      <w:tr>
        <w:trPr>
          <w:trHeight w:val="243"/>
        </w:trPr>
        <w:tc>
          <w:tcPr>
            <w:tcW w:w="960" w:type="dxa"/>
            <w:vAlign w:val="bottom"/>
          </w:tcPr>
          <w:p>
            <w:pPr>
              <w:spacing w:after="0"/>
              <w:rPr>
                <w:sz w:val="21"/>
                <w:szCs w:val="21"/>
                <w:color w:val="auto"/>
              </w:rPr>
            </w:pPr>
          </w:p>
        </w:tc>
        <w:tc>
          <w:tcPr>
            <w:tcW w:w="102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8"/>
              </w:rPr>
              <w:t>the securities and were not acquired and are not held in connection with or as a participant in any transaction having</w:t>
            </w:r>
          </w:p>
        </w:tc>
      </w:tr>
      <w:tr>
        <w:trPr>
          <w:trHeight w:val="28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that purpose or effect, other than activities solely in connection with a nomination under § 240.14a-11.</w:t>
            </w:r>
          </w:p>
        </w:tc>
      </w:tr>
      <w:tr>
        <w:trPr>
          <w:trHeight w:val="486"/>
        </w:trPr>
        <w:tc>
          <w:tcPr>
            <w:tcW w:w="960" w:type="dxa"/>
            <w:vAlign w:val="bottom"/>
          </w:tcPr>
          <w:p>
            <w:pPr>
              <w:spacing w:after="0"/>
              <w:rPr>
                <w:sz w:val="24"/>
                <w:szCs w:val="24"/>
                <w:color w:val="auto"/>
              </w:rPr>
            </w:pPr>
          </w:p>
        </w:tc>
        <w:tc>
          <w:tcPr>
            <w:tcW w:w="10280" w:type="dxa"/>
            <w:vAlign w:val="bottom"/>
          </w:tcPr>
          <w:p>
            <w:pPr>
              <w:ind w:left="2300"/>
              <w:spacing w:after="0"/>
              <w:rPr>
                <w:sz w:val="20"/>
                <w:szCs w:val="20"/>
                <w:color w:val="auto"/>
              </w:rPr>
            </w:pPr>
            <w:r>
              <w:rPr>
                <w:rFonts w:ascii="Times New Roman" w:cs="Times New Roman" w:eastAsia="Times New Roman" w:hAnsi="Times New Roman"/>
                <w:sz w:val="22"/>
                <w:szCs w:val="22"/>
                <w:color w:val="auto"/>
              </w:rPr>
              <w:t>[The remainder of this page is intentionally left blank.]</w:t>
            </w:r>
          </w:p>
        </w:tc>
      </w:tr>
      <w:tr>
        <w:trPr>
          <w:trHeight w:val="171"/>
        </w:trPr>
        <w:tc>
          <w:tcPr>
            <w:tcW w:w="960" w:type="dxa"/>
            <w:vAlign w:val="bottom"/>
            <w:tcBorders>
              <w:bottom w:val="single" w:sz="8" w:color="auto"/>
            </w:tcBorders>
          </w:tcPr>
          <w:p>
            <w:pPr>
              <w:spacing w:after="0"/>
              <w:rPr>
                <w:sz w:val="14"/>
                <w:szCs w:val="14"/>
                <w:color w:val="auto"/>
              </w:rPr>
            </w:pPr>
          </w:p>
        </w:tc>
        <w:tc>
          <w:tcPr>
            <w:tcW w:w="102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March 31, 2023</w:t>
      </w: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AMWAL INVESTMENTS L.L.C.</w:t>
      </w:r>
    </w:p>
    <w:p>
      <w:pPr>
        <w:spacing w:after="0" w:line="31"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Abdulrahman Al Mubarak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-19050</wp:posOffset>
            </wp:positionV>
            <wp:extent cx="2091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1055"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18"/>
          <w:szCs w:val="18"/>
          <w:color w:val="auto"/>
        </w:rPr>
        <w:t>Name: Abdulrahman Al Mubarak</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23"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Saoud Essa Almulla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-7620</wp:posOffset>
            </wp:positionV>
            <wp:extent cx="2091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Saoud Essa Almulla</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ABU DHABI INVESTMENT COUNCIL COMPANY PJSC</w:t>
      </w:r>
    </w:p>
    <w:p>
      <w:pPr>
        <w:spacing w:after="0" w:line="31"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Abdulrahman Al Mubarak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-19050</wp:posOffset>
            </wp:positionV>
            <wp:extent cx="20910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1055"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18"/>
          <w:szCs w:val="18"/>
          <w:color w:val="auto"/>
        </w:rPr>
        <w:t>Name: Abdulrahman Al Mubarak</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23"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Saoud Essa Almulla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-7620</wp:posOffset>
            </wp:positionV>
            <wp:extent cx="2091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Saoud Essa Almulla</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Authorized Signatory</w:t>
      </w:r>
    </w:p>
    <w:p>
      <w:pPr>
        <w:sectPr>
          <w:pgSz w:w="11900" w:h="16838" w:orient="portrait"/>
          <w:cols w:equalWidth="0" w:num="1">
            <w:col w:w="11240"/>
          </w:cols>
          <w:pgMar w:left="320" w:top="10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SIXTH STREET LENDING PARTNERS</w:t>
      </w:r>
    </w:p>
    <w:p>
      <w:pPr>
        <w:spacing w:after="0" w:line="209"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In accordance with Rule 13d-1(k) under the Securities Exchange Act of 1934, as amended, the undersigned hereby confirm the agreement by and among them to the joint filing on behalf of them of the Statement on Schedule 13G and any and all further amendments thereto, with respect to the securities of the above referenced issuer, and that this Agreement be included as an Exhibit to such filing. This Agreement may be executed in any number of counterparts each of which shall be deemed to be an original and all of which together shall be deemed to constitute one and the same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hereby execute this Agreement as of March 31, 2023.</w:t>
      </w: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AMWAL INVESTMENTS L.L.C.</w:t>
      </w:r>
    </w:p>
    <w:p>
      <w:pPr>
        <w:spacing w:after="0" w:line="31"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Abdulrahman Al Mubarak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-19050</wp:posOffset>
            </wp:positionV>
            <wp:extent cx="2091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1055" cy="8890"/>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18"/>
          <w:szCs w:val="18"/>
          <w:color w:val="auto"/>
        </w:rPr>
        <w:t>Name: Abdulrahman Al Mubarak</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23"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Saoud Essa Almulla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-7620</wp:posOffset>
            </wp:positionV>
            <wp:extent cx="2091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Saoud Essa Almulla</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ABU DHABI INVESTMENT COUNCIL COMPANY PJSC</w:t>
      </w:r>
    </w:p>
    <w:p>
      <w:pPr>
        <w:spacing w:after="0" w:line="31"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Abdulrahman Al Mubarak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-19050</wp:posOffset>
            </wp:positionV>
            <wp:extent cx="20910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1055" cy="825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18"/>
          <w:szCs w:val="18"/>
          <w:color w:val="auto"/>
        </w:rPr>
        <w:t>Name: Abdulrahman Al Mubarak</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0" w:lineRule="exact"/>
        <w:rPr>
          <w:sz w:val="20"/>
          <w:szCs w:val="20"/>
          <w:color w:val="auto"/>
        </w:rPr>
      </w:pPr>
    </w:p>
    <w:p>
      <w:pPr>
        <w:spacing w:after="0" w:line="223" w:lineRule="exact"/>
        <w:rPr>
          <w:sz w:val="20"/>
          <w:szCs w:val="20"/>
          <w:color w:val="auto"/>
        </w:rPr>
      </w:pPr>
    </w:p>
    <w:p>
      <w:pPr>
        <w:ind w:left="524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Saoud Essa Almulla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-7620</wp:posOffset>
            </wp:positionV>
            <wp:extent cx="2091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Saoud Essa Almulla</w:t>
      </w:r>
    </w:p>
    <w:p>
      <w:pPr>
        <w:spacing w:after="0" w:line="9" w:lineRule="exact"/>
        <w:rPr>
          <w:sz w:val="20"/>
          <w:szCs w:val="20"/>
          <w:color w:val="auto"/>
        </w:rPr>
      </w:pPr>
    </w:p>
    <w:p>
      <w:pPr>
        <w:ind w:left="570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Authorized Signatory</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2023-03-31T15:04:30Z</dcterms:created>
  <dcterms:modified xsi:type="dcterms:W3CDTF">2023-03-31T15:04:30Z</dcterms:modified>
</cp:coreProperties>
</file>