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SIXTH STREET LENDING PARTNERS</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640" w:type="dxa"/>
            <w:vAlign w:val="bottom"/>
          </w:tcPr>
          <w:p>
            <w:pPr>
              <w:jc w:val="center"/>
              <w:ind w:right="18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6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814-01543</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88-1710161</w:t>
            </w:r>
          </w:p>
        </w:tc>
      </w:tr>
      <w:tr>
        <w:trPr>
          <w:trHeight w:val="148"/>
        </w:trPr>
        <w:tc>
          <w:tcPr>
            <w:tcW w:w="3640" w:type="dxa"/>
            <w:vAlign w:val="bottom"/>
          </w:tcPr>
          <w:p>
            <w:pPr>
              <w:jc w:val="center"/>
              <w:ind w:right="18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6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4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6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64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2100 McKinney Avenue, Suite 1500</w:t>
            </w:r>
          </w:p>
        </w:tc>
        <w:tc>
          <w:tcPr>
            <w:tcW w:w="23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64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Dallas, TX</w:t>
            </w:r>
          </w:p>
        </w:tc>
        <w:tc>
          <w:tcPr>
            <w:tcW w:w="236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90"/>
        </w:trPr>
        <w:tc>
          <w:tcPr>
            <w:tcW w:w="36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6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8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3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 Entry into a Material Definitive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4, 2025, Sixth Street Lending Partners (the “Company”) entered into a third amendment to the Company’s senior secured revolving credit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 dated January 19, 2023 (as amended, the “Revolving Credit Facility”), which, among other changes, (a) increases the aggregate revolving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under the Revolving Credit Facility from $1.5 billion to $2.13 billion, thereby increasing the aggregate facility amount from $1.65 billion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$2.28 billion, (b) extends the termination of the revolving period to March 2, 2029 and the stated maturity date to March 4, 2030 and (c) increases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uncommitted accordion that allows the Company, under certain circumstances, to increase the size of the facility, from up to $1.75 billion to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$3.42 billion. The foregoing description is only a summary of certain of the provisions of the Revolving Credit Facility and is qualified in its entirety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underlying agreement, which will be filed as an exhibit to the Company’s next Quarterly Report on Form 10-Q.</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 Creation of a Direct Financial Obligation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1.01 above is incorporated by reference into this Item 2.03.</w:t>
      </w:r>
    </w:p>
    <w:p>
      <w:pPr>
        <w:sectPr>
          <w:pgSz w:w="11900" w:h="16838" w:orient="portrait"/>
          <w:cols w:equalWidth="0" w:num="1">
            <w:col w:w="10960"/>
          </w:cols>
          <w:pgMar w:left="440" w:top="293"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774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tc>
      </w:tr>
      <w:tr>
        <w:trPr>
          <w:trHeight w:val="432"/>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March 7, 2025</w:t>
            </w:r>
          </w:p>
        </w:tc>
        <w:tc>
          <w:tcPr>
            <w:tcW w:w="288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Ian Simmonds</w:t>
            </w:r>
          </w:p>
        </w:tc>
      </w:tr>
      <w:tr>
        <w:trPr>
          <w:trHeight w:val="201"/>
        </w:trPr>
        <w:tc>
          <w:tcPr>
            <w:tcW w:w="3280" w:type="dxa"/>
            <w:vAlign w:val="bottom"/>
          </w:tcPr>
          <w:p>
            <w:pPr>
              <w:spacing w:after="0"/>
              <w:rPr>
                <w:sz w:val="17"/>
                <w:szCs w:val="17"/>
                <w:color w:val="auto"/>
              </w:rPr>
            </w:pPr>
          </w:p>
        </w:tc>
        <w:tc>
          <w:tcPr>
            <w:tcW w:w="2880" w:type="dxa"/>
            <w:vAlign w:val="bottom"/>
          </w:tcPr>
          <w:p>
            <w:pPr>
              <w:ind w:left="2240"/>
              <w:spacing w:after="0" w:line="201" w:lineRule="exact"/>
              <w:rPr>
                <w:sz w:val="20"/>
                <w:szCs w:val="20"/>
                <w:color w:val="auto"/>
              </w:rPr>
            </w:pPr>
            <w:r>
              <w:rPr>
                <w:rFonts w:ascii="Times New Roman" w:cs="Times New Roman" w:eastAsia="Times New Roman" w:hAnsi="Times New Roman"/>
                <w:sz w:val="18"/>
                <w:szCs w:val="18"/>
                <w:b w:val="1"/>
                <w:bCs w:val="1"/>
                <w:color w:val="auto"/>
              </w:rPr>
              <w:t>Name:</w:t>
            </w:r>
          </w:p>
        </w:tc>
        <w:tc>
          <w:tcPr>
            <w:tcW w:w="48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Ian Simmonds</w:t>
            </w:r>
          </w:p>
        </w:tc>
      </w:tr>
      <w:tr>
        <w:trPr>
          <w:trHeight w:val="238"/>
        </w:trPr>
        <w:tc>
          <w:tcPr>
            <w:tcW w:w="3280" w:type="dxa"/>
            <w:vAlign w:val="bottom"/>
          </w:tcPr>
          <w:p>
            <w:pPr>
              <w:spacing w:after="0"/>
              <w:rPr>
                <w:sz w:val="20"/>
                <w:szCs w:val="20"/>
                <w:color w:val="auto"/>
              </w:rPr>
            </w:pPr>
          </w:p>
        </w:tc>
        <w:tc>
          <w:tcPr>
            <w:tcW w:w="2880" w:type="dxa"/>
            <w:vAlign w:val="bottom"/>
          </w:tcPr>
          <w:p>
            <w:pPr>
              <w:ind w:left="22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2025-03-07T15:45:20Z</dcterms:created>
  <dcterms:modified xsi:type="dcterms:W3CDTF">2025-03-07T15:45:20Z</dcterms:modified>
</cp:coreProperties>
</file>