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940" w:right="120" w:hanging="835"/>
        <w:spacing w:after="0" w:line="237" w:lineRule="auto"/>
        <w:tabs>
          <w:tab w:leader="none" w:pos="9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940" w:right="140" w:hanging="835"/>
        <w:spacing w:after="0" w:line="262" w:lineRule="auto"/>
        <w:tabs>
          <w:tab w:leader="none" w:pos="9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440" w:type="dxa"/>
        <w:tblCellMar>
          <w:top w:w="0" w:type="dxa"/>
          <w:left w:w="0" w:type="dxa"/>
          <w:bottom w:w="0" w:type="dxa"/>
          <w:right w:w="0" w:type="dxa"/>
        </w:tblCellMar>
      </w:tblPr>
      <w:tr>
        <w:trPr>
          <w:trHeight w:val="214"/>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8"/>
        </w:trPr>
        <w:tc>
          <w:tcPr>
            <w:tcW w:w="4600" w:type="dxa"/>
            <w:vAlign w:val="bottom"/>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960" w:type="dxa"/>
            <w:vAlign w:val="bottom"/>
          </w:tcPr>
          <w:p>
            <w:pPr>
              <w:spacing w:after="0"/>
              <w:rPr>
                <w:sz w:val="22"/>
                <w:szCs w:val="22"/>
                <w:color w:val="auto"/>
              </w:rPr>
            </w:pPr>
          </w:p>
        </w:tc>
      </w:tr>
      <w:tr>
        <w:trPr>
          <w:trHeight w:val="214"/>
        </w:trPr>
        <w:tc>
          <w:tcPr>
            <w:tcW w:w="460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60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36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40" w:type="dxa"/>
            <w:vAlign w:val="bottom"/>
          </w:tcPr>
          <w:p>
            <w:pPr>
              <w:spacing w:after="0"/>
              <w:rPr>
                <w:sz w:val="13"/>
                <w:szCs w:val="13"/>
                <w:color w:val="auto"/>
              </w:rPr>
            </w:pPr>
          </w:p>
        </w:tc>
        <w:tc>
          <w:tcPr>
            <w:tcW w:w="3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425"/>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40" w:type="dxa"/>
            <w:vAlign w:val="bottom"/>
          </w:tcPr>
          <w:p>
            <w:pPr>
              <w:spacing w:after="0"/>
              <w:rPr>
                <w:sz w:val="24"/>
                <w:szCs w:val="24"/>
                <w:color w:val="auto"/>
              </w:rPr>
            </w:pPr>
          </w:p>
        </w:tc>
        <w:tc>
          <w:tcPr>
            <w:tcW w:w="36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40" w:type="dxa"/>
            <w:vAlign w:val="bottom"/>
          </w:tcPr>
          <w:p>
            <w:pPr>
              <w:spacing w:after="0"/>
              <w:rPr>
                <w:sz w:val="24"/>
                <w:szCs w:val="24"/>
                <w:color w:val="auto"/>
              </w:rPr>
            </w:pPr>
          </w:p>
        </w:tc>
        <w:tc>
          <w:tcPr>
            <w:tcW w:w="36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9"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03" w:right="339" w:bottom="1440" w:gutter="0" w:footer="0" w:header="0"/>
        </w:sectPr>
      </w:pPr>
    </w:p>
    <w:p>
      <w:pPr>
        <w:spacing w:after="0" w:line="51" w:lineRule="exact"/>
        <w:rPr>
          <w:sz w:val="24"/>
          <w:szCs w:val="24"/>
          <w:color w:val="auto"/>
        </w:rPr>
      </w:pPr>
    </w:p>
    <w:p>
      <w:pPr>
        <w:spacing w:after="0" w:line="161" w:lineRule="exact"/>
        <w:tabs>
          <w:tab w:leader="none" w:pos="2880" w:val="left"/>
          <w:tab w:leader="none" w:pos="7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57" w:lineRule="exact"/>
        <w:rPr>
          <w:sz w:val="24"/>
          <w:szCs w:val="24"/>
          <w:color w:val="auto"/>
        </w:rPr>
      </w:pPr>
    </w:p>
    <w:p>
      <w:pPr>
        <w:spacing w:after="0" w:line="161" w:lineRule="exact"/>
        <w:tabs>
          <w:tab w:leader="none" w:pos="2880" w:val="left"/>
          <w:tab w:leader="none" w:pos="79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33" w:lineRule="exact"/>
        <w:rPr>
          <w:sz w:val="24"/>
          <w:szCs w:val="24"/>
          <w:color w:val="auto"/>
        </w:rPr>
      </w:pPr>
    </w:p>
    <w:p>
      <w:pPr>
        <w:ind w:left="79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39"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right="304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common shares of beneficial interest, $.001 par value per share, outstanding at August 1, 2025 was 143,143,972.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34" w:lineRule="exact"/>
        <w:rPr>
          <w:sz w:val="24"/>
          <w:szCs w:val="24"/>
          <w:color w:val="auto"/>
        </w:rPr>
      </w:pPr>
    </w:p>
    <w:p>
      <w:pPr>
        <w:sectPr>
          <w:pgSz w:w="11900" w:h="16838" w:orient="portrait"/>
          <w:cols w:equalWidth="0" w:num="2">
            <w:col w:w="10680" w:space="120"/>
            <w:col w:w="440"/>
          </w:cols>
          <w:pgMar w:left="320" w:top="1303" w:right="339" w:bottom="1440" w:gutter="0" w:footer="0" w:header="0"/>
          <w:type w:val="continuous"/>
        </w:sect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9"/>
            <w:vMerge w:val="restart"/>
          </w:tcPr>
          <w:p>
            <w:pPr>
              <w:jc w:val="center"/>
              <w:ind w:right="43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00" w:type="dxa"/>
            <w:vAlign w:val="bottom"/>
          </w:tcPr>
          <w:p>
            <w:pPr>
              <w:spacing w:after="0"/>
              <w:rPr>
                <w:sz w:val="13"/>
                <w:szCs w:val="13"/>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6940" w:type="dxa"/>
            <w:vAlign w:val="bottom"/>
            <w:gridSpan w:val="14"/>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62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June 30, 2025 (Unaudited) and December 31, 2024</w:t>
            </w:r>
          </w:p>
        </w:tc>
        <w:tc>
          <w:tcPr>
            <w:tcW w:w="3000" w:type="dxa"/>
            <w:vAlign w:val="bottom"/>
            <w:gridSpan w:val="8"/>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six months ended June 30, 2025 and 2024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71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Consolidated Schedules of Investments as of June 30, 2025 (Unaudited) and December 31, 2024</w:t>
            </w:r>
          </w:p>
        </w:tc>
        <w:tc>
          <w:tcPr>
            <w:tcW w:w="40" w:type="dxa"/>
            <w:vAlign w:val="bottom"/>
          </w:tcPr>
          <w:p>
            <w:pPr>
              <w:spacing w:after="0"/>
              <w:rPr>
                <w:sz w:val="24"/>
                <w:szCs w:val="24"/>
                <w:color w:val="auto"/>
              </w:rPr>
            </w:pPr>
          </w:p>
        </w:tc>
        <w:tc>
          <w:tcPr>
            <w:tcW w:w="880" w:type="dxa"/>
            <w:vAlign w:val="bottom"/>
            <w:tcBorders>
              <w:top w:val="single" w:sz="8" w:color="0000FF"/>
            </w:tcBorders>
            <w:gridSpan w:val="2"/>
          </w:tcPr>
          <w:p>
            <w:pPr>
              <w:spacing w:after="0"/>
              <w:rPr>
                <w:sz w:val="24"/>
                <w:szCs w:val="24"/>
                <w:color w:val="auto"/>
              </w:rPr>
            </w:pPr>
          </w:p>
        </w:tc>
        <w:tc>
          <w:tcPr>
            <w:tcW w:w="1180" w:type="dxa"/>
            <w:vAlign w:val="bottom"/>
            <w:gridSpan w:val="2"/>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Changes in Net Assets for the three and six months ended June 30, 2025 and 2024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88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2025 and 2024 (Unaudited)</w:t>
            </w:r>
          </w:p>
        </w:tc>
        <w:tc>
          <w:tcPr>
            <w:tcW w:w="3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40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20" w:type="dxa"/>
            <w:vAlign w:val="bottom"/>
            <w:tcBorders>
              <w:top w:val="single" w:sz="8" w:color="0000FF"/>
              <w:bottom w:val="single" w:sz="8" w:color="0000EE"/>
            </w:tcBorders>
          </w:tcPr>
          <w:p>
            <w:pPr>
              <w:spacing w:after="0"/>
              <w:rPr>
                <w:sz w:val="24"/>
                <w:szCs w:val="24"/>
                <w:color w:val="auto"/>
              </w:rPr>
            </w:pPr>
          </w:p>
        </w:tc>
        <w:tc>
          <w:tcPr>
            <w:tcW w:w="3280" w:type="dxa"/>
            <w:vAlign w:val="bottom"/>
            <w:tcBorders>
              <w:top w:val="single" w:sz="8" w:color="0000FF"/>
            </w:tcBorders>
            <w:gridSpan w:val="8"/>
          </w:tcPr>
          <w:p>
            <w:pPr>
              <w:spacing w:after="0"/>
              <w:rPr>
                <w:sz w:val="24"/>
                <w:szCs w:val="24"/>
                <w:color w:val="auto"/>
              </w:rPr>
            </w:pPr>
          </w:p>
        </w:tc>
        <w:tc>
          <w:tcPr>
            <w:tcW w:w="1840" w:type="dxa"/>
            <w:vAlign w:val="bottom"/>
            <w:gridSpan w:val="3"/>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24"/>
                <w:szCs w:val="24"/>
                <w:color w:val="auto"/>
              </w:rPr>
            </w:pPr>
          </w:p>
        </w:tc>
        <w:tc>
          <w:tcPr>
            <w:tcW w:w="2740" w:type="dxa"/>
            <w:vAlign w:val="bottom"/>
            <w:gridSpan w:val="7"/>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00" w:type="dxa"/>
            <w:vAlign w:val="bottom"/>
            <w:gridSpan w:val="15"/>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7880" w:type="dxa"/>
            <w:vAlign w:val="bottom"/>
            <w:gridSpan w:val="19"/>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24"/>
                <w:szCs w:val="24"/>
                <w:color w:val="auto"/>
              </w:rPr>
            </w:pPr>
          </w:p>
        </w:tc>
        <w:tc>
          <w:tcPr>
            <w:tcW w:w="4860" w:type="dxa"/>
            <w:vAlign w:val="bottom"/>
            <w:gridSpan w:val="10"/>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gridSpan w:val="16"/>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4"/>
                <w:szCs w:val="24"/>
                <w:color w:val="auto"/>
              </w:rPr>
            </w:pPr>
          </w:p>
        </w:tc>
        <w:tc>
          <w:tcPr>
            <w:tcW w:w="7900" w:type="dxa"/>
            <w:vAlign w:val="bottom"/>
            <w:gridSpan w:val="20"/>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90"/>
        </w:trPr>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669"/>
        </w:trPr>
        <w:tc>
          <w:tcPr>
            <w:tcW w:w="10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120" w:type="dxa"/>
            <w:vAlign w:val="bottom"/>
            <w:gridSpan w:val="16"/>
          </w:tcPr>
          <w:p>
            <w:pPr>
              <w:jc w:val="right"/>
              <w:ind w:right="1508"/>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Sixth Street Lending Partners (the “Company”, “we”, “us” or “our”), has filed with the U.S.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10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200" w:hanging="257"/>
        <w:spacing w:after="0" w:line="312"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1"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17"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53"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in our Annual Report on Form 10-K for the year ended December 31, 2024, filed with the SEC on February 14, 2025, and elsewhere in our filings with the SEC.</w:t>
      </w:r>
    </w:p>
    <w:p>
      <w:pPr>
        <w:spacing w:after="0" w:line="16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 of $7,203,329 and $7,079,994, respectively)</w:t>
            </w:r>
          </w:p>
        </w:tc>
        <w:tc>
          <w:tcPr>
            <w:tcW w:w="1500" w:type="dxa"/>
            <w:vAlign w:val="bottom"/>
            <w:shd w:val="clear" w:color="auto" w:fill="CFF0FC"/>
          </w:tcPr>
          <w:p>
            <w:pPr>
              <w:jc w:val="right"/>
              <w:ind w:right="137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7,506,497</w:t>
            </w:r>
          </w:p>
        </w:tc>
        <w:tc>
          <w:tcPr>
            <w:tcW w:w="5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7,244,282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(restricted cash of $109,542 and $43,371, respectively)</w:t>
            </w: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1,048,355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66,047</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67,896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36,438</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80" w:type="dxa"/>
            <w:vAlign w:val="bottom"/>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500" w:type="dxa"/>
            <w:vAlign w:val="bottom"/>
            <w:shd w:val="clear" w:color="auto" w:fill="CFF0FC"/>
          </w:tcPr>
          <w:p>
            <w:pPr>
              <w:jc w:val="right"/>
              <w:ind w:right="137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8,657,337</w:t>
            </w:r>
          </w:p>
        </w:tc>
        <w:tc>
          <w:tcPr>
            <w:tcW w:w="56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8,513,442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6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5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(net of deferred financing costs of $39,880 and $28,306, respectively)</w:t>
            </w:r>
          </w:p>
        </w:tc>
        <w:tc>
          <w:tcPr>
            <w:tcW w:w="1500" w:type="dxa"/>
            <w:vAlign w:val="bottom"/>
            <w:shd w:val="clear" w:color="auto" w:fill="CFF0FC"/>
          </w:tcPr>
          <w:p>
            <w:pPr>
              <w:jc w:val="right"/>
              <w:ind w:right="137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4,193,934</w:t>
            </w:r>
          </w:p>
        </w:tc>
        <w:tc>
          <w:tcPr>
            <w:tcW w:w="5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4,288,601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9,930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21,714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payables to affiliate</w:t>
            </w: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5,892</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100,201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93,939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5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92,377</w:t>
            </w:r>
          </w:p>
        </w:tc>
        <w:tc>
          <w:tcPr>
            <w:tcW w:w="24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4,445,084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4,476,972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shares, $0.001 par value; unlimited shares authorized (143,143,972 and 140,208,028, shares issued and</w:t>
            </w:r>
          </w:p>
        </w:tc>
        <w:tc>
          <w:tcPr>
            <w:tcW w:w="15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respectively)</w:t>
            </w:r>
          </w:p>
        </w:tc>
        <w:tc>
          <w:tcPr>
            <w:tcW w:w="15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4,008,602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3,923,739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Distributable earnings</w:t>
            </w:r>
          </w:p>
        </w:tc>
        <w:tc>
          <w:tcPr>
            <w:tcW w:w="15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203,508</w:t>
            </w:r>
          </w:p>
        </w:tc>
        <w:tc>
          <w:tcPr>
            <w:tcW w:w="24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112,591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1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4,212,253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4,036,470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500" w:type="dxa"/>
            <w:vAlign w:val="bottom"/>
            <w:shd w:val="clear" w:color="auto" w:fill="CFF0FC"/>
          </w:tcPr>
          <w:p>
            <w:pPr>
              <w:jc w:val="right"/>
              <w:ind w:right="137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8,657,337</w:t>
            </w:r>
          </w:p>
        </w:tc>
        <w:tc>
          <w:tcPr>
            <w:tcW w:w="56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8,513,442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8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500" w:type="dxa"/>
            <w:vAlign w:val="bottom"/>
          </w:tcPr>
          <w:p>
            <w:pPr>
              <w:jc w:val="right"/>
              <w:ind w:right="137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29.43</w:t>
            </w:r>
          </w:p>
        </w:tc>
        <w:tc>
          <w:tcPr>
            <w:tcW w:w="56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-1808480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-1790700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-1808480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-1028065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-145415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-128270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96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2"/>
                <w:szCs w:val="12"/>
                <w:color w:val="auto"/>
              </w:rPr>
            </w:pP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7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20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213,348</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140,244</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432,511</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254,122</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Paid-in-kind interest income</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7,925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31,287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13,716</w:t>
            </w:r>
          </w:p>
        </w:tc>
        <w:tc>
          <w:tcPr>
            <w:tcW w:w="100" w:type="dxa"/>
            <w:vAlign w:val="bottom"/>
          </w:tcPr>
          <w:p>
            <w:pPr>
              <w:spacing w:after="0"/>
              <w:rPr>
                <w:sz w:val="12"/>
                <w:szCs w:val="12"/>
                <w:color w:val="auto"/>
              </w:rPr>
            </w:pPr>
          </w:p>
        </w:tc>
      </w:tr>
      <w:tr>
        <w:trPr>
          <w:trHeight w:val="148"/>
        </w:trPr>
        <w:tc>
          <w:tcPr>
            <w:tcW w:w="47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2,616</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4,604</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Arranger Fees</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15,874</w:t>
            </w:r>
          </w:p>
        </w:tc>
        <w:tc>
          <w:tcPr>
            <w:tcW w:w="100" w:type="dxa"/>
            <w:vAlign w:val="bottom"/>
          </w:tcPr>
          <w:p>
            <w:pPr>
              <w:spacing w:after="0"/>
              <w:rPr>
                <w:sz w:val="12"/>
                <w:szCs w:val="12"/>
                <w:color w:val="auto"/>
              </w:rPr>
            </w:pPr>
          </w:p>
        </w:tc>
      </w:tr>
      <w:tr>
        <w:trPr>
          <w:trHeight w:val="148"/>
        </w:trPr>
        <w:tc>
          <w:tcPr>
            <w:tcW w:w="474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8,539</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13,171</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74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241,090</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157,464</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481,618</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289,055</w:t>
            </w:r>
          </w:p>
        </w:tc>
        <w:tc>
          <w:tcPr>
            <w:tcW w:w="100" w:type="dxa"/>
            <w:vAlign w:val="bottom"/>
          </w:tcPr>
          <w:p>
            <w:pPr>
              <w:spacing w:after="0"/>
              <w:rPr>
                <w:sz w:val="12"/>
                <w:szCs w:val="12"/>
                <w:color w:val="auto"/>
              </w:rPr>
            </w:pP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59,054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47,024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115,169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82,103</w:t>
            </w:r>
          </w:p>
        </w:tc>
        <w:tc>
          <w:tcPr>
            <w:tcW w:w="100" w:type="dxa"/>
            <w:vAlign w:val="bottom"/>
          </w:tcPr>
          <w:p>
            <w:pPr>
              <w:spacing w:after="0"/>
              <w:rPr>
                <w:sz w:val="12"/>
                <w:szCs w:val="12"/>
                <w:color w:val="auto"/>
              </w:rPr>
            </w:pPr>
          </w:p>
        </w:tc>
      </w:tr>
      <w:tr>
        <w:trPr>
          <w:trHeight w:val="148"/>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26,185</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14,935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51,869</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26,177</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42,395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23,540</w:t>
            </w:r>
          </w:p>
        </w:tc>
        <w:tc>
          <w:tcPr>
            <w:tcW w:w="100" w:type="dxa"/>
            <w:vAlign w:val="bottom"/>
          </w:tcPr>
          <w:p>
            <w:pPr>
              <w:spacing w:after="0"/>
              <w:rPr>
                <w:sz w:val="12"/>
                <w:szCs w:val="12"/>
                <w:color w:val="auto"/>
              </w:rPr>
            </w:pPr>
          </w:p>
        </w:tc>
      </w:tr>
      <w:tr>
        <w:trPr>
          <w:trHeight w:val="148"/>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(losses)</w:t>
            </w: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(2,818)</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5,792</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Offering expense</w:t>
            </w:r>
          </w:p>
        </w:tc>
        <w:tc>
          <w:tcPr>
            <w:tcW w:w="200" w:type="dxa"/>
            <w:vAlign w:val="bottom"/>
          </w:tcPr>
          <w:p>
            <w:pPr>
              <w:spacing w:after="0"/>
              <w:rPr>
                <w:sz w:val="12"/>
                <w:szCs w:val="12"/>
                <w:color w:val="auto"/>
              </w:rPr>
            </w:pPr>
          </w:p>
        </w:tc>
        <w:tc>
          <w:tcPr>
            <w:tcW w:w="15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2"/>
                <w:szCs w:val="12"/>
                <w:color w:val="auto"/>
              </w:rPr>
            </w:pPr>
          </w:p>
        </w:tc>
      </w:tr>
      <w:tr>
        <w:trPr>
          <w:trHeight w:val="149"/>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4,171</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2,453</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Trustees’ fees</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2"/>
                <w:szCs w:val="12"/>
                <w:color w:val="auto"/>
              </w:rPr>
            </w:pPr>
          </w:p>
        </w:tc>
      </w:tr>
      <w:tr>
        <w:trPr>
          <w:trHeight w:val="148"/>
        </w:trPr>
        <w:tc>
          <w:tcPr>
            <w:tcW w:w="4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2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3,133</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7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110,312</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80,473</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214,241</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143,967</w:t>
            </w:r>
          </w:p>
        </w:tc>
        <w:tc>
          <w:tcPr>
            <w:tcW w:w="100" w:type="dxa"/>
            <w:vAlign w:val="bottom"/>
          </w:tcPr>
          <w:p>
            <w:pPr>
              <w:spacing w:after="0"/>
              <w:rPr>
                <w:sz w:val="12"/>
                <w:szCs w:val="12"/>
                <w:color w:val="auto"/>
              </w:rPr>
            </w:pP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Management fees waived (Note 3)</w:t>
            </w: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(16,256)</w:t>
            </w:r>
          </w:p>
        </w:tc>
        <w:tc>
          <w:tcPr>
            <w:tcW w:w="14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(9,282)</w:t>
            </w: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(32,220)</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(16,066)</w:t>
            </w:r>
          </w:p>
        </w:tc>
      </w:tr>
      <w:tr>
        <w:trPr>
          <w:trHeight w:val="142"/>
        </w:trPr>
        <w:tc>
          <w:tcPr>
            <w:tcW w:w="4740" w:type="dxa"/>
            <w:vAlign w:val="bottom"/>
            <w:tcBorders>
              <w:top w:val="single" w:sz="8" w:color="CFF0FC"/>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2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94,056</w:t>
            </w:r>
          </w:p>
        </w:tc>
        <w:tc>
          <w:tcPr>
            <w:tcW w:w="26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71,191</w:t>
            </w:r>
          </w:p>
        </w:tc>
        <w:tc>
          <w:tcPr>
            <w:tcW w:w="260" w:type="dxa"/>
            <w:vAlign w:val="bottom"/>
            <w:tcBorders>
              <w:top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182,021</w:t>
            </w:r>
          </w:p>
        </w:tc>
        <w:tc>
          <w:tcPr>
            <w:tcW w:w="26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127,901</w:t>
            </w:r>
          </w:p>
        </w:tc>
        <w:tc>
          <w:tcPr>
            <w:tcW w:w="100" w:type="dxa"/>
            <w:vAlign w:val="bottom"/>
            <w:tcBorders>
              <w:top w:val="single" w:sz="8" w:color="CFF0FC"/>
            </w:tcBorders>
          </w:tcPr>
          <w:p>
            <w:pPr>
              <w:spacing w:after="0"/>
              <w:rPr>
                <w:sz w:val="12"/>
                <w:szCs w:val="12"/>
                <w:color w:val="auto"/>
              </w:rPr>
            </w:pP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147,034</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86,273</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299,597</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161,154</w:t>
            </w:r>
          </w:p>
        </w:tc>
        <w:tc>
          <w:tcPr>
            <w:tcW w:w="100" w:type="dxa"/>
            <w:vAlign w:val="bottom"/>
            <w:shd w:val="clear" w:color="auto" w:fill="CFF0FC"/>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including excise taxes</w:t>
            </w: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w:t>
            </w:r>
          </w:p>
        </w:tc>
        <w:tc>
          <w:tcPr>
            <w:tcW w:w="100" w:type="dxa"/>
            <w:vAlign w:val="bottom"/>
          </w:tcPr>
          <w:p>
            <w:pPr>
              <w:spacing w:after="0"/>
              <w:rPr>
                <w:sz w:val="12"/>
                <w:szCs w:val="12"/>
                <w:color w:val="auto"/>
              </w:rPr>
            </w:pP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147,018</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86,265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299,580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158,985</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w:t>
            </w: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119,383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138,879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34,482</w:t>
            </w:r>
          </w:p>
        </w:tc>
        <w:tc>
          <w:tcPr>
            <w:tcW w:w="100" w:type="dxa"/>
            <w:vAlign w:val="bottom"/>
          </w:tcPr>
          <w:p>
            <w:pPr>
              <w:spacing w:after="0"/>
              <w:rPr>
                <w:sz w:val="12"/>
                <w:szCs w:val="12"/>
                <w:color w:val="auto"/>
              </w:rPr>
            </w:pPr>
          </w:p>
        </w:tc>
      </w:tr>
      <w:tr>
        <w:trPr>
          <w:trHeight w:val="149"/>
        </w:trPr>
        <w:tc>
          <w:tcPr>
            <w:tcW w:w="47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(101,699)</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(143,409)</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4,939</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forward contracts</w:t>
            </w:r>
          </w:p>
        </w:tc>
        <w:tc>
          <w:tcPr>
            <w:tcW w:w="20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(3,140)</w:t>
            </w: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(5,659)</w:t>
            </w:r>
          </w:p>
        </w:tc>
        <w:tc>
          <w:tcPr>
            <w:tcW w:w="14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r>
      <w:tr>
        <w:trPr>
          <w:trHeight w:val="148"/>
        </w:trPr>
        <w:tc>
          <w:tcPr>
            <w:tcW w:w="47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4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4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74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2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13,698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16,667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(11,035)</w:t>
            </w:r>
          </w:p>
        </w:tc>
        <w:tc>
          <w:tcPr>
            <w:tcW w:w="1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39,410</w:t>
            </w:r>
          </w:p>
        </w:tc>
        <w:tc>
          <w:tcPr>
            <w:tcW w:w="100" w:type="dxa"/>
            <w:vAlign w:val="bottom"/>
          </w:tcPr>
          <w:p>
            <w:pPr>
              <w:spacing w:after="0"/>
              <w:rPr>
                <w:sz w:val="12"/>
                <w:szCs w:val="12"/>
                <w:color w:val="auto"/>
              </w:rPr>
            </w:pP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Realized gains (losses):</w:t>
            </w:r>
          </w:p>
        </w:tc>
        <w:tc>
          <w:tcPr>
            <w:tcW w:w="20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8,987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3,609</w:t>
            </w:r>
          </w:p>
        </w:tc>
        <w:tc>
          <w:tcPr>
            <w:tcW w:w="100" w:type="dxa"/>
            <w:vAlign w:val="bottom"/>
          </w:tcPr>
          <w:p>
            <w:pPr>
              <w:spacing w:after="0"/>
              <w:rPr>
                <w:sz w:val="12"/>
                <w:szCs w:val="12"/>
                <w:color w:val="auto"/>
              </w:rPr>
            </w:pPr>
          </w:p>
        </w:tc>
      </w:tr>
      <w:tr>
        <w:trPr>
          <w:trHeight w:val="149"/>
        </w:trPr>
        <w:tc>
          <w:tcPr>
            <w:tcW w:w="47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transactions</w:t>
            </w: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(1,277)</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3,315</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forward contracts</w:t>
            </w:r>
          </w:p>
        </w:tc>
        <w:tc>
          <w:tcPr>
            <w:tcW w:w="20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(10,224)</w:t>
            </w:r>
          </w:p>
        </w:tc>
        <w:tc>
          <w:tcPr>
            <w:tcW w:w="140" w:type="dxa"/>
            <w:vAlign w:val="bottom"/>
          </w:tcPr>
          <w:p>
            <w:pPr>
              <w:spacing w:after="0"/>
              <w:rPr>
                <w:sz w:val="12"/>
                <w:szCs w:val="12"/>
                <w:color w:val="auto"/>
              </w:rPr>
            </w:pPr>
          </w:p>
        </w:tc>
        <w:tc>
          <w:tcPr>
            <w:tcW w:w="14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(10,222)</w:t>
            </w:r>
          </w:p>
        </w:tc>
        <w:tc>
          <w:tcPr>
            <w:tcW w:w="14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4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74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(2,790)</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4,662</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(2,512)</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6,924</w:t>
            </w:r>
          </w:p>
        </w:tc>
        <w:tc>
          <w:tcPr>
            <w:tcW w:w="100" w:type="dxa"/>
            <w:vAlign w:val="bottom"/>
            <w:shd w:val="clear" w:color="auto" w:fill="CFF0FC"/>
          </w:tcPr>
          <w:p>
            <w:pPr>
              <w:spacing w:after="0"/>
              <w:rPr>
                <w:sz w:val="12"/>
                <w:szCs w:val="12"/>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7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2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21,329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(13,547)</w:t>
            </w:r>
          </w:p>
        </w:tc>
        <w:tc>
          <w:tcPr>
            <w:tcW w:w="1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46,334</w:t>
            </w:r>
          </w:p>
        </w:tc>
        <w:tc>
          <w:tcPr>
            <w:tcW w:w="100" w:type="dxa"/>
            <w:vAlign w:val="bottom"/>
          </w:tcPr>
          <w:p>
            <w:pPr>
              <w:spacing w:after="0"/>
              <w:rPr>
                <w:sz w:val="12"/>
                <w:szCs w:val="12"/>
                <w:color w:val="auto"/>
              </w:rPr>
            </w:pPr>
          </w:p>
        </w:tc>
      </w:tr>
      <w:tr>
        <w:trPr>
          <w:trHeight w:val="182"/>
        </w:trPr>
        <w:tc>
          <w:tcPr>
            <w:tcW w:w="4740" w:type="dxa"/>
            <w:vAlign w:val="bottom"/>
            <w:tcBorders>
              <w:bottom w:val="single" w:sz="8" w:color="CFF0FC"/>
            </w:tcBorders>
            <w:shd w:val="clear" w:color="auto" w:fill="CFF0FC"/>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157,926</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107,594</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286,033</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205,319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47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1.11</w:t>
            </w:r>
          </w:p>
        </w:tc>
        <w:tc>
          <w:tcPr>
            <w:tcW w:w="260" w:type="dxa"/>
            <w:vAlign w:val="bottom"/>
          </w:tcPr>
          <w:p>
            <w:pPr>
              <w:spacing w:after="0"/>
              <w:rPr>
                <w:sz w:val="11"/>
                <w:szCs w:val="11"/>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1.27</w:t>
            </w:r>
          </w:p>
        </w:tc>
        <w:tc>
          <w:tcPr>
            <w:tcW w:w="260" w:type="dxa"/>
            <w:vAlign w:val="bottom"/>
          </w:tcPr>
          <w:p>
            <w:pPr>
              <w:spacing w:after="0"/>
              <w:rPr>
                <w:sz w:val="11"/>
                <w:szCs w:val="11"/>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2.02</w:t>
            </w:r>
          </w:p>
        </w:tc>
        <w:tc>
          <w:tcPr>
            <w:tcW w:w="26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1"/>
                <w:szCs w:val="11"/>
                <w:color w:val="auto"/>
              </w:rPr>
            </w:pPr>
          </w:p>
        </w:tc>
      </w:tr>
      <w:tr>
        <w:trPr>
          <w:trHeight w:val="142"/>
        </w:trPr>
        <w:tc>
          <w:tcPr>
            <w:tcW w:w="47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common shares outstanding—basic and diluted</w:t>
            </w:r>
          </w:p>
        </w:tc>
        <w:tc>
          <w:tcPr>
            <w:tcW w:w="2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142,575,112</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84,817,784</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141,881,062</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77,232,840</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-3162300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-3162300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-3162300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-2202180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-2202180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-2202180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-1996440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-1996440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-1996440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-1028065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-1028065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-1028065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-436245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-436245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-436245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-231140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-213995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-231140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-213995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-231140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-213995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 as of June 30, 2025</w:t>
      </w:r>
    </w:p>
    <w:p>
      <w:pPr>
        <w:spacing w:after="0" w:line="4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(1)(9)</w:t>
            </w:r>
          </w:p>
        </w:tc>
        <w:tc>
          <w:tcPr>
            <w:tcW w:w="1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2"/>
              <w:spacing w:after="0" w:line="12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w w:val="98"/>
              </w:rPr>
              <w:t xml:space="preserve">Fair Value </w:t>
            </w:r>
            <w:r>
              <w:rPr>
                <w:rFonts w:ascii="Times New Roman" w:cs="Times New Roman" w:eastAsia="Times New Roman" w:hAnsi="Times New Roman"/>
                <w:sz w:val="16"/>
                <w:szCs w:val="16"/>
                <w:b w:val="1"/>
                <w:bCs w:val="1"/>
                <w:color w:val="auto"/>
                <w:w w:val="98"/>
                <w:vertAlign w:val="superscript"/>
              </w:rPr>
              <w:t>(6)</w:t>
            </w:r>
          </w:p>
        </w:tc>
        <w:tc>
          <w:tcPr>
            <w:tcW w:w="220" w:type="dxa"/>
            <w:vAlign w:val="bottom"/>
          </w:tcPr>
          <w:p>
            <w:pPr>
              <w:spacing w:after="0"/>
              <w:rPr>
                <w:sz w:val="11"/>
                <w:szCs w:val="11"/>
                <w:color w:val="auto"/>
              </w:rPr>
            </w:pPr>
          </w:p>
        </w:tc>
        <w:tc>
          <w:tcPr>
            <w:tcW w:w="104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62"/>
        </w:trPr>
        <w:tc>
          <w:tcPr>
            <w:tcW w:w="1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4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4"/>
                <w:szCs w:val="14"/>
                <w:color w:val="auto"/>
              </w:rPr>
            </w:pPr>
          </w:p>
        </w:tc>
        <w:tc>
          <w:tcPr>
            <w:tcW w:w="800" w:type="dxa"/>
            <w:vAlign w:val="bottom"/>
          </w:tcPr>
          <w:p>
            <w:pPr>
              <w:jc w:val="right"/>
              <w:ind w:right="162"/>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 (7)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of Net Assets</w:t>
            </w:r>
          </w:p>
        </w:tc>
        <w:tc>
          <w:tcPr>
            <w:tcW w:w="0" w:type="dxa"/>
            <w:vAlign w:val="bottom"/>
          </w:tcPr>
          <w:p>
            <w:pPr>
              <w:spacing w:after="0"/>
              <w:rPr>
                <w:sz w:val="1"/>
                <w:szCs w:val="1"/>
                <w:color w:val="auto"/>
              </w:rPr>
            </w:pPr>
          </w:p>
        </w:tc>
      </w:tr>
      <w:tr>
        <w:trPr>
          <w:trHeight w:val="142"/>
        </w:trPr>
        <w:tc>
          <w:tcPr>
            <w:tcW w:w="188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120" w:type="dxa"/>
            <w:vAlign w:val="bottom"/>
            <w:shd w:val="clear" w:color="auto" w:fill="CFF0FC"/>
          </w:tcPr>
          <w:p>
            <w:pPr>
              <w:spacing w:after="0"/>
              <w:rPr>
                <w:sz w:val="12"/>
                <w:szCs w:val="12"/>
                <w:color w:val="auto"/>
              </w:rPr>
            </w:pPr>
          </w:p>
        </w:tc>
        <w:tc>
          <w:tcPr>
            <w:tcW w:w="24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1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Truck-Lite Co., LLC </w:t>
            </w:r>
            <w:r>
              <w:rPr>
                <w:rFonts w:ascii="Times New Roman" w:cs="Times New Roman" w:eastAsia="Times New Roman" w:hAnsi="Times New Roman"/>
                <w:sz w:val="15"/>
                <w:szCs w:val="15"/>
                <w:color w:val="auto"/>
                <w:vertAlign w:val="superscript"/>
              </w:rPr>
              <w:t>(3)</w:t>
            </w:r>
          </w:p>
        </w:tc>
        <w:tc>
          <w:tcPr>
            <w:tcW w:w="26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($299,016 par, due 2/2032)</w:t>
            </w:r>
          </w:p>
        </w:tc>
        <w:tc>
          <w:tcPr>
            <w:tcW w:w="10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2/13/2024</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380" w:type="dxa"/>
            <w:vAlign w:val="bottom"/>
            <w:gridSpan w:val="3"/>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10.06%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296,144</w:t>
            </w:r>
          </w:p>
        </w:tc>
        <w:tc>
          <w:tcPr>
            <w:tcW w:w="32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299,867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1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Artisan Bidco, Inc.</w:t>
            </w:r>
            <w:r>
              <w:rPr>
                <w:rFonts w:ascii="Times New Roman" w:cs="Times New Roman" w:eastAsia="Times New Roman" w:hAnsi="Times New Roman"/>
                <w:sz w:val="15"/>
                <w:szCs w:val="15"/>
                <w:color w:val="auto"/>
                <w:vertAlign w:val="superscript"/>
              </w:rPr>
              <w:t>(3)</w:t>
            </w:r>
          </w:p>
        </w:tc>
        <w:tc>
          <w:tcPr>
            <w:tcW w:w="26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($113,569 par, due 11/2029)</w:t>
            </w:r>
          </w:p>
        </w:tc>
        <w:tc>
          <w:tcPr>
            <w:tcW w:w="10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+ 7.00%</w:t>
            </w:r>
          </w:p>
        </w:tc>
        <w:tc>
          <w:tcPr>
            <w:tcW w:w="1380" w:type="dxa"/>
            <w:vAlign w:val="bottom"/>
            <w:gridSpan w:val="3"/>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11.21%</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111,818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113,853</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260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(EUR 51,601 par, due 11/2029)</w:t>
            </w:r>
          </w:p>
        </w:tc>
        <w:tc>
          <w:tcPr>
            <w:tcW w:w="10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11/7/2023</w:t>
            </w: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3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9.36%</w:t>
            </w:r>
          </w:p>
        </w:tc>
        <w:tc>
          <w:tcPr>
            <w:tcW w:w="100" w:type="dxa"/>
            <w:vAlign w:val="bottom"/>
          </w:tcPr>
          <w:p>
            <w:pPr>
              <w:spacing w:after="0"/>
              <w:rPr>
                <w:sz w:val="10"/>
                <w:szCs w:val="10"/>
                <w:color w:val="auto"/>
              </w:rPr>
            </w:pP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54,578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60,723</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51,730)</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rPr>
                <w:sz w:val="10"/>
                <w:szCs w:val="10"/>
                <w:color w:val="auto"/>
              </w:rPr>
            </w:pPr>
          </w:p>
        </w:tc>
        <w:tc>
          <w:tcPr>
            <w:tcW w:w="2600" w:type="dxa"/>
            <w:vAlign w:val="bottom"/>
            <w:gridSpan w:val="2"/>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revolving loan ($6,473 par, due</w:t>
            </w:r>
          </w:p>
        </w:tc>
        <w:tc>
          <w:tcPr>
            <w:tcW w:w="10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11/7/2023</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SOFR + 7.00%</w:t>
            </w:r>
          </w:p>
        </w:tc>
        <w:tc>
          <w:tcPr>
            <w:tcW w:w="1380" w:type="dxa"/>
            <w:vAlign w:val="bottom"/>
            <w:gridSpan w:val="3"/>
            <w:shd w:val="clear" w:color="auto" w:fill="CFF0FC"/>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11.17%</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6,228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6,515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spacing w:after="0"/>
              <w:rPr>
                <w:sz w:val="13"/>
                <w:szCs w:val="13"/>
                <w:color w:val="auto"/>
              </w:rPr>
            </w:pP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11/2029)</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Azurite Intermediate Holdings, Inc.</w:t>
            </w:r>
          </w:p>
        </w:tc>
        <w:tc>
          <w:tcPr>
            <w:tcW w:w="260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2"/>
                <w:szCs w:val="12"/>
                <w:color w:val="auto"/>
              </w:rPr>
              <w:t>First-lien loan ($213,750 par, due 3/2031)</w:t>
            </w:r>
          </w:p>
        </w:tc>
        <w:tc>
          <w:tcPr>
            <w:tcW w:w="100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3/19/2024</w:t>
            </w: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SOFR + 6.00%</w:t>
            </w:r>
          </w:p>
        </w:tc>
        <w:tc>
          <w:tcPr>
            <w:tcW w:w="138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2"/>
                <w:szCs w:val="12"/>
                <w:color w:val="auto"/>
              </w:rPr>
              <w:t>10.33%</w:t>
            </w:r>
          </w:p>
        </w:tc>
        <w:tc>
          <w:tcPr>
            <w:tcW w:w="1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210,459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214,938</w:t>
            </w:r>
          </w:p>
        </w:tc>
        <w:tc>
          <w:tcPr>
            <w:tcW w:w="126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00"/>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96" w:right="339" w:bottom="1440" w:gutter="0" w:footer="0" w:header="0"/>
        </w:sectPr>
      </w:pPr>
    </w:p>
    <w:tbl>
      <w:tblPr>
        <w:tblLayout w:type="fixed"/>
        <w:tblInd w:w="0" w:type="dxa"/>
        <w:tblCellMar>
          <w:top w:w="0" w:type="dxa"/>
          <w:left w:w="0" w:type="dxa"/>
          <w:bottom w:w="0" w:type="dxa"/>
          <w:right w:w="0" w:type="dxa"/>
        </w:tblCellMar>
      </w:tblPr>
      <w:tr>
        <w:trPr>
          <w:trHeight w:val="138"/>
        </w:trPr>
        <w:tc>
          <w:tcPr>
            <w:tcW w:w="184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BCTO Ignition Purchaser, Inc. </w:t>
            </w:r>
            <w:r>
              <w:rPr>
                <w:rFonts w:ascii="Times New Roman" w:cs="Times New Roman" w:eastAsia="Times New Roman" w:hAnsi="Times New Roman"/>
                <w:sz w:val="15"/>
                <w:szCs w:val="15"/>
                <w:color w:val="auto"/>
                <w:vertAlign w:val="superscript"/>
              </w:rPr>
              <w:t>(3)</w:t>
            </w:r>
          </w:p>
        </w:tc>
        <w:tc>
          <w:tcPr>
            <w:tcW w:w="248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auto"/>
              </w:rPr>
              <w:t>First-lien holdco loan ($206,478 par, due</w:t>
            </w:r>
          </w:p>
        </w:tc>
        <w:tc>
          <w:tcPr>
            <w:tcW w:w="0" w:type="dxa"/>
            <w:vAlign w:val="bottom"/>
          </w:tcPr>
          <w:p>
            <w:pPr>
              <w:spacing w:after="0"/>
              <w:rPr>
                <w:sz w:val="1"/>
                <w:szCs w:val="1"/>
                <w:color w:val="auto"/>
              </w:rPr>
            </w:pPr>
          </w:p>
        </w:tc>
      </w:tr>
      <w:tr>
        <w:trPr>
          <w:trHeight w:val="135"/>
        </w:trPr>
        <w:tc>
          <w:tcPr>
            <w:tcW w:w="18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Crewline Buyer, Inc. </w:t>
            </w:r>
            <w:r>
              <w:rPr>
                <w:rFonts w:ascii="Times New Roman" w:cs="Times New Roman" w:eastAsia="Times New Roman" w:hAnsi="Times New Roman"/>
                <w:sz w:val="16"/>
                <w:szCs w:val="16"/>
                <w:color w:val="auto"/>
                <w:vertAlign w:val="superscript"/>
              </w:rPr>
              <w:t>(3)</w:t>
            </w:r>
          </w:p>
        </w:tc>
        <w:tc>
          <w:tcPr>
            <w:tcW w:w="24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10/2030)</w:t>
            </w:r>
          </w:p>
        </w:tc>
        <w:tc>
          <w:tcPr>
            <w:tcW w:w="0" w:type="dxa"/>
            <w:vAlign w:val="bottom"/>
          </w:tcPr>
          <w:p>
            <w:pPr>
              <w:spacing w:after="0"/>
              <w:rPr>
                <w:sz w:val="1"/>
                <w:szCs w:val="1"/>
                <w:color w:val="auto"/>
              </w:rPr>
            </w:pPr>
          </w:p>
        </w:tc>
      </w:tr>
      <w:tr>
        <w:trPr>
          <w:trHeight w:val="126"/>
        </w:trPr>
        <w:tc>
          <w:tcPr>
            <w:tcW w:w="1840" w:type="dxa"/>
            <w:vAlign w:val="bottom"/>
            <w:vMerge w:val="continue"/>
          </w:tcPr>
          <w:p>
            <w:pPr>
              <w:spacing w:after="0"/>
              <w:rPr>
                <w:sz w:val="10"/>
                <w:szCs w:val="10"/>
                <w:color w:val="auto"/>
              </w:rPr>
            </w:pPr>
          </w:p>
        </w:tc>
        <w:tc>
          <w:tcPr>
            <w:tcW w:w="248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auto"/>
              </w:rPr>
              <w:t>First-lien loan ($152,696 par, due 11/2030)</w:t>
            </w:r>
          </w:p>
        </w:tc>
        <w:tc>
          <w:tcPr>
            <w:tcW w:w="0" w:type="dxa"/>
            <w:vAlign w:val="bottom"/>
          </w:tcPr>
          <w:p>
            <w:pPr>
              <w:spacing w:after="0"/>
              <w:rPr>
                <w:sz w:val="1"/>
                <w:szCs w:val="1"/>
                <w:color w:val="auto"/>
              </w:rPr>
            </w:pPr>
          </w:p>
        </w:tc>
      </w:tr>
      <w:tr>
        <w:trPr>
          <w:trHeight w:val="135"/>
        </w:trPr>
        <w:tc>
          <w:tcPr>
            <w:tcW w:w="18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Dye &amp; Durham Corp. </w:t>
            </w:r>
            <w:r>
              <w:rPr>
                <w:rFonts w:ascii="Times New Roman" w:cs="Times New Roman" w:eastAsia="Times New Roman" w:hAnsi="Times New Roman"/>
                <w:sz w:val="15"/>
                <w:szCs w:val="15"/>
                <w:color w:val="auto"/>
                <w:vertAlign w:val="superscript"/>
              </w:rPr>
              <w:t>(3)(4)(12)</w:t>
            </w:r>
          </w:p>
        </w:tc>
        <w:tc>
          <w:tcPr>
            <w:tcW w:w="24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First-lien loan ($950 par, due 4/2031)</w:t>
            </w:r>
          </w:p>
        </w:tc>
        <w:tc>
          <w:tcPr>
            <w:tcW w:w="0" w:type="dxa"/>
            <w:vAlign w:val="bottom"/>
          </w:tcPr>
          <w:p>
            <w:pPr>
              <w:spacing w:after="0"/>
              <w:rPr>
                <w:sz w:val="1"/>
                <w:szCs w:val="1"/>
                <w:color w:val="auto"/>
              </w:rPr>
            </w:pPr>
          </w:p>
        </w:tc>
      </w:tr>
      <w:tr>
        <w:trPr>
          <w:trHeight w:val="220"/>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Elements Finco Limited </w:t>
            </w:r>
            <w:r>
              <w:rPr>
                <w:rFonts w:ascii="Times New Roman" w:cs="Times New Roman" w:eastAsia="Times New Roman" w:hAnsi="Times New Roman"/>
                <w:sz w:val="16"/>
                <w:szCs w:val="16"/>
                <w:color w:val="auto"/>
                <w:vertAlign w:val="superscript"/>
              </w:rPr>
              <w:t>(3)(4)</w:t>
            </w: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($25,327 par, due 4/2031)</w:t>
            </w:r>
          </w:p>
        </w:tc>
        <w:tc>
          <w:tcPr>
            <w:tcW w:w="0" w:type="dxa"/>
            <w:vAlign w:val="bottom"/>
          </w:tcPr>
          <w:p>
            <w:pPr>
              <w:spacing w:after="0"/>
              <w:rPr>
                <w:sz w:val="1"/>
                <w:szCs w:val="1"/>
                <w:color w:val="auto"/>
              </w:rPr>
            </w:pPr>
          </w:p>
        </w:tc>
      </w:tr>
      <w:tr>
        <w:trPr>
          <w:trHeight w:val="194"/>
        </w:trPr>
        <w:tc>
          <w:tcPr>
            <w:tcW w:w="1840" w:type="dxa"/>
            <w:vAlign w:val="bottom"/>
          </w:tcPr>
          <w:p>
            <w:pPr>
              <w:spacing w:after="0"/>
              <w:rPr>
                <w:sz w:val="16"/>
                <w:szCs w:val="16"/>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($20,857 par, due 4/2031)</w:t>
            </w: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5"/>
              </w:rPr>
              <w:t>First-lien loan (GBP 117,318 par, due 4/2031)</w:t>
            </w: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Galileo Parent, Inc. </w:t>
            </w:r>
            <w:r>
              <w:rPr>
                <w:rFonts w:ascii="Times New Roman" w:cs="Times New Roman" w:eastAsia="Times New Roman" w:hAnsi="Times New Roman"/>
                <w:sz w:val="16"/>
                <w:szCs w:val="16"/>
                <w:color w:val="auto"/>
                <w:vertAlign w:val="superscript"/>
              </w:rPr>
              <w:t>(3)</w:t>
            </w: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($148,792 par, due 5/2030)</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24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First-lien revolving loan ($15,481 par, due</w:t>
            </w:r>
          </w:p>
        </w:tc>
        <w:tc>
          <w:tcPr>
            <w:tcW w:w="0" w:type="dxa"/>
            <w:vAlign w:val="bottom"/>
          </w:tcPr>
          <w:p>
            <w:pPr>
              <w:spacing w:after="0"/>
              <w:rPr>
                <w:sz w:val="1"/>
                <w:szCs w:val="1"/>
                <w:color w:val="auto"/>
              </w:rPr>
            </w:pPr>
          </w:p>
        </w:tc>
      </w:tr>
      <w:tr>
        <w:trPr>
          <w:trHeight w:val="135"/>
        </w:trPr>
        <w:tc>
          <w:tcPr>
            <w:tcW w:w="18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Lynx BidCo </w:t>
            </w:r>
            <w:r>
              <w:rPr>
                <w:rFonts w:ascii="Times New Roman" w:cs="Times New Roman" w:eastAsia="Times New Roman" w:hAnsi="Times New Roman"/>
                <w:sz w:val="16"/>
                <w:szCs w:val="16"/>
                <w:color w:val="auto"/>
                <w:vertAlign w:val="superscript"/>
              </w:rPr>
              <w:t>(3)(4)</w:t>
            </w:r>
          </w:p>
        </w:tc>
        <w:tc>
          <w:tcPr>
            <w:tcW w:w="24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5/2030)</w:t>
            </w:r>
          </w:p>
        </w:tc>
        <w:tc>
          <w:tcPr>
            <w:tcW w:w="0" w:type="dxa"/>
            <w:vAlign w:val="bottom"/>
          </w:tcPr>
          <w:p>
            <w:pPr>
              <w:spacing w:after="0"/>
              <w:rPr>
                <w:sz w:val="1"/>
                <w:szCs w:val="1"/>
                <w:color w:val="auto"/>
              </w:rPr>
            </w:pPr>
          </w:p>
        </w:tc>
      </w:tr>
      <w:tr>
        <w:trPr>
          <w:trHeight w:val="209"/>
        </w:trPr>
        <w:tc>
          <w:tcPr>
            <w:tcW w:w="1840" w:type="dxa"/>
            <w:vAlign w:val="bottom"/>
            <w:vMerge w:val="continue"/>
          </w:tcPr>
          <w:p>
            <w:pPr>
              <w:spacing w:after="0"/>
              <w:rPr>
                <w:sz w:val="18"/>
                <w:szCs w:val="18"/>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($41,138 par, due 7/2031)</w:t>
            </w: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7"/>
              </w:rPr>
              <w:t>First-lien loan (EUR 17,297 par, due 7/2031)</w:t>
            </w:r>
          </w:p>
        </w:tc>
        <w:tc>
          <w:tcPr>
            <w:tcW w:w="0" w:type="dxa"/>
            <w:vAlign w:val="bottom"/>
          </w:tcPr>
          <w:p>
            <w:pPr>
              <w:spacing w:after="0"/>
              <w:rPr>
                <w:sz w:val="1"/>
                <w:szCs w:val="1"/>
                <w:color w:val="auto"/>
              </w:rPr>
            </w:pPr>
          </w:p>
        </w:tc>
      </w:tr>
      <w:tr>
        <w:trPr>
          <w:trHeight w:val="315"/>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6"/>
                <w:szCs w:val="16"/>
                <w:color w:val="auto"/>
                <w:vertAlign w:val="superscript"/>
              </w:rPr>
              <w:t>(3)(4)</w:t>
            </w: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(EUR 910 par, due 10/2029)</w:t>
            </w: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(EUR 910 par, due 10/2029)</w:t>
            </w: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USA DeBusk, LLC </w:t>
            </w:r>
            <w:r>
              <w:rPr>
                <w:rFonts w:ascii="Times New Roman" w:cs="Times New Roman" w:eastAsia="Times New Roman" w:hAnsi="Times New Roman"/>
                <w:sz w:val="16"/>
                <w:szCs w:val="16"/>
                <w:color w:val="auto"/>
                <w:vertAlign w:val="superscript"/>
              </w:rPr>
              <w:t>(3)</w:t>
            </w: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($104,105 par, due 4/2031)</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24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First-lien revolving loan ($5,954 par, due</w:t>
            </w:r>
          </w:p>
        </w:tc>
        <w:tc>
          <w:tcPr>
            <w:tcW w:w="0" w:type="dxa"/>
            <w:vAlign w:val="bottom"/>
          </w:tcPr>
          <w:p>
            <w:pPr>
              <w:spacing w:after="0"/>
              <w:rPr>
                <w:sz w:val="1"/>
                <w:szCs w:val="1"/>
                <w:color w:val="auto"/>
              </w:rPr>
            </w:pPr>
          </w:p>
        </w:tc>
      </w:tr>
      <w:tr>
        <w:trPr>
          <w:trHeight w:val="132"/>
        </w:trPr>
        <w:tc>
          <w:tcPr>
            <w:tcW w:w="1840" w:type="dxa"/>
            <w:vAlign w:val="bottom"/>
          </w:tcPr>
          <w:p>
            <w:pPr>
              <w:spacing w:after="0"/>
              <w:rPr>
                <w:sz w:val="11"/>
                <w:szCs w:val="11"/>
                <w:color w:val="auto"/>
              </w:rPr>
            </w:pPr>
          </w:p>
        </w:tc>
        <w:tc>
          <w:tcPr>
            <w:tcW w:w="2480" w:type="dxa"/>
            <w:vAlign w:val="bottom"/>
          </w:tcPr>
          <w:p>
            <w:pPr>
              <w:ind w:left="160"/>
              <w:spacing w:after="0" w:line="133" w:lineRule="exact"/>
              <w:rPr>
                <w:sz w:val="20"/>
                <w:szCs w:val="20"/>
                <w:color w:val="auto"/>
              </w:rPr>
            </w:pPr>
            <w:r>
              <w:rPr>
                <w:rFonts w:ascii="Times New Roman" w:cs="Times New Roman" w:eastAsia="Times New Roman" w:hAnsi="Times New Roman"/>
                <w:sz w:val="13"/>
                <w:szCs w:val="13"/>
                <w:color w:val="auto"/>
              </w:rPr>
              <w:t>4/2030)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4/18/2023</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SOFR + 7.50%</w:t>
            </w:r>
          </w:p>
        </w:tc>
        <w:tc>
          <w:tcPr>
            <w:tcW w:w="134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11.77% PIK</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202,849</w:t>
            </w:r>
          </w:p>
        </w:tc>
        <w:tc>
          <w:tcPr>
            <w:tcW w:w="15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210,092</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241"/>
        </w:trPr>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11/8/2023</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SOFR + 6.75%</w:t>
            </w: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11.08%</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149,194</w:t>
            </w:r>
          </w:p>
        </w:tc>
        <w:tc>
          <w:tcPr>
            <w:tcW w:w="15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154,377</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35"/>
        </w:trPr>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4/4/2024</w:t>
            </w: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SOFR + 4.35%</w:t>
            </w:r>
          </w:p>
        </w:tc>
        <w:tc>
          <w:tcPr>
            <w:tcW w:w="13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8.65%</w:t>
            </w:r>
          </w:p>
        </w:tc>
        <w:tc>
          <w:tcPr>
            <w:tcW w:w="9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937</w:t>
            </w: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956</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35"/>
        </w:trPr>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340" w:type="dxa"/>
            <w:vAlign w:val="bottom"/>
          </w:tcPr>
          <w:p>
            <w:pPr>
              <w:jc w:val="right"/>
              <w:ind w:right="377"/>
              <w:spacing w:after="0" w:line="135" w:lineRule="exact"/>
              <w:rPr>
                <w:sz w:val="20"/>
                <w:szCs w:val="20"/>
                <w:color w:val="auto"/>
              </w:rPr>
            </w:pPr>
            <w:r>
              <w:rPr>
                <w:rFonts w:ascii="Times New Roman" w:cs="Times New Roman" w:eastAsia="Times New Roman" w:hAnsi="Times New Roman"/>
                <w:sz w:val="13"/>
                <w:szCs w:val="13"/>
                <w:color w:val="auto"/>
              </w:rPr>
              <w:t>9.33% (incl.</w:t>
            </w:r>
          </w:p>
        </w:tc>
        <w:tc>
          <w:tcPr>
            <w:tcW w:w="9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25,156</w:t>
            </w: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25,580</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r>
      <w:tr>
        <w:trPr>
          <w:trHeight w:val="135"/>
        </w:trPr>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rPr>
              <w:t>2.25% PIK)</w:t>
            </w:r>
          </w:p>
        </w:tc>
        <w:tc>
          <w:tcPr>
            <w:tcW w:w="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3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9.33%</w:t>
            </w:r>
          </w:p>
        </w:tc>
        <w:tc>
          <w:tcPr>
            <w:tcW w:w="9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20,683</w:t>
            </w: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21,066</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r>
      <w:tr>
        <w:trPr>
          <w:trHeight w:val="135"/>
        </w:trPr>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S + 5.50%</w:t>
            </w:r>
          </w:p>
        </w:tc>
        <w:tc>
          <w:tcPr>
            <w:tcW w:w="1340" w:type="dxa"/>
            <w:vAlign w:val="bottom"/>
          </w:tcPr>
          <w:p>
            <w:pPr>
              <w:jc w:val="right"/>
              <w:ind w:right="377"/>
              <w:spacing w:after="0" w:line="135" w:lineRule="exact"/>
              <w:rPr>
                <w:sz w:val="20"/>
                <w:szCs w:val="20"/>
                <w:color w:val="auto"/>
              </w:rPr>
            </w:pPr>
            <w:r>
              <w:rPr>
                <w:rFonts w:ascii="Times New Roman" w:cs="Times New Roman" w:eastAsia="Times New Roman" w:hAnsi="Times New Roman"/>
                <w:sz w:val="13"/>
                <w:szCs w:val="13"/>
                <w:color w:val="auto"/>
              </w:rPr>
              <w:t>9.72% (incl.</w:t>
            </w:r>
          </w:p>
        </w:tc>
        <w:tc>
          <w:tcPr>
            <w:tcW w:w="9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146,028</w:t>
            </w: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162,776</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r>
      <w:tr>
        <w:trPr>
          <w:trHeight w:val="135"/>
        </w:trPr>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rPr>
              <w:t>2.50% PIK)</w:t>
            </w:r>
          </w:p>
        </w:tc>
        <w:tc>
          <w:tcPr>
            <w:tcW w:w="980" w:type="dxa"/>
            <w:vAlign w:val="bottom"/>
          </w:tcPr>
          <w:p>
            <w:pPr>
              <w:spacing w:after="0"/>
              <w:rPr>
                <w:sz w:val="11"/>
                <w:szCs w:val="11"/>
                <w:color w:val="auto"/>
              </w:rPr>
            </w:pP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(GBP 118,784)</w:t>
            </w:r>
          </w:p>
        </w:tc>
        <w:tc>
          <w:tcPr>
            <w:tcW w:w="760" w:type="dxa"/>
            <w:vAlign w:val="bottom"/>
          </w:tcPr>
          <w:p>
            <w:pPr>
              <w:spacing w:after="0"/>
              <w:rPr>
                <w:sz w:val="11"/>
                <w:szCs w:val="11"/>
                <w:color w:val="auto"/>
              </w:rPr>
            </w:pPr>
          </w:p>
        </w:tc>
      </w:tr>
      <w:tr>
        <w:trPr>
          <w:trHeight w:val="135"/>
        </w:trPr>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3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10.05%</w:t>
            </w:r>
          </w:p>
        </w:tc>
        <w:tc>
          <w:tcPr>
            <w:tcW w:w="9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145,707</w:t>
            </w: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150,280</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r>
      <w:tr>
        <w:trPr>
          <w:trHeight w:val="164"/>
        </w:trPr>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5/3/2023</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SOFR + 5.75%</w:t>
            </w: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10.05%</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15,029</w:t>
            </w:r>
          </w:p>
        </w:tc>
        <w:tc>
          <w:tcPr>
            <w:tcW w:w="15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15,716</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241"/>
        </w:trPr>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7/5/2024</w:t>
            </w:r>
          </w:p>
        </w:tc>
        <w:tc>
          <w:tcPr>
            <w:tcW w:w="10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SOFR +</w:t>
            </w:r>
          </w:p>
        </w:tc>
        <w:tc>
          <w:tcPr>
            <w:tcW w:w="134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11.32% (incl.</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40,012</w:t>
            </w:r>
          </w:p>
        </w:tc>
        <w:tc>
          <w:tcPr>
            <w:tcW w:w="15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40,641</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35"/>
        </w:trPr>
        <w:tc>
          <w:tcPr>
            <w:tcW w:w="680" w:type="dxa"/>
            <w:vAlign w:val="bottom"/>
          </w:tcPr>
          <w:p>
            <w:pPr>
              <w:spacing w:after="0"/>
              <w:rPr>
                <w:sz w:val="11"/>
                <w:szCs w:val="11"/>
                <w:color w:val="auto"/>
              </w:rPr>
            </w:pP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7.11%</w:t>
            </w:r>
          </w:p>
        </w:tc>
        <w:tc>
          <w:tcPr>
            <w:tcW w:w="1340" w:type="dxa"/>
            <w:vAlign w:val="bottom"/>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rPr>
              <w:t>5.61% PIK)</w:t>
            </w:r>
          </w:p>
        </w:tc>
        <w:tc>
          <w:tcPr>
            <w:tcW w:w="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7/5/2024</w:t>
            </w: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E + 7.11%</w:t>
            </w:r>
          </w:p>
        </w:tc>
        <w:tc>
          <w:tcPr>
            <w:tcW w:w="1340" w:type="dxa"/>
            <w:vAlign w:val="bottom"/>
          </w:tcPr>
          <w:p>
            <w:pPr>
              <w:jc w:val="right"/>
              <w:ind w:right="377"/>
              <w:spacing w:after="0" w:line="135" w:lineRule="exact"/>
              <w:rPr>
                <w:sz w:val="20"/>
                <w:szCs w:val="20"/>
                <w:color w:val="auto"/>
              </w:rPr>
            </w:pPr>
            <w:r>
              <w:rPr>
                <w:rFonts w:ascii="Times New Roman" w:cs="Times New Roman" w:eastAsia="Times New Roman" w:hAnsi="Times New Roman"/>
                <w:sz w:val="13"/>
                <w:szCs w:val="13"/>
                <w:color w:val="auto"/>
              </w:rPr>
              <w:t>9.47% (incl.</w:t>
            </w:r>
          </w:p>
        </w:tc>
        <w:tc>
          <w:tcPr>
            <w:tcW w:w="9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18,357</w:t>
            </w: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20,151</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r>
      <w:tr>
        <w:trPr>
          <w:trHeight w:val="135"/>
        </w:trPr>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rPr>
              <w:t>5.61% PIK)</w:t>
            </w:r>
          </w:p>
        </w:tc>
        <w:tc>
          <w:tcPr>
            <w:tcW w:w="980" w:type="dxa"/>
            <w:vAlign w:val="bottom"/>
          </w:tcPr>
          <w:p>
            <w:pPr>
              <w:spacing w:after="0"/>
              <w:rPr>
                <w:sz w:val="11"/>
                <w:szCs w:val="11"/>
                <w:color w:val="auto"/>
              </w:rPr>
            </w:pP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(EUR 17,167)</w:t>
            </w:r>
          </w:p>
        </w:tc>
        <w:tc>
          <w:tcPr>
            <w:tcW w:w="760" w:type="dxa"/>
            <w:vAlign w:val="bottom"/>
          </w:tcPr>
          <w:p>
            <w:pPr>
              <w:spacing w:after="0"/>
              <w:rPr>
                <w:sz w:val="11"/>
                <w:szCs w:val="11"/>
                <w:color w:val="auto"/>
              </w:rPr>
            </w:pPr>
          </w:p>
        </w:tc>
      </w:tr>
      <w:tr>
        <w:trPr>
          <w:trHeight w:val="135"/>
        </w:trPr>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4"/>
              </w:rPr>
              <w:t>10/27/2023</w:t>
            </w: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E + 7.00%</w:t>
            </w:r>
          </w:p>
        </w:tc>
        <w:tc>
          <w:tcPr>
            <w:tcW w:w="13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9.17%</w:t>
            </w:r>
          </w:p>
        </w:tc>
        <w:tc>
          <w:tcPr>
            <w:tcW w:w="9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968</w:t>
            </w: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1,084</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35"/>
        </w:trPr>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(EUR 924)</w:t>
            </w:r>
          </w:p>
        </w:tc>
        <w:tc>
          <w:tcPr>
            <w:tcW w:w="760" w:type="dxa"/>
            <w:vAlign w:val="bottom"/>
          </w:tcPr>
          <w:p>
            <w:pPr>
              <w:spacing w:after="0"/>
              <w:rPr>
                <w:sz w:val="11"/>
                <w:szCs w:val="11"/>
                <w:color w:val="auto"/>
              </w:rPr>
            </w:pPr>
          </w:p>
        </w:tc>
      </w:tr>
      <w:tr>
        <w:trPr>
          <w:trHeight w:val="135"/>
        </w:trPr>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4"/>
              </w:rPr>
              <w:t>12/19/2024</w:t>
            </w: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E + 6.25%</w:t>
            </w:r>
          </w:p>
        </w:tc>
        <w:tc>
          <w:tcPr>
            <w:tcW w:w="13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8.42%</w:t>
            </w:r>
          </w:p>
        </w:tc>
        <w:tc>
          <w:tcPr>
            <w:tcW w:w="9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923</w:t>
            </w: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1,095</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35"/>
        </w:trPr>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(EUR 933)</w:t>
            </w:r>
          </w:p>
        </w:tc>
        <w:tc>
          <w:tcPr>
            <w:tcW w:w="760" w:type="dxa"/>
            <w:vAlign w:val="bottom"/>
          </w:tcPr>
          <w:p>
            <w:pPr>
              <w:spacing w:after="0"/>
              <w:rPr>
                <w:sz w:val="11"/>
                <w:szCs w:val="11"/>
                <w:color w:val="auto"/>
              </w:rPr>
            </w:pPr>
          </w:p>
        </w:tc>
      </w:tr>
      <w:tr>
        <w:trPr>
          <w:trHeight w:val="135"/>
        </w:trPr>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4/30/2024</w:t>
            </w:r>
          </w:p>
        </w:tc>
        <w:tc>
          <w:tcPr>
            <w:tcW w:w="10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3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9.53%</w:t>
            </w:r>
          </w:p>
        </w:tc>
        <w:tc>
          <w:tcPr>
            <w:tcW w:w="9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102,547</w:t>
            </w:r>
          </w:p>
        </w:tc>
        <w:tc>
          <w:tcPr>
            <w:tcW w:w="15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104,105</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r>
      <w:tr>
        <w:trPr>
          <w:trHeight w:val="164"/>
        </w:trPr>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4/30/2024</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SOFR + 5.25%</w:t>
            </w: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9.58%</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5,789</w:t>
            </w:r>
          </w:p>
        </w:tc>
        <w:tc>
          <w:tcPr>
            <w:tcW w:w="15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5,954</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-1892300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-1635125</wp:posOffset>
            </wp:positionV>
            <wp:extent cx="7132320" cy="85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-1377950</wp:posOffset>
            </wp:positionV>
            <wp:extent cx="713232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-1120775</wp:posOffset>
            </wp:positionV>
            <wp:extent cx="7132320" cy="85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-863600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-520700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-177800</wp:posOffset>
            </wp:positionV>
            <wp:extent cx="7132320"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320" w:space="560"/>
            <w:col w:w="6360"/>
          </w:cols>
          <w:pgMar w:left="320" w:top="996" w:right="339" w:bottom="144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1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17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5"/>
                <w:szCs w:val="15"/>
                <w:color w:val="auto"/>
                <w:vertAlign w:val="superscript"/>
              </w:rPr>
              <w:t>(3)</w:t>
            </w:r>
          </w:p>
        </w:tc>
        <w:tc>
          <w:tcPr>
            <w:tcW w:w="290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First-lien loan ($135,629 par, due 9/2029)</w:t>
            </w: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300" w:type="dxa"/>
            <w:vAlign w:val="bottom"/>
            <w:shd w:val="clear" w:color="auto" w:fill="CFF0FC"/>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10.32%</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133,304</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137,575</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w:t>
            </w:r>
          </w:p>
        </w:tc>
      </w:tr>
      <w:tr>
        <w:trPr>
          <w:trHeight w:val="20"/>
        </w:trPr>
        <w:tc>
          <w:tcPr>
            <w:tcW w:w="174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17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1,390,566</w:t>
            </w:r>
          </w:p>
        </w:tc>
        <w:tc>
          <w:tcPr>
            <w:tcW w:w="22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1,447,477</w:t>
            </w:r>
          </w:p>
        </w:tc>
        <w:tc>
          <w:tcPr>
            <w:tcW w:w="220" w:type="dxa"/>
            <w:vAlign w:val="bottom"/>
          </w:tcPr>
          <w:p>
            <w:pPr>
              <w:spacing w:after="0"/>
              <w:rPr>
                <w:sz w:val="11"/>
                <w:szCs w:val="11"/>
                <w:color w:val="auto"/>
              </w:rPr>
            </w:pPr>
          </w:p>
        </w:tc>
        <w:tc>
          <w:tcPr>
            <w:tcW w:w="10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34.4%</w:t>
            </w:r>
          </w:p>
        </w:tc>
      </w:tr>
      <w:tr>
        <w:trPr>
          <w:trHeight w:val="128"/>
        </w:trPr>
        <w:tc>
          <w:tcPr>
            <w:tcW w:w="17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Chemicals</w:t>
            </w:r>
          </w:p>
        </w:tc>
        <w:tc>
          <w:tcPr>
            <w:tcW w:w="29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17"/>
        </w:trPr>
        <w:tc>
          <w:tcPr>
            <w:tcW w:w="174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Erling Lux Bidco SARL </w:t>
            </w:r>
            <w:r>
              <w:rPr>
                <w:rFonts w:ascii="Times New Roman" w:cs="Times New Roman" w:eastAsia="Times New Roman" w:hAnsi="Times New Roman"/>
                <w:sz w:val="13"/>
                <w:szCs w:val="13"/>
                <w:color w:val="auto"/>
                <w:vertAlign w:val="superscript"/>
              </w:rPr>
              <w:t>(3)(4)</w:t>
            </w:r>
          </w:p>
        </w:tc>
        <w:tc>
          <w:tcPr>
            <w:tcW w:w="290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(EUR 11,549 par, due 9/2028)</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300" w:type="dxa"/>
            <w:vAlign w:val="bottom"/>
          </w:tcPr>
          <w:p>
            <w:pPr>
              <w:jc w:val="right"/>
              <w:ind w:right="357"/>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96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9.10%</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11,583</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13,958</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0.3%</w:t>
            </w:r>
          </w:p>
        </w:tc>
      </w:tr>
      <w:tr>
        <w:trPr>
          <w:trHeight w:val="153"/>
        </w:trPr>
        <w:tc>
          <w:tcPr>
            <w:tcW w:w="1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11,891)</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740" w:type="dxa"/>
            <w:vAlign w:val="bottom"/>
            <w:shd w:val="clear" w:color="auto" w:fill="CFF0FC"/>
          </w:tcPr>
          <w:p>
            <w:pPr>
              <w:spacing w:after="0"/>
              <w:rPr>
                <w:sz w:val="10"/>
                <w:szCs w:val="10"/>
                <w:color w:val="auto"/>
              </w:rPr>
            </w:pPr>
          </w:p>
        </w:tc>
        <w:tc>
          <w:tcPr>
            <w:tcW w:w="2900" w:type="dxa"/>
            <w:vAlign w:val="bottom"/>
            <w:shd w:val="clear" w:color="auto" w:fill="CFF0FC"/>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(GBP 19,592 par, due 9/2028)</w:t>
            </w:r>
          </w:p>
        </w:tc>
        <w:tc>
          <w:tcPr>
            <w:tcW w:w="9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300" w:type="dxa"/>
            <w:vAlign w:val="bottom"/>
            <w:shd w:val="clear" w:color="auto" w:fill="CFF0FC"/>
          </w:tcPr>
          <w:p>
            <w:pPr>
              <w:jc w:val="right"/>
              <w:ind w:right="357"/>
              <w:spacing w:after="0" w:line="117" w:lineRule="exact"/>
              <w:rPr>
                <w:sz w:val="20"/>
                <w:szCs w:val="20"/>
                <w:color w:val="auto"/>
              </w:rPr>
            </w:pPr>
            <w:r>
              <w:rPr>
                <w:rFonts w:ascii="Times New Roman" w:cs="Times New Roman" w:eastAsia="Times New Roman" w:hAnsi="Times New Roman"/>
                <w:sz w:val="13"/>
                <w:szCs w:val="13"/>
                <w:color w:val="auto"/>
              </w:rPr>
              <w:t>S + 7.00%</w:t>
            </w:r>
          </w:p>
        </w:tc>
        <w:tc>
          <w:tcPr>
            <w:tcW w:w="96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11.22%</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23,104</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27,384</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0.7%</w:t>
            </w:r>
          </w:p>
        </w:tc>
      </w:tr>
      <w:tr>
        <w:trPr>
          <w:trHeight w:val="153"/>
        </w:trPr>
        <w:tc>
          <w:tcPr>
            <w:tcW w:w="1740" w:type="dxa"/>
            <w:vAlign w:val="bottom"/>
            <w:shd w:val="clear" w:color="auto" w:fill="CFF0FC"/>
          </w:tcPr>
          <w:p>
            <w:pPr>
              <w:spacing w:after="0"/>
              <w:rPr>
                <w:sz w:val="13"/>
                <w:szCs w:val="13"/>
                <w:color w:val="auto"/>
              </w:rPr>
            </w:pPr>
          </w:p>
        </w:tc>
        <w:tc>
          <w:tcPr>
            <w:tcW w:w="2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19,983)</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740" w:type="dxa"/>
            <w:vAlign w:val="bottom"/>
          </w:tcPr>
          <w:p>
            <w:pPr>
              <w:spacing w:after="0"/>
              <w:rPr>
                <w:sz w:val="10"/>
                <w:szCs w:val="10"/>
                <w:color w:val="auto"/>
              </w:rPr>
            </w:pPr>
          </w:p>
        </w:tc>
        <w:tc>
          <w:tcPr>
            <w:tcW w:w="290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(NOK 7,427 par, due 9/2028)</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300" w:type="dxa"/>
            <w:vAlign w:val="bottom"/>
          </w:tcPr>
          <w:p>
            <w:pPr>
              <w:jc w:val="right"/>
              <w:ind w:right="357"/>
              <w:spacing w:after="0" w:line="117" w:lineRule="exact"/>
              <w:rPr>
                <w:sz w:val="20"/>
                <w:szCs w:val="20"/>
                <w:color w:val="auto"/>
              </w:rPr>
            </w:pPr>
            <w:r>
              <w:rPr>
                <w:rFonts w:ascii="Times New Roman" w:cs="Times New Roman" w:eastAsia="Times New Roman" w:hAnsi="Times New Roman"/>
                <w:sz w:val="13"/>
                <w:szCs w:val="13"/>
                <w:color w:val="auto"/>
              </w:rPr>
              <w:t>N + 7.00%</w:t>
            </w:r>
          </w:p>
        </w:tc>
        <w:tc>
          <w:tcPr>
            <w:tcW w:w="96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11.59%</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711</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749</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(NOK 7,575)</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740" w:type="dxa"/>
            <w:vAlign w:val="bottom"/>
            <w:shd w:val="clear" w:color="auto" w:fill="CFF0FC"/>
          </w:tcPr>
          <w:p>
            <w:pPr>
              <w:spacing w:after="0"/>
              <w:rPr>
                <w:sz w:val="10"/>
                <w:szCs w:val="10"/>
                <w:color w:val="auto"/>
              </w:rPr>
            </w:pPr>
          </w:p>
        </w:tc>
        <w:tc>
          <w:tcPr>
            <w:tcW w:w="2900" w:type="dxa"/>
            <w:vAlign w:val="bottom"/>
            <w:shd w:val="clear" w:color="auto" w:fill="CFF0FC"/>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revolving loan (GBP 281 par, due</w:t>
            </w:r>
          </w:p>
        </w:tc>
        <w:tc>
          <w:tcPr>
            <w:tcW w:w="9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300" w:type="dxa"/>
            <w:vAlign w:val="bottom"/>
            <w:shd w:val="clear" w:color="auto" w:fill="CFF0FC"/>
          </w:tcPr>
          <w:p>
            <w:pPr>
              <w:jc w:val="right"/>
              <w:ind w:right="357"/>
              <w:spacing w:after="0" w:line="117" w:lineRule="exact"/>
              <w:rPr>
                <w:sz w:val="20"/>
                <w:szCs w:val="20"/>
                <w:color w:val="auto"/>
              </w:rPr>
            </w:pPr>
            <w:r>
              <w:rPr>
                <w:rFonts w:ascii="Times New Roman" w:cs="Times New Roman" w:eastAsia="Times New Roman" w:hAnsi="Times New Roman"/>
                <w:sz w:val="13"/>
                <w:szCs w:val="13"/>
                <w:color w:val="auto"/>
              </w:rPr>
              <w:t>S + 7.00%</w:t>
            </w:r>
          </w:p>
        </w:tc>
        <w:tc>
          <w:tcPr>
            <w:tcW w:w="96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11.22%</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367</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392</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740" w:type="dxa"/>
            <w:vAlign w:val="bottom"/>
            <w:shd w:val="clear" w:color="auto" w:fill="CFF0FC"/>
          </w:tcPr>
          <w:p>
            <w:pPr>
              <w:spacing w:after="0"/>
              <w:rPr>
                <w:sz w:val="13"/>
                <w:szCs w:val="13"/>
                <w:color w:val="auto"/>
              </w:rPr>
            </w:pPr>
          </w:p>
        </w:tc>
        <w:tc>
          <w:tcPr>
            <w:tcW w:w="2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9/2028)</w:t>
            </w:r>
          </w:p>
        </w:tc>
        <w:tc>
          <w:tcPr>
            <w:tcW w:w="9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286)</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74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FGI Acquisition Corp. </w:t>
            </w:r>
            <w:r>
              <w:rPr>
                <w:rFonts w:ascii="Times New Roman" w:cs="Times New Roman" w:eastAsia="Times New Roman" w:hAnsi="Times New Roman"/>
                <w:sz w:val="13"/>
                <w:szCs w:val="13"/>
                <w:color w:val="auto"/>
                <w:vertAlign w:val="superscript"/>
              </w:rPr>
              <w:t>(3)(4)</w:t>
            </w:r>
          </w:p>
        </w:tc>
        <w:tc>
          <w:tcPr>
            <w:tcW w:w="290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($90,000 par, due 6/2032)</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6/4/2025</w:t>
            </w:r>
          </w:p>
        </w:tc>
        <w:tc>
          <w:tcPr>
            <w:tcW w:w="1300" w:type="dxa"/>
            <w:vAlign w:val="bottom"/>
          </w:tcPr>
          <w:p>
            <w:pPr>
              <w:jc w:val="right"/>
              <w:ind w:right="39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96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9.82%</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88,214</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88,650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2.1%</w:t>
            </w:r>
          </w:p>
        </w:tc>
      </w:tr>
      <w:tr>
        <w:trPr>
          <w:trHeight w:val="140"/>
        </w:trPr>
        <w:tc>
          <w:tcPr>
            <w:tcW w:w="1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jc w:val="right"/>
              <w:ind w:right="357"/>
              <w:spacing w:after="0" w:line="140" w:lineRule="exact"/>
              <w:rPr>
                <w:sz w:val="20"/>
                <w:szCs w:val="20"/>
                <w:color w:val="auto"/>
              </w:rPr>
            </w:pPr>
            <w:r>
              <w:rPr>
                <w:rFonts w:ascii="Times New Roman" w:cs="Times New Roman" w:eastAsia="Times New Roman" w:hAnsi="Times New Roman"/>
                <w:sz w:val="13"/>
                <w:szCs w:val="13"/>
                <w:color w:val="auto"/>
              </w:rPr>
              <w:t>5.50%</w:t>
            </w:r>
          </w:p>
        </w:tc>
        <w:tc>
          <w:tcPr>
            <w:tcW w:w="9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8"/>
        </w:trPr>
        <w:tc>
          <w:tcPr>
            <w:tcW w:w="17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123,979</w:t>
            </w:r>
          </w:p>
        </w:tc>
        <w:tc>
          <w:tcPr>
            <w:tcW w:w="220" w:type="dxa"/>
            <w:vAlign w:val="bottom"/>
          </w:tcPr>
          <w:p>
            <w:pPr>
              <w:spacing w:after="0"/>
              <w:rPr>
                <w:sz w:val="11"/>
                <w:szCs w:val="11"/>
                <w:color w:val="auto"/>
              </w:rPr>
            </w:pP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131,133</w:t>
            </w:r>
          </w:p>
        </w:tc>
        <w:tc>
          <w:tcPr>
            <w:tcW w:w="220" w:type="dxa"/>
            <w:vAlign w:val="bottom"/>
          </w:tcPr>
          <w:p>
            <w:pPr>
              <w:spacing w:after="0"/>
              <w:rPr>
                <w:sz w:val="11"/>
                <w:szCs w:val="11"/>
                <w:color w:val="auto"/>
              </w:rPr>
            </w:pPr>
          </w:p>
        </w:tc>
        <w:tc>
          <w:tcPr>
            <w:tcW w:w="1040" w:type="dxa"/>
            <w:vAlign w:val="bottom"/>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-1136650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-1136650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-1136650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type w:val="continuous"/>
        </w:sectPr>
      </w:pPr>
    </w:p>
    <w:p>
      <w:pPr>
        <w:spacing w:after="0" w:line="216" w:lineRule="auto"/>
        <w:rPr>
          <w:sz w:val="20"/>
          <w:szCs w:val="20"/>
          <w:color w:val="auto"/>
        </w:rPr>
      </w:pPr>
      <w:r>
        <w:rPr>
          <w:rFonts w:ascii="Times New Roman" w:cs="Times New Roman" w:eastAsia="Times New Roman" w:hAnsi="Times New Roman"/>
          <w:sz w:val="13"/>
          <w:szCs w:val="13"/>
          <w:b w:val="1"/>
          <w:bCs w:val="1"/>
          <w:color w:val="auto"/>
        </w:rPr>
        <w:t>Communications</w:t>
      </w:r>
    </w:p>
    <w:p>
      <w:pPr>
        <w:spacing w:after="0" w:line="190" w:lineRule="auto"/>
        <w:tabs>
          <w:tab w:leader="none" w:pos="1980" w:val="left"/>
        </w:tabs>
        <w:rPr>
          <w:sz w:val="20"/>
          <w:szCs w:val="20"/>
          <w:color w:val="auto"/>
        </w:rPr>
      </w:pPr>
      <w:r>
        <w:rPr>
          <w:rFonts w:ascii="Times New Roman" w:cs="Times New Roman" w:eastAsia="Times New Roman" w:hAnsi="Times New Roman"/>
          <w:sz w:val="10"/>
          <w:szCs w:val="10"/>
          <w:color w:val="auto"/>
        </w:rPr>
        <w:t>Aurelia Netherlands MidCo 2 B.V.</w:t>
      </w:r>
      <w:r>
        <w:rPr>
          <w:sz w:val="20"/>
          <w:szCs w:val="20"/>
          <w:color w:val="auto"/>
        </w:rPr>
        <w:tab/>
      </w:r>
      <w:r>
        <w:rPr>
          <w:rFonts w:ascii="Times New Roman" w:cs="Times New Roman" w:eastAsia="Times New Roman" w:hAnsi="Times New Roman"/>
          <w:sz w:val="10"/>
          <w:szCs w:val="10"/>
          <w:color w:val="auto"/>
        </w:rPr>
        <w:t>First-lien loan (EUR 326,566 par, due 5/2031)</w:t>
      </w:r>
    </w:p>
    <w:p>
      <w:pPr>
        <w:spacing w:after="0"/>
        <w:rPr>
          <w:sz w:val="20"/>
          <w:szCs w:val="20"/>
          <w:color w:val="auto"/>
        </w:rPr>
      </w:pPr>
      <w:r>
        <w:rPr>
          <w:rFonts w:ascii="Times New Roman" w:cs="Times New Roman" w:eastAsia="Times New Roman" w:hAnsi="Times New Roman"/>
          <w:sz w:val="8"/>
          <w:szCs w:val="8"/>
          <w:color w:val="auto"/>
        </w:rPr>
        <w:t>(3)(4)</w:t>
      </w:r>
    </w:p>
    <w:p>
      <w:pPr>
        <w:spacing w:after="0" w:line="62"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3"/>
          <w:szCs w:val="13"/>
          <w:color w:val="auto"/>
        </w:rPr>
        <w:t xml:space="preserve">X Holdings. Inc. </w:t>
      </w:r>
      <w:r>
        <w:rPr>
          <w:rFonts w:ascii="Times New Roman" w:cs="Times New Roman" w:eastAsia="Times New Roman" w:hAnsi="Times New Roman"/>
          <w:sz w:val="16"/>
          <w:szCs w:val="16"/>
          <w:color w:val="auto"/>
          <w:vertAlign w:val="superscript"/>
        </w:rPr>
        <w:t>(3)(12)</w:t>
      </w:r>
      <w:r>
        <w:rPr>
          <w:sz w:val="20"/>
          <w:szCs w:val="20"/>
          <w:color w:val="auto"/>
        </w:rPr>
        <w:tab/>
      </w:r>
      <w:r>
        <w:rPr>
          <w:rFonts w:ascii="Times New Roman" w:cs="Times New Roman" w:eastAsia="Times New Roman" w:hAnsi="Times New Roman"/>
          <w:sz w:val="12"/>
          <w:szCs w:val="12"/>
          <w:color w:val="auto"/>
        </w:rPr>
        <w:t>First-lien loan ($37,543 par, due 10/2029)</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0"/>
              </w:rPr>
              <w:t>5/22/2024</w:t>
            </w:r>
          </w:p>
        </w:tc>
        <w:tc>
          <w:tcPr>
            <w:tcW w:w="11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E + 4.75%</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6.83%</w:t>
            </w: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354,463</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384,297</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35"/>
        </w:trPr>
        <w:tc>
          <w:tcPr>
            <w:tcW w:w="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2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(EUR 327,382)</w:t>
            </w:r>
          </w:p>
        </w:tc>
        <w:tc>
          <w:tcPr>
            <w:tcW w:w="760" w:type="dxa"/>
            <w:vAlign w:val="bottom"/>
          </w:tcPr>
          <w:p>
            <w:pPr>
              <w:spacing w:after="0"/>
              <w:rPr>
                <w:sz w:val="11"/>
                <w:szCs w:val="11"/>
                <w:color w:val="auto"/>
              </w:rPr>
            </w:pPr>
          </w:p>
        </w:tc>
      </w:tr>
      <w:tr>
        <w:trPr>
          <w:trHeight w:val="135"/>
        </w:trPr>
        <w:tc>
          <w:tcPr>
            <w:tcW w:w="72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3/7/2025</w:t>
            </w:r>
          </w:p>
        </w:tc>
        <w:tc>
          <w:tcPr>
            <w:tcW w:w="1180" w:type="dxa"/>
            <w:vAlign w:val="bottom"/>
          </w:tcPr>
          <w:p>
            <w:pPr>
              <w:jc w:val="right"/>
              <w:ind w:right="397"/>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10.93%</w:t>
            </w:r>
          </w:p>
        </w:tc>
        <w:tc>
          <w:tcPr>
            <w:tcW w:w="9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36,478</w:t>
            </w:r>
          </w:p>
        </w:tc>
        <w:tc>
          <w:tcPr>
            <w:tcW w:w="152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36,634</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r>
      <w:tr>
        <w:trPr>
          <w:trHeight w:val="149"/>
        </w:trPr>
        <w:tc>
          <w:tcPr>
            <w:tcW w:w="720" w:type="dxa"/>
            <w:vAlign w:val="bottom"/>
          </w:tcPr>
          <w:p>
            <w:pPr>
              <w:spacing w:after="0"/>
              <w:rPr>
                <w:sz w:val="12"/>
                <w:szCs w:val="12"/>
                <w:color w:val="auto"/>
              </w:rPr>
            </w:pPr>
          </w:p>
        </w:tc>
        <w:tc>
          <w:tcPr>
            <w:tcW w:w="11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6.60%</w:t>
            </w: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-339725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20" w:space="640"/>
            <w:col w:w="6280"/>
          </w:cols>
          <w:pgMar w:left="320" w:top="996" w:right="33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1820" w:type="dxa"/>
            <w:vAlign w:val="bottom"/>
            <w:shd w:val="clear" w:color="auto" w:fill="CFF0FC"/>
          </w:tcPr>
          <w:p>
            <w:pPr>
              <w:spacing w:after="0"/>
              <w:rPr>
                <w:sz w:val="12"/>
                <w:szCs w:val="12"/>
                <w:color w:val="auto"/>
              </w:rPr>
            </w:pPr>
          </w:p>
        </w:tc>
        <w:tc>
          <w:tcPr>
            <w:tcW w:w="2740" w:type="dxa"/>
            <w:vAlign w:val="bottom"/>
            <w:shd w:val="clear" w:color="auto" w:fill="CFF0FC"/>
          </w:tcPr>
          <w:p>
            <w:pPr>
              <w:ind w:left="180"/>
              <w:spacing w:after="0" w:line="139" w:lineRule="exact"/>
              <w:rPr>
                <w:sz w:val="20"/>
                <w:szCs w:val="20"/>
                <w:color w:val="auto"/>
              </w:rPr>
            </w:pPr>
            <w:r>
              <w:rPr>
                <w:rFonts w:ascii="Times New Roman" w:cs="Times New Roman" w:eastAsia="Times New Roman" w:hAnsi="Times New Roman"/>
                <w:sz w:val="13"/>
                <w:szCs w:val="13"/>
                <w:color w:val="auto"/>
              </w:rPr>
              <w:t>First-lien loan ($29,710 par, due 10/2029)</w:t>
            </w:r>
          </w:p>
        </w:tc>
        <w:tc>
          <w:tcPr>
            <w:tcW w:w="1000" w:type="dxa"/>
            <w:vAlign w:val="bottom"/>
            <w:shd w:val="clear" w:color="auto" w:fill="CFF0FC"/>
          </w:tcPr>
          <w:p>
            <w:pPr>
              <w:jc w:val="right"/>
              <w:ind w:right="37"/>
              <w:spacing w:after="0" w:line="139" w:lineRule="exact"/>
              <w:rPr>
                <w:sz w:val="20"/>
                <w:szCs w:val="20"/>
                <w:color w:val="auto"/>
              </w:rPr>
            </w:pPr>
            <w:r>
              <w:rPr>
                <w:rFonts w:ascii="Times New Roman" w:cs="Times New Roman" w:eastAsia="Times New Roman" w:hAnsi="Times New Roman"/>
                <w:sz w:val="13"/>
                <w:szCs w:val="13"/>
                <w:color w:val="auto"/>
              </w:rPr>
              <w:t>5/6/2025</w:t>
            </w:r>
          </w:p>
        </w:tc>
        <w:tc>
          <w:tcPr>
            <w:tcW w:w="1180" w:type="dxa"/>
            <w:vAlign w:val="bottom"/>
            <w:shd w:val="clear" w:color="auto" w:fill="CFF0FC"/>
          </w:tcPr>
          <w:p>
            <w:pPr>
              <w:jc w:val="right"/>
              <w:ind w:right="117"/>
              <w:spacing w:after="0" w:line="139" w:lineRule="exact"/>
              <w:rPr>
                <w:sz w:val="20"/>
                <w:szCs w:val="20"/>
                <w:color w:val="auto"/>
              </w:rPr>
            </w:pPr>
            <w:r>
              <w:rPr>
                <w:rFonts w:ascii="Times New Roman" w:cs="Times New Roman" w:eastAsia="Times New Roman" w:hAnsi="Times New Roman"/>
                <w:sz w:val="13"/>
                <w:szCs w:val="13"/>
                <w:color w:val="auto"/>
              </w:rPr>
              <w:t>9.50%</w:t>
            </w:r>
          </w:p>
        </w:tc>
        <w:tc>
          <w:tcPr>
            <w:tcW w:w="1080" w:type="dxa"/>
            <w:vAlign w:val="bottom"/>
            <w:shd w:val="clear" w:color="auto" w:fill="CFF0FC"/>
          </w:tcPr>
          <w:p>
            <w:pPr>
              <w:jc w:val="right"/>
              <w:ind w:right="77"/>
              <w:spacing w:after="0" w:line="139" w:lineRule="exact"/>
              <w:rPr>
                <w:sz w:val="20"/>
                <w:szCs w:val="20"/>
                <w:color w:val="auto"/>
              </w:rPr>
            </w:pPr>
            <w:r>
              <w:rPr>
                <w:rFonts w:ascii="Times New Roman" w:cs="Times New Roman" w:eastAsia="Times New Roman" w:hAnsi="Times New Roman"/>
                <w:sz w:val="13"/>
                <w:szCs w:val="13"/>
                <w:color w:val="auto"/>
              </w:rPr>
              <w:t>9.50%</w:t>
            </w:r>
          </w:p>
        </w:tc>
        <w:tc>
          <w:tcPr>
            <w:tcW w:w="9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3"/>
                <w:szCs w:val="13"/>
                <w:color w:val="auto"/>
              </w:rPr>
              <w:t>28,975</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3"/>
                <w:szCs w:val="13"/>
                <w:color w:val="auto"/>
              </w:rPr>
              <w:t>28,865</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0.7%</w:t>
            </w:r>
          </w:p>
        </w:tc>
      </w:tr>
      <w:tr>
        <w:trPr>
          <w:trHeight w:val="20"/>
        </w:trPr>
        <w:tc>
          <w:tcPr>
            <w:tcW w:w="18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18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419,916</w:t>
            </w:r>
          </w:p>
        </w:tc>
        <w:tc>
          <w:tcPr>
            <w:tcW w:w="22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449,796</w:t>
            </w:r>
          </w:p>
        </w:tc>
        <w:tc>
          <w:tcPr>
            <w:tcW w:w="220" w:type="dxa"/>
            <w:vAlign w:val="bottom"/>
          </w:tcPr>
          <w:p>
            <w:pPr>
              <w:spacing w:after="0"/>
              <w:rPr>
                <w:sz w:val="11"/>
                <w:szCs w:val="11"/>
                <w:color w:val="auto"/>
              </w:rPr>
            </w:pPr>
          </w:p>
        </w:tc>
        <w:tc>
          <w:tcPr>
            <w:tcW w:w="10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10.7%</w:t>
            </w:r>
          </w:p>
        </w:tc>
      </w:tr>
      <w:tr>
        <w:trPr>
          <w:trHeight w:val="128"/>
        </w:trPr>
        <w:tc>
          <w:tcPr>
            <w:tcW w:w="18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27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8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5"/>
                <w:szCs w:val="15"/>
                <w:color w:val="auto"/>
                <w:vertAlign w:val="superscript"/>
              </w:rPr>
              <w:t>(3)(4)</w:t>
            </w:r>
          </w:p>
        </w:tc>
        <w:tc>
          <w:tcPr>
            <w:tcW w:w="27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First-lien loan ($157,500 par, due 11/2030)</w:t>
            </w:r>
          </w:p>
        </w:tc>
        <w:tc>
          <w:tcPr>
            <w:tcW w:w="10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11/2/2023</w:t>
            </w:r>
          </w:p>
        </w:tc>
        <w:tc>
          <w:tcPr>
            <w:tcW w:w="11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0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10.43%</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153,639</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160,650</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3.8%</w:t>
            </w:r>
          </w:p>
        </w:tc>
      </w:tr>
      <w:tr>
        <w:trPr>
          <w:trHeight w:val="117"/>
        </w:trPr>
        <w:tc>
          <w:tcPr>
            <w:tcW w:w="18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Severin Acquisition, LLC </w:t>
            </w:r>
            <w:r>
              <w:rPr>
                <w:rFonts w:ascii="Times New Roman" w:cs="Times New Roman" w:eastAsia="Times New Roman" w:hAnsi="Times New Roman"/>
                <w:sz w:val="13"/>
                <w:szCs w:val="13"/>
                <w:color w:val="auto"/>
                <w:vertAlign w:val="superscript"/>
              </w:rPr>
              <w:t>(3)</w:t>
            </w:r>
          </w:p>
        </w:tc>
        <w:tc>
          <w:tcPr>
            <w:tcW w:w="2740" w:type="dxa"/>
            <w:vAlign w:val="bottom"/>
            <w:shd w:val="clear" w:color="auto" w:fill="CFF0FC"/>
          </w:tcPr>
          <w:p>
            <w:pPr>
              <w:ind w:left="180"/>
              <w:spacing w:after="0" w:line="117" w:lineRule="exact"/>
              <w:rPr>
                <w:sz w:val="20"/>
                <w:szCs w:val="20"/>
                <w:color w:val="auto"/>
              </w:rPr>
            </w:pPr>
            <w:r>
              <w:rPr>
                <w:rFonts w:ascii="Times New Roman" w:cs="Times New Roman" w:eastAsia="Times New Roman" w:hAnsi="Times New Roman"/>
                <w:sz w:val="13"/>
                <w:szCs w:val="13"/>
                <w:color w:val="auto"/>
              </w:rPr>
              <w:t>First-lien loan ($184,846 par, due 10/2031)</w:t>
            </w:r>
          </w:p>
        </w:tc>
        <w:tc>
          <w:tcPr>
            <w:tcW w:w="10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10/1/2024</w:t>
            </w:r>
          </w:p>
        </w:tc>
        <w:tc>
          <w:tcPr>
            <w:tcW w:w="118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+ 5.00%</w:t>
            </w:r>
          </w:p>
        </w:tc>
        <w:tc>
          <w:tcPr>
            <w:tcW w:w="1080" w:type="dxa"/>
            <w:vAlign w:val="bottom"/>
            <w:shd w:val="clear" w:color="auto" w:fill="CFF0FC"/>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9.33% (incl.</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184,822</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184,846</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4.4%</w:t>
            </w:r>
          </w:p>
        </w:tc>
      </w:tr>
      <w:tr>
        <w:trPr>
          <w:trHeight w:val="153"/>
        </w:trPr>
        <w:tc>
          <w:tcPr>
            <w:tcW w:w="1820" w:type="dxa"/>
            <w:vAlign w:val="bottom"/>
            <w:shd w:val="clear" w:color="auto" w:fill="CFF0FC"/>
          </w:tcPr>
          <w:p>
            <w:pPr>
              <w:spacing w:after="0"/>
              <w:rPr>
                <w:sz w:val="13"/>
                <w:szCs w:val="13"/>
                <w:color w:val="auto"/>
              </w:rPr>
            </w:pPr>
          </w:p>
        </w:tc>
        <w:tc>
          <w:tcPr>
            <w:tcW w:w="27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2.25% PIK)</w:t>
            </w: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820" w:type="dxa"/>
            <w:vAlign w:val="bottom"/>
          </w:tcPr>
          <w:p>
            <w:pPr>
              <w:spacing w:after="0"/>
              <w:rPr>
                <w:sz w:val="10"/>
                <w:szCs w:val="10"/>
                <w:color w:val="auto"/>
              </w:rPr>
            </w:pPr>
          </w:p>
        </w:tc>
        <w:tc>
          <w:tcPr>
            <w:tcW w:w="27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First-lien revolving loan ($9,730 par, due</w:t>
            </w:r>
          </w:p>
        </w:tc>
        <w:tc>
          <w:tcPr>
            <w:tcW w:w="100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10/1/2024</w:t>
            </w:r>
          </w:p>
        </w:tc>
        <w:tc>
          <w:tcPr>
            <w:tcW w:w="1180" w:type="dxa"/>
            <w:vAlign w:val="bottom"/>
          </w:tcPr>
          <w:p>
            <w:pPr>
              <w:jc w:val="right"/>
              <w:ind w:right="27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08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9.08%</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9,529</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9,730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40"/>
        </w:trPr>
        <w:tc>
          <w:tcPr>
            <w:tcW w:w="1820" w:type="dxa"/>
            <w:vAlign w:val="bottom"/>
          </w:tcPr>
          <w:p>
            <w:pPr>
              <w:spacing w:after="0"/>
              <w:rPr>
                <w:sz w:val="12"/>
                <w:szCs w:val="12"/>
                <w:color w:val="auto"/>
              </w:rPr>
            </w:pPr>
          </w:p>
        </w:tc>
        <w:tc>
          <w:tcPr>
            <w:tcW w:w="274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auto"/>
              </w:rPr>
              <w:t>10/2031)</w:t>
            </w:r>
          </w:p>
        </w:tc>
        <w:tc>
          <w:tcPr>
            <w:tcW w:w="1000" w:type="dxa"/>
            <w:vAlign w:val="bottom"/>
          </w:tcPr>
          <w:p>
            <w:pPr>
              <w:spacing w:after="0"/>
              <w:rPr>
                <w:sz w:val="12"/>
                <w:szCs w:val="12"/>
                <w:color w:val="auto"/>
              </w:rPr>
            </w:pPr>
          </w:p>
        </w:tc>
        <w:tc>
          <w:tcPr>
            <w:tcW w:w="1180" w:type="dxa"/>
            <w:vAlign w:val="bottom"/>
          </w:tcPr>
          <w:p>
            <w:pPr>
              <w:jc w:val="right"/>
              <w:ind w:right="237"/>
              <w:spacing w:after="0" w:line="140" w:lineRule="exact"/>
              <w:rPr>
                <w:sz w:val="20"/>
                <w:szCs w:val="20"/>
                <w:color w:val="auto"/>
              </w:rPr>
            </w:pPr>
            <w:r>
              <w:rPr>
                <w:rFonts w:ascii="Times New Roman" w:cs="Times New Roman" w:eastAsia="Times New Roman" w:hAnsi="Times New Roman"/>
                <w:sz w:val="13"/>
                <w:szCs w:val="13"/>
                <w:color w:val="auto"/>
              </w:rPr>
              <w:t>4.75%</w:t>
            </w:r>
          </w:p>
        </w:tc>
        <w:tc>
          <w:tcPr>
            <w:tcW w:w="10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1820" w:type="dxa"/>
            <w:vAlign w:val="bottom"/>
            <w:shd w:val="clear" w:color="auto" w:fill="CFF0FC"/>
          </w:tcPr>
          <w:p>
            <w:pPr>
              <w:spacing w:after="0"/>
              <w:rPr>
                <w:sz w:val="11"/>
                <w:szCs w:val="11"/>
                <w:color w:val="auto"/>
              </w:rPr>
            </w:pPr>
          </w:p>
        </w:tc>
        <w:tc>
          <w:tcPr>
            <w:tcW w:w="27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347,990</w:t>
            </w:r>
          </w:p>
        </w:tc>
        <w:tc>
          <w:tcPr>
            <w:tcW w:w="1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355,226</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8.4%</w:t>
            </w:r>
          </w:p>
        </w:tc>
      </w:tr>
      <w:tr>
        <w:trPr>
          <w:trHeight w:val="129"/>
        </w:trPr>
        <w:tc>
          <w:tcPr>
            <w:tcW w:w="18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Electronics</w:t>
            </w:r>
          </w:p>
        </w:tc>
        <w:tc>
          <w:tcPr>
            <w:tcW w:w="2740" w:type="dxa"/>
            <w:vAlign w:val="bottom"/>
            <w:tcBorders>
              <w:top w:val="single" w:sz="8" w:color="CFF0FC"/>
            </w:tcBorders>
          </w:tcPr>
          <w:p>
            <w:pPr>
              <w:spacing w:after="0"/>
              <w:rPr>
                <w:sz w:val="11"/>
                <w:szCs w:val="11"/>
                <w:color w:val="auto"/>
              </w:rPr>
            </w:pPr>
          </w:p>
        </w:tc>
        <w:tc>
          <w:tcPr>
            <w:tcW w:w="1000" w:type="dxa"/>
            <w:vAlign w:val="bottom"/>
            <w:tcBorders>
              <w:top w:val="single" w:sz="8" w:color="CFF0FC"/>
            </w:tcBorders>
          </w:tcPr>
          <w:p>
            <w:pPr>
              <w:spacing w:after="0"/>
              <w:rPr>
                <w:sz w:val="11"/>
                <w:szCs w:val="11"/>
                <w:color w:val="auto"/>
              </w:rPr>
            </w:pPr>
          </w:p>
        </w:tc>
        <w:tc>
          <w:tcPr>
            <w:tcW w:w="118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35"/>
        </w:trPr>
        <w:tc>
          <w:tcPr>
            <w:tcW w:w="1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Sapphire Software Buyer, Inc. </w:t>
            </w:r>
            <w:r>
              <w:rPr>
                <w:rFonts w:ascii="Times New Roman" w:cs="Times New Roman" w:eastAsia="Times New Roman" w:hAnsi="Times New Roman"/>
                <w:sz w:val="15"/>
                <w:szCs w:val="15"/>
                <w:color w:val="auto"/>
                <w:vertAlign w:val="superscript"/>
              </w:rPr>
              <w:t>(3)</w:t>
            </w:r>
          </w:p>
        </w:tc>
        <w:tc>
          <w:tcPr>
            <w:tcW w:w="2740" w:type="dxa"/>
            <w:vAlign w:val="bottom"/>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First-lien loan ($225,810 par, due 9/2031)</w:t>
            </w:r>
          </w:p>
        </w:tc>
        <w:tc>
          <w:tcPr>
            <w:tcW w:w="10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9/30/2024</w:t>
            </w:r>
          </w:p>
        </w:tc>
        <w:tc>
          <w:tcPr>
            <w:tcW w:w="1180" w:type="dxa"/>
            <w:vAlign w:val="bottom"/>
            <w:shd w:val="clear" w:color="auto" w:fill="CFF0FC"/>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0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9.22%</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223,545</w:t>
            </w:r>
          </w:p>
        </w:tc>
        <w:tc>
          <w:tcPr>
            <w:tcW w:w="1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225,178</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5.3%</w:t>
            </w:r>
          </w:p>
        </w:tc>
      </w:tr>
      <w:tr>
        <w:trPr>
          <w:trHeight w:val="135"/>
        </w:trPr>
        <w:tc>
          <w:tcPr>
            <w:tcW w:w="18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7"/>
        </w:trPr>
        <w:tc>
          <w:tcPr>
            <w:tcW w:w="18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Alaska Bidco Oy </w:t>
            </w:r>
            <w:r>
              <w:rPr>
                <w:rFonts w:ascii="Times New Roman" w:cs="Times New Roman" w:eastAsia="Times New Roman" w:hAnsi="Times New Roman"/>
                <w:sz w:val="13"/>
                <w:szCs w:val="13"/>
                <w:color w:val="auto"/>
                <w:vertAlign w:val="superscript"/>
              </w:rPr>
              <w:t>(3)(4)</w:t>
            </w:r>
          </w:p>
        </w:tc>
        <w:tc>
          <w:tcPr>
            <w:tcW w:w="2740" w:type="dxa"/>
            <w:vAlign w:val="bottom"/>
            <w:shd w:val="clear" w:color="auto" w:fill="CFF0FC"/>
          </w:tcPr>
          <w:p>
            <w:pPr>
              <w:ind w:left="180"/>
              <w:spacing w:after="0" w:line="117"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10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5/30/2023</w:t>
            </w:r>
          </w:p>
        </w:tc>
        <w:tc>
          <w:tcPr>
            <w:tcW w:w="118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08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7.80%</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761</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859</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1820" w:type="dxa"/>
            <w:vAlign w:val="bottom"/>
            <w:shd w:val="clear" w:color="auto" w:fill="CFF0FC"/>
          </w:tcPr>
          <w:p>
            <w:pPr>
              <w:spacing w:after="0"/>
              <w:rPr>
                <w:sz w:val="13"/>
                <w:szCs w:val="13"/>
                <w:color w:val="auto"/>
              </w:rPr>
            </w:pPr>
          </w:p>
        </w:tc>
        <w:tc>
          <w:tcPr>
            <w:tcW w:w="27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732)</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-1139190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-1139190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-436245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-436245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Arlberg Bidco, LLC </w:t>
            </w:r>
            <w:r>
              <w:rPr>
                <w:rFonts w:ascii="Times New Roman" w:cs="Times New Roman" w:eastAsia="Times New Roman" w:hAnsi="Times New Roman"/>
                <w:sz w:val="16"/>
                <w:szCs w:val="16"/>
                <w:color w:val="auto"/>
                <w:vertAlign w:val="superscript"/>
              </w:rPr>
              <w:t>(3)(4)(5)</w:t>
            </w:r>
          </w:p>
        </w:tc>
        <w:tc>
          <w:tcPr>
            <w:tcW w:w="2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First-lien loan ($5,000 par, due 2/2031)</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2/14/2025</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SOFR + 5.75%</w:t>
            </w: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10.06%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4,938</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BCTO Bluebill Buyer, Inc. </w:t>
            </w:r>
            <w:r>
              <w:rPr>
                <w:rFonts w:ascii="Times New Roman" w:cs="Times New Roman" w:eastAsia="Times New Roman" w:hAnsi="Times New Roman"/>
                <w:sz w:val="15"/>
                <w:szCs w:val="15"/>
                <w:color w:val="auto"/>
                <w:vertAlign w:val="superscript"/>
              </w:rPr>
              <w:t>(3)(5)</w:t>
            </w:r>
          </w:p>
        </w:tc>
        <w:tc>
          <w:tcPr>
            <w:tcW w:w="27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($7,618 par, due 7/2029)</w:t>
            </w:r>
          </w:p>
        </w:tc>
        <w:tc>
          <w:tcPr>
            <w:tcW w:w="10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7/20/2023</w:t>
            </w:r>
          </w:p>
        </w:tc>
        <w:tc>
          <w:tcPr>
            <w:tcW w:w="114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1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10.28%</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7,418</w:t>
            </w:r>
          </w:p>
        </w:tc>
        <w:tc>
          <w:tcPr>
            <w:tcW w:w="1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7,751</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Fullsteam Operations LLC </w:t>
            </w:r>
            <w:r>
              <w:rPr>
                <w:rFonts w:ascii="Times New Roman" w:cs="Times New Roman" w:eastAsia="Times New Roman" w:hAnsi="Times New Roman"/>
                <w:sz w:val="15"/>
                <w:szCs w:val="15"/>
                <w:color w:val="auto"/>
                <w:vertAlign w:val="superscript"/>
              </w:rPr>
              <w:t>(3)</w:t>
            </w:r>
          </w:p>
        </w:tc>
        <w:tc>
          <w:tcPr>
            <w:tcW w:w="27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($91,919 par, due 11/2029)</w:t>
            </w:r>
          </w:p>
        </w:tc>
        <w:tc>
          <w:tcPr>
            <w:tcW w:w="10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11/27/2023</w:t>
            </w:r>
          </w:p>
        </w:tc>
        <w:tc>
          <w:tcPr>
            <w:tcW w:w="11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+ 8.40%</w:t>
            </w:r>
          </w:p>
        </w:tc>
        <w:tc>
          <w:tcPr>
            <w:tcW w:w="11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12.73%</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89,750</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93,987</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rPr>
                <w:sz w:val="10"/>
                <w:szCs w:val="10"/>
                <w:color w:val="auto"/>
              </w:rPr>
            </w:pPr>
          </w:p>
        </w:tc>
        <w:tc>
          <w:tcPr>
            <w:tcW w:w="27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($29,973 par, due 11/2029)</w:t>
            </w:r>
          </w:p>
        </w:tc>
        <w:tc>
          <w:tcPr>
            <w:tcW w:w="10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2/23/2024</w:t>
            </w:r>
          </w:p>
        </w:tc>
        <w:tc>
          <w:tcPr>
            <w:tcW w:w="114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11.48%</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29,415</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31,286</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7.15%</w:t>
            </w: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270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revolving loan ($1,768 par, due</w:t>
            </w:r>
          </w:p>
        </w:tc>
        <w:tc>
          <w:tcPr>
            <w:tcW w:w="100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11/27/2023</w:t>
            </w:r>
          </w:p>
        </w:tc>
        <w:tc>
          <w:tcPr>
            <w:tcW w:w="114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SOFR + 8.40%</w:t>
            </w:r>
          </w:p>
        </w:tc>
        <w:tc>
          <w:tcPr>
            <w:tcW w:w="11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12.71%</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1,691</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1,847</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11/2029)</w:t>
            </w: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GreenShoot BidCo B.V. </w:t>
            </w:r>
            <w:r>
              <w:rPr>
                <w:rFonts w:ascii="Times New Roman" w:cs="Times New Roman" w:eastAsia="Times New Roman" w:hAnsi="Times New Roman"/>
                <w:sz w:val="13"/>
                <w:szCs w:val="13"/>
                <w:color w:val="auto"/>
                <w:vertAlign w:val="superscript"/>
              </w:rPr>
              <w:t>(3)(4)</w:t>
            </w:r>
          </w:p>
        </w:tc>
        <w:tc>
          <w:tcPr>
            <w:tcW w:w="27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(EUR 5,107 par, due 5/2030)</w:t>
            </w:r>
          </w:p>
        </w:tc>
        <w:tc>
          <w:tcPr>
            <w:tcW w:w="10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5/28/2024</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1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7.76%</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5,422</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5,930</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5,052)</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Volante Technologies, Inc.</w:t>
            </w:r>
          </w:p>
        </w:tc>
        <w:tc>
          <w:tcPr>
            <w:tcW w:w="27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($3,332 par, due 9/2028)</w:t>
            </w:r>
          </w:p>
        </w:tc>
        <w:tc>
          <w:tcPr>
            <w:tcW w:w="10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9/29/2023</w:t>
            </w: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16.50%</w:t>
            </w:r>
          </w:p>
        </w:tc>
        <w:tc>
          <w:tcPr>
            <w:tcW w:w="11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16.50% PIK</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3,324</w:t>
            </w: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3,457</w:t>
            </w:r>
          </w:p>
        </w:tc>
        <w:tc>
          <w:tcPr>
            <w:tcW w:w="220" w:type="dxa"/>
            <w:vAlign w:val="bottom"/>
          </w:tcPr>
          <w:p>
            <w:pPr>
              <w:spacing w:after="0"/>
              <w:rPr>
                <w:sz w:val="11"/>
                <w:szCs w:val="11"/>
                <w:color w:val="auto"/>
              </w:rPr>
            </w:pPr>
          </w:p>
        </w:tc>
        <w:tc>
          <w:tcPr>
            <w:tcW w:w="10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142,678</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150,055</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28"/>
        </w:trPr>
        <w:tc>
          <w:tcPr>
            <w:tcW w:w="18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700" w:type="dxa"/>
            <w:vAlign w:val="bottom"/>
            <w:tcBorders>
              <w:top w:val="single" w:sz="8" w:color="CFF0FC"/>
            </w:tcBorders>
          </w:tcPr>
          <w:p>
            <w:pPr>
              <w:spacing w:after="0"/>
              <w:rPr>
                <w:sz w:val="11"/>
                <w:szCs w:val="11"/>
                <w:color w:val="auto"/>
              </w:rPr>
            </w:pPr>
          </w:p>
        </w:tc>
        <w:tc>
          <w:tcPr>
            <w:tcW w:w="1000" w:type="dxa"/>
            <w:vAlign w:val="bottom"/>
            <w:tcBorders>
              <w:top w:val="single" w:sz="8" w:color="CFF0FC"/>
            </w:tcBorders>
          </w:tcPr>
          <w:p>
            <w:pPr>
              <w:spacing w:after="0"/>
              <w:rPr>
                <w:sz w:val="11"/>
                <w:szCs w:val="11"/>
                <w:color w:val="auto"/>
              </w:rPr>
            </w:pPr>
          </w:p>
        </w:tc>
        <w:tc>
          <w:tcPr>
            <w:tcW w:w="11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Edge Bidco B.V </w:t>
            </w:r>
            <w:r>
              <w:rPr>
                <w:rFonts w:ascii="Times New Roman" w:cs="Times New Roman" w:eastAsia="Times New Roman" w:hAnsi="Times New Roman"/>
                <w:sz w:val="13"/>
                <w:szCs w:val="13"/>
                <w:color w:val="auto"/>
                <w:vertAlign w:val="superscript"/>
              </w:rPr>
              <w:t>(3)(4)(5)</w:t>
            </w:r>
          </w:p>
        </w:tc>
        <w:tc>
          <w:tcPr>
            <w:tcW w:w="27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(EUR 5,932 par, due 2/2029)</w:t>
            </w:r>
          </w:p>
        </w:tc>
        <w:tc>
          <w:tcPr>
            <w:tcW w:w="10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2/24/2023</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1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8.48%</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6,223</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7,085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6,036)</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Eventus Buyer, LLC </w:t>
            </w:r>
            <w:r>
              <w:rPr>
                <w:rFonts w:ascii="Times New Roman" w:cs="Times New Roman" w:eastAsia="Times New Roman" w:hAnsi="Times New Roman"/>
                <w:sz w:val="15"/>
                <w:szCs w:val="15"/>
                <w:color w:val="auto"/>
                <w:vertAlign w:val="superscript"/>
              </w:rPr>
              <w:t>(3)</w:t>
            </w:r>
          </w:p>
        </w:tc>
        <w:tc>
          <w:tcPr>
            <w:tcW w:w="27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($48,349 par, due 11/2030)</w:t>
            </w:r>
          </w:p>
        </w:tc>
        <w:tc>
          <w:tcPr>
            <w:tcW w:w="10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11/1/2024</w:t>
            </w:r>
          </w:p>
        </w:tc>
        <w:tc>
          <w:tcPr>
            <w:tcW w:w="11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1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9.80%</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47,620</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47,734</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rPr>
                <w:sz w:val="10"/>
                <w:szCs w:val="10"/>
                <w:color w:val="auto"/>
              </w:rPr>
            </w:pPr>
          </w:p>
        </w:tc>
        <w:tc>
          <w:tcPr>
            <w:tcW w:w="27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revolving loan ($3,493 par, due</w:t>
            </w:r>
          </w:p>
        </w:tc>
        <w:tc>
          <w:tcPr>
            <w:tcW w:w="10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11/1/2024</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SOFR + 5.50%</w:t>
            </w:r>
          </w:p>
        </w:tc>
        <w:tc>
          <w:tcPr>
            <w:tcW w:w="11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9.79%</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3,406</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3,428</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11/2030)</w:t>
            </w:r>
          </w:p>
        </w:tc>
        <w:tc>
          <w:tcPr>
            <w:tcW w:w="10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Ingenovis Health Finance, LLC </w:t>
            </w:r>
            <w:r>
              <w:rPr>
                <w:rFonts w:ascii="Times New Roman" w:cs="Times New Roman" w:eastAsia="Times New Roman" w:hAnsi="Times New Roman"/>
                <w:sz w:val="13"/>
                <w:szCs w:val="13"/>
                <w:color w:val="auto"/>
                <w:vertAlign w:val="superscript"/>
              </w:rPr>
              <w:t>(3)</w:t>
            </w:r>
          </w:p>
        </w:tc>
        <w:tc>
          <w:tcPr>
            <w:tcW w:w="270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revolving loan ($10,000 par, due</w:t>
            </w:r>
          </w:p>
        </w:tc>
        <w:tc>
          <w:tcPr>
            <w:tcW w:w="100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5/13/2025</w:t>
            </w:r>
          </w:p>
        </w:tc>
        <w:tc>
          <w:tcPr>
            <w:tcW w:w="114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10.31%</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9,611</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9,700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35"/>
        </w:trPr>
        <w:tc>
          <w:tcPr>
            <w:tcW w:w="1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Raptor US Buyer II Corp. </w:t>
            </w:r>
            <w:r>
              <w:rPr>
                <w:rFonts w:ascii="Times New Roman" w:cs="Times New Roman" w:eastAsia="Times New Roman" w:hAnsi="Times New Roman"/>
                <w:sz w:val="16"/>
                <w:szCs w:val="16"/>
                <w:color w:val="auto"/>
                <w:vertAlign w:val="superscript"/>
              </w:rPr>
              <w:t>(3)(5)</w:t>
            </w:r>
          </w:p>
        </w:tc>
        <w:tc>
          <w:tcPr>
            <w:tcW w:w="27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5/2030)</w:t>
            </w:r>
          </w:p>
        </w:tc>
        <w:tc>
          <w:tcPr>
            <w:tcW w:w="1000" w:type="dxa"/>
            <w:vAlign w:val="bottom"/>
          </w:tcPr>
          <w:p>
            <w:pPr>
              <w:spacing w:after="0"/>
              <w:rPr>
                <w:sz w:val="11"/>
                <w:szCs w:val="11"/>
                <w:color w:val="auto"/>
              </w:rPr>
            </w:pPr>
          </w:p>
        </w:tc>
        <w:tc>
          <w:tcPr>
            <w:tcW w:w="11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60" w:type="dxa"/>
            <w:vAlign w:val="bottom"/>
            <w:vMerge w:val="continue"/>
          </w:tcPr>
          <w:p>
            <w:pPr>
              <w:spacing w:after="0"/>
              <w:rPr>
                <w:sz w:val="10"/>
                <w:szCs w:val="10"/>
                <w:color w:val="auto"/>
              </w:rPr>
            </w:pPr>
          </w:p>
        </w:tc>
        <w:tc>
          <w:tcPr>
            <w:tcW w:w="270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First-lien loan ($114,259 par, due 3/2029)</w:t>
            </w:r>
          </w:p>
        </w:tc>
        <w:tc>
          <w:tcPr>
            <w:tcW w:w="100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3/24/2023</w:t>
            </w:r>
          </w:p>
        </w:tc>
        <w:tc>
          <w:tcPr>
            <w:tcW w:w="1140" w:type="dxa"/>
            <w:vAlign w:val="bottom"/>
          </w:tcPr>
          <w:p>
            <w:pPr>
              <w:jc w:val="right"/>
              <w:ind w:right="197"/>
              <w:spacing w:after="0" w:line="126" w:lineRule="exact"/>
              <w:rPr>
                <w:sz w:val="20"/>
                <w:szCs w:val="20"/>
                <w:color w:val="auto"/>
              </w:rPr>
            </w:pPr>
            <w:r>
              <w:rPr>
                <w:rFonts w:ascii="Times New Roman" w:cs="Times New Roman" w:eastAsia="Times New Roman" w:hAnsi="Times New Roman"/>
                <w:sz w:val="13"/>
                <w:szCs w:val="13"/>
                <w:color w:val="auto"/>
              </w:rPr>
              <w:t>SOFR + 6.25%</w:t>
            </w:r>
          </w:p>
        </w:tc>
        <w:tc>
          <w:tcPr>
            <w:tcW w:w="1120" w:type="dxa"/>
            <w:vAlign w:val="bottom"/>
          </w:tcPr>
          <w:p>
            <w:pPr>
              <w:jc w:val="right"/>
              <w:ind w:right="77"/>
              <w:spacing w:after="0" w:line="126" w:lineRule="exact"/>
              <w:rPr>
                <w:sz w:val="20"/>
                <w:szCs w:val="20"/>
                <w:color w:val="auto"/>
              </w:rPr>
            </w:pPr>
            <w:r>
              <w:rPr>
                <w:rFonts w:ascii="Times New Roman" w:cs="Times New Roman" w:eastAsia="Times New Roman" w:hAnsi="Times New Roman"/>
                <w:sz w:val="13"/>
                <w:szCs w:val="13"/>
                <w:color w:val="auto"/>
              </w:rPr>
              <w:t>10.58%</w:t>
            </w:r>
          </w:p>
        </w:tc>
        <w:tc>
          <w:tcPr>
            <w:tcW w:w="9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111,814</w:t>
            </w:r>
          </w:p>
        </w:tc>
        <w:tc>
          <w:tcPr>
            <w:tcW w:w="12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115,445</w:t>
            </w:r>
          </w:p>
        </w:tc>
        <w:tc>
          <w:tcPr>
            <w:tcW w:w="126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2"/>
        </w:trPr>
        <w:tc>
          <w:tcPr>
            <w:tcW w:w="186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Symplr Software Inc. </w:t>
            </w:r>
            <w:r>
              <w:rPr>
                <w:rFonts w:ascii="Times New Roman" w:cs="Times New Roman" w:eastAsia="Times New Roman" w:hAnsi="Times New Roman"/>
                <w:sz w:val="18"/>
                <w:szCs w:val="18"/>
                <w:color w:val="auto"/>
                <w:vertAlign w:val="superscript"/>
              </w:rPr>
              <w:t>(3)</w:t>
            </w:r>
          </w:p>
        </w:tc>
        <w:tc>
          <w:tcPr>
            <w:tcW w:w="2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First-lien loan ($1,276 par, due 12/2027)</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4/15/2025</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SOFR + 4.60%</w:t>
            </w: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8.88%</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w:t>
            </w:r>
          </w:p>
        </w:tc>
        <w:tc>
          <w:tcPr>
            <w:tcW w:w="2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179,759</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184,553</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28"/>
        </w:trPr>
        <w:tc>
          <w:tcPr>
            <w:tcW w:w="18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700" w:type="dxa"/>
            <w:vAlign w:val="bottom"/>
            <w:tcBorders>
              <w:top w:val="single" w:sz="8" w:color="CFF0FC"/>
            </w:tcBorders>
          </w:tcPr>
          <w:p>
            <w:pPr>
              <w:spacing w:after="0"/>
              <w:rPr>
                <w:sz w:val="11"/>
                <w:szCs w:val="11"/>
                <w:color w:val="auto"/>
              </w:rPr>
            </w:pPr>
          </w:p>
        </w:tc>
        <w:tc>
          <w:tcPr>
            <w:tcW w:w="1000" w:type="dxa"/>
            <w:vAlign w:val="bottom"/>
            <w:tcBorders>
              <w:top w:val="single" w:sz="8" w:color="CFF0FC"/>
            </w:tcBorders>
          </w:tcPr>
          <w:p>
            <w:pPr>
              <w:spacing w:after="0"/>
              <w:rPr>
                <w:sz w:val="11"/>
                <w:szCs w:val="11"/>
                <w:color w:val="auto"/>
              </w:rPr>
            </w:pPr>
          </w:p>
        </w:tc>
        <w:tc>
          <w:tcPr>
            <w:tcW w:w="11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AVSC Holding Corp. </w:t>
            </w:r>
            <w:r>
              <w:rPr>
                <w:rFonts w:ascii="Times New Roman" w:cs="Times New Roman" w:eastAsia="Times New Roman" w:hAnsi="Times New Roman"/>
                <w:sz w:val="13"/>
                <w:szCs w:val="13"/>
                <w:color w:val="auto"/>
                <w:vertAlign w:val="superscript"/>
              </w:rPr>
              <w:t>(3)</w:t>
            </w:r>
          </w:p>
        </w:tc>
        <w:tc>
          <w:tcPr>
            <w:tcW w:w="27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($247,799 par, due 12/2031)</w:t>
            </w:r>
          </w:p>
        </w:tc>
        <w:tc>
          <w:tcPr>
            <w:tcW w:w="10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12/5/2024</w:t>
            </w:r>
          </w:p>
        </w:tc>
        <w:tc>
          <w:tcPr>
            <w:tcW w:w="114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9.33%</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242,670</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244,369</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5.00%</w:t>
            </w: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Equinox Holdings, Inc.</w:t>
            </w:r>
          </w:p>
        </w:tc>
        <w:tc>
          <w:tcPr>
            <w:tcW w:w="2700" w:type="dxa"/>
            <w:vAlign w:val="bottom"/>
          </w:tcPr>
          <w:p>
            <w:pPr>
              <w:ind w:left="140"/>
              <w:spacing w:after="0" w:line="117" w:lineRule="exact"/>
              <w:rPr>
                <w:sz w:val="20"/>
                <w:szCs w:val="20"/>
                <w:color w:val="auto"/>
              </w:rPr>
            </w:pPr>
            <w:r>
              <w:rPr>
                <w:rFonts w:ascii="Times New Roman" w:cs="Times New Roman" w:eastAsia="Times New Roman" w:hAnsi="Times New Roman"/>
                <w:sz w:val="10"/>
                <w:szCs w:val="10"/>
                <w:color w:val="auto"/>
              </w:rPr>
              <w:t xml:space="preserve">First-lien loan ($202,497 par, due 3/2029) </w:t>
            </w:r>
            <w:r>
              <w:rPr>
                <w:rFonts w:ascii="Times New Roman" w:cs="Times New Roman" w:eastAsia="Times New Roman" w:hAnsi="Times New Roman"/>
                <w:sz w:val="13"/>
                <w:szCs w:val="13"/>
                <w:color w:val="auto"/>
                <w:vertAlign w:val="superscript"/>
              </w:rPr>
              <w:t>(3)</w:t>
            </w:r>
          </w:p>
        </w:tc>
        <w:tc>
          <w:tcPr>
            <w:tcW w:w="100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3/8/2024</w:t>
            </w:r>
          </w:p>
        </w:tc>
        <w:tc>
          <w:tcPr>
            <w:tcW w:w="114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SOFR + 8.25%</w:t>
            </w:r>
          </w:p>
        </w:tc>
        <w:tc>
          <w:tcPr>
            <w:tcW w:w="1120" w:type="dxa"/>
            <w:vAlign w:val="bottom"/>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12.55% (incl.</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200,038</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207,560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4.13% PIK)</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rPr>
                <w:sz w:val="11"/>
                <w:szCs w:val="11"/>
                <w:color w:val="auto"/>
              </w:rPr>
            </w:pPr>
          </w:p>
        </w:tc>
        <w:tc>
          <w:tcPr>
            <w:tcW w:w="27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Second-lien loan ($10,148 par, due 6/2027)</w:t>
            </w:r>
          </w:p>
        </w:tc>
        <w:tc>
          <w:tcPr>
            <w:tcW w:w="10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3/13/2024</w:t>
            </w: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16.00%</w:t>
            </w:r>
          </w:p>
        </w:tc>
        <w:tc>
          <w:tcPr>
            <w:tcW w:w="112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16.00% PIK</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9,984</w:t>
            </w:r>
          </w:p>
        </w:tc>
        <w:tc>
          <w:tcPr>
            <w:tcW w:w="1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10,655</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Sport Alliance GmbH </w:t>
            </w:r>
            <w:r>
              <w:rPr>
                <w:rFonts w:ascii="Times New Roman" w:cs="Times New Roman" w:eastAsia="Times New Roman" w:hAnsi="Times New Roman"/>
                <w:sz w:val="13"/>
                <w:szCs w:val="13"/>
                <w:color w:val="auto"/>
                <w:vertAlign w:val="superscript"/>
              </w:rPr>
              <w:t>(3)(4)</w:t>
            </w:r>
          </w:p>
        </w:tc>
        <w:tc>
          <w:tcPr>
            <w:tcW w:w="270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(EUR 4,553 par, due 4/2030)</w:t>
            </w:r>
          </w:p>
        </w:tc>
        <w:tc>
          <w:tcPr>
            <w:tcW w:w="100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4/10/2024</w:t>
            </w:r>
          </w:p>
        </w:tc>
        <w:tc>
          <w:tcPr>
            <w:tcW w:w="114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120" w:type="dxa"/>
            <w:vAlign w:val="bottom"/>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9.50% (incl.</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4,801</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5,424</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3.88% PIK)</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4,621)</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rPr>
                <w:sz w:val="10"/>
                <w:szCs w:val="10"/>
                <w:color w:val="auto"/>
              </w:rPr>
            </w:pPr>
          </w:p>
        </w:tc>
        <w:tc>
          <w:tcPr>
            <w:tcW w:w="27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revolving loan (EUR 208 par, due</w:t>
            </w:r>
          </w:p>
        </w:tc>
        <w:tc>
          <w:tcPr>
            <w:tcW w:w="10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4/10/2024</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+ 6.75%</w:t>
            </w:r>
          </w:p>
        </w:tc>
        <w:tc>
          <w:tcPr>
            <w:tcW w:w="11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8.73%</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211</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256</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53"/>
        </w:trPr>
        <w:tc>
          <w:tcPr>
            <w:tcW w:w="1860" w:type="dxa"/>
            <w:vAlign w:val="bottom"/>
            <w:tcBorders>
              <w:bottom w:val="single" w:sz="8" w:color="CFF0FC"/>
            </w:tcBorders>
            <w:shd w:val="clear" w:color="auto" w:fill="CFF0FC"/>
          </w:tcPr>
          <w:p>
            <w:pPr>
              <w:spacing w:after="0"/>
              <w:rPr>
                <w:sz w:val="13"/>
                <w:szCs w:val="13"/>
                <w:color w:val="auto"/>
              </w:rPr>
            </w:pPr>
          </w:p>
        </w:tc>
        <w:tc>
          <w:tcPr>
            <w:tcW w:w="2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4/2030)</w:t>
            </w:r>
          </w:p>
        </w:tc>
        <w:tc>
          <w:tcPr>
            <w:tcW w:w="100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218)</w:t>
            </w:r>
          </w:p>
        </w:tc>
        <w:tc>
          <w:tcPr>
            <w:tcW w:w="2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457,704</w:t>
            </w:r>
          </w:p>
        </w:tc>
        <w:tc>
          <w:tcPr>
            <w:tcW w:w="12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468,264</w:t>
            </w:r>
          </w:p>
        </w:tc>
        <w:tc>
          <w:tcPr>
            <w:tcW w:w="126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-1231265</wp:posOffset>
            </wp:positionV>
            <wp:extent cx="7132320"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-1925320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-1925320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-1925320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-965200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-965200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-965200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-99695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-99695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-5080</wp:posOffset>
            </wp:positionV>
            <wp:extent cx="20999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p>
      <w:pPr>
        <w:spacing w:after="0" w:line="216" w:lineRule="auto"/>
        <w:rPr>
          <w:sz w:val="20"/>
          <w:szCs w:val="20"/>
          <w:color w:val="auto"/>
        </w:rPr>
      </w:pPr>
      <w:r>
        <w:rPr>
          <w:rFonts w:ascii="Times New Roman" w:cs="Times New Roman" w:eastAsia="Times New Roman" w:hAnsi="Times New Roman"/>
          <w:sz w:val="13"/>
          <w:szCs w:val="13"/>
          <w:b w:val="1"/>
          <w:bCs w:val="1"/>
          <w:color w:val="auto"/>
        </w:rPr>
        <w:t>Human Resource Support</w:t>
      </w:r>
    </w:p>
    <w:p>
      <w:pPr>
        <w:spacing w:after="0" w:line="190" w:lineRule="auto"/>
        <w:rPr>
          <w:sz w:val="20"/>
          <w:szCs w:val="20"/>
          <w:color w:val="auto"/>
        </w:rPr>
      </w:pPr>
      <w:r>
        <w:rPr>
          <w:rFonts w:ascii="Times New Roman" w:cs="Times New Roman" w:eastAsia="Times New Roman" w:hAnsi="Times New Roman"/>
          <w:sz w:val="13"/>
          <w:szCs w:val="13"/>
          <w:b w:val="1"/>
          <w:bCs w:val="1"/>
          <w:color w:val="auto"/>
        </w:rPr>
        <w:t>Services</w:t>
      </w:r>
    </w:p>
    <w:p>
      <w:pPr>
        <w:spacing w:after="0" w:line="229" w:lineRule="auto"/>
        <w:tabs>
          <w:tab w:leader="none" w:pos="1980" w:val="left"/>
        </w:tabs>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(3)(5)</w:t>
      </w:r>
      <w:r>
        <w:rPr>
          <w:sz w:val="20"/>
          <w:szCs w:val="20"/>
          <w:color w:val="auto"/>
        </w:rPr>
        <w:tab/>
      </w:r>
      <w:r>
        <w:rPr>
          <w:rFonts w:ascii="Times New Roman" w:cs="Times New Roman" w:eastAsia="Times New Roman" w:hAnsi="Times New Roman"/>
          <w:sz w:val="12"/>
          <w:szCs w:val="12"/>
          <w:color w:val="auto"/>
        </w:rPr>
        <w:t>First-lien loan ($172,948 par, due 11/2028)</w:t>
      </w:r>
    </w:p>
    <w:p>
      <w:pPr>
        <w:spacing w:after="0"/>
        <w:tabs>
          <w:tab w:leader="none" w:pos="1980" w:val="left"/>
        </w:tabs>
        <w:rPr>
          <w:sz w:val="20"/>
          <w:szCs w:val="20"/>
          <w:color w:val="auto"/>
        </w:rPr>
      </w:pPr>
      <w:r>
        <w:rPr>
          <w:rFonts w:ascii="Times New Roman" w:cs="Times New Roman" w:eastAsia="Times New Roman" w:hAnsi="Times New Roman"/>
          <w:sz w:val="13"/>
          <w:szCs w:val="13"/>
          <w:color w:val="auto"/>
        </w:rPr>
        <w:t xml:space="preserve">HireVue, Inc. </w:t>
      </w:r>
      <w:r>
        <w:rPr>
          <w:rFonts w:ascii="Times New Roman" w:cs="Times New Roman" w:eastAsia="Times New Roman" w:hAnsi="Times New Roman"/>
          <w:sz w:val="16"/>
          <w:szCs w:val="16"/>
          <w:color w:val="auto"/>
          <w:vertAlign w:val="superscript"/>
        </w:rPr>
        <w:t>(3)</w:t>
      </w:r>
      <w:r>
        <w:rPr>
          <w:sz w:val="20"/>
          <w:szCs w:val="20"/>
          <w:color w:val="auto"/>
        </w:rPr>
        <w:tab/>
      </w:r>
      <w:r>
        <w:rPr>
          <w:rFonts w:ascii="Times New Roman" w:cs="Times New Roman" w:eastAsia="Times New Roman" w:hAnsi="Times New Roman"/>
          <w:sz w:val="12"/>
          <w:szCs w:val="12"/>
          <w:color w:val="auto"/>
        </w:rPr>
        <w:t>First-lien loan ($109,224 par, due 5/2029)</w:t>
      </w:r>
    </w:p>
    <w:p>
      <w:pPr>
        <w:ind w:left="2000"/>
        <w:spacing w:after="0" w:line="217" w:lineRule="auto"/>
        <w:rPr>
          <w:sz w:val="20"/>
          <w:szCs w:val="20"/>
          <w:color w:val="auto"/>
        </w:rPr>
      </w:pPr>
      <w:r>
        <w:rPr>
          <w:rFonts w:ascii="Times New Roman" w:cs="Times New Roman" w:eastAsia="Times New Roman" w:hAnsi="Times New Roman"/>
          <w:sz w:val="13"/>
          <w:szCs w:val="13"/>
          <w:color w:val="auto"/>
        </w:rPr>
        <w:t>First-lien revolving loan ($7,157 par, due</w:t>
      </w:r>
    </w:p>
    <w:p>
      <w:pPr>
        <w:ind w:left="2000"/>
        <w:spacing w:after="0" w:line="189" w:lineRule="auto"/>
        <w:rPr>
          <w:sz w:val="20"/>
          <w:szCs w:val="20"/>
          <w:color w:val="auto"/>
        </w:rPr>
      </w:pPr>
      <w:r>
        <w:rPr>
          <w:rFonts w:ascii="Times New Roman" w:cs="Times New Roman" w:eastAsia="Times New Roman" w:hAnsi="Times New Roman"/>
          <w:sz w:val="13"/>
          <w:szCs w:val="13"/>
          <w:color w:val="auto"/>
        </w:rPr>
        <w:t>5/2029)</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0"/>
              </w:rPr>
              <w:t>11/7/2022</w:t>
            </w:r>
          </w:p>
        </w:tc>
        <w:tc>
          <w:tcPr>
            <w:tcW w:w="1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+ 4.75%</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9.06%</w:t>
            </w:r>
          </w:p>
        </w:tc>
        <w:tc>
          <w:tcPr>
            <w:tcW w:w="116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170,016</w:t>
            </w:r>
          </w:p>
        </w:tc>
        <w:tc>
          <w:tcPr>
            <w:tcW w:w="13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172,948</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35"/>
        </w:trPr>
        <w:tc>
          <w:tcPr>
            <w:tcW w:w="6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SOFR + 6.75%</w:t>
            </w:r>
          </w:p>
        </w:tc>
        <w:tc>
          <w:tcPr>
            <w:tcW w:w="11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11.03%</w:t>
            </w:r>
          </w:p>
        </w:tc>
        <w:tc>
          <w:tcPr>
            <w:tcW w:w="1160" w:type="dxa"/>
            <w:vAlign w:val="bottom"/>
          </w:tcPr>
          <w:p>
            <w:pPr>
              <w:jc w:val="right"/>
              <w:ind w:right="377"/>
              <w:spacing w:after="0" w:line="135" w:lineRule="exact"/>
              <w:rPr>
                <w:sz w:val="20"/>
                <w:szCs w:val="20"/>
                <w:color w:val="auto"/>
              </w:rPr>
            </w:pPr>
            <w:r>
              <w:rPr>
                <w:rFonts w:ascii="Times New Roman" w:cs="Times New Roman" w:eastAsia="Times New Roman" w:hAnsi="Times New Roman"/>
                <w:sz w:val="13"/>
                <w:szCs w:val="13"/>
                <w:color w:val="auto"/>
              </w:rPr>
              <w:t>107,186</w:t>
            </w:r>
          </w:p>
        </w:tc>
        <w:tc>
          <w:tcPr>
            <w:tcW w:w="132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110,316</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r>
      <w:tr>
        <w:trPr>
          <w:trHeight w:val="164"/>
        </w:trPr>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5/3/2023</w:t>
            </w:r>
          </w:p>
        </w:tc>
        <w:tc>
          <w:tcPr>
            <w:tcW w:w="1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+ 6.75%</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11.04%</w:t>
            </w:r>
          </w:p>
        </w:tc>
        <w:tc>
          <w:tcPr>
            <w:tcW w:w="116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6,894</w:t>
            </w:r>
          </w:p>
        </w:tc>
        <w:tc>
          <w:tcPr>
            <w:tcW w:w="13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7,298</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-434975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-177800</wp:posOffset>
            </wp:positionV>
            <wp:extent cx="713232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240" w:space="720"/>
            <w:col w:w="6280"/>
          </w:cols>
          <w:pgMar w:left="320" w:top="982" w:right="339" w:bottom="144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MadCap Software, Inc. </w:t>
            </w:r>
            <w:r>
              <w:rPr>
                <w:rFonts w:ascii="Times New Roman" w:cs="Times New Roman" w:eastAsia="Times New Roman" w:hAnsi="Times New Roman"/>
                <w:sz w:val="15"/>
                <w:szCs w:val="15"/>
                <w:color w:val="auto"/>
                <w:vertAlign w:val="superscript"/>
              </w:rPr>
              <w:t>(3)(5)</w:t>
            </w:r>
          </w:p>
        </w:tc>
        <w:tc>
          <w:tcPr>
            <w:tcW w:w="272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($2,463 par, due 12/2026)</w:t>
            </w:r>
          </w:p>
        </w:tc>
        <w:tc>
          <w:tcPr>
            <w:tcW w:w="96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12/15/2023</w:t>
            </w:r>
          </w:p>
        </w:tc>
        <w:tc>
          <w:tcPr>
            <w:tcW w:w="1140" w:type="dxa"/>
            <w:vAlign w:val="bottom"/>
            <w:shd w:val="clear" w:color="auto" w:fill="CFF0FC"/>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+ 6.10%</w:t>
            </w:r>
          </w:p>
        </w:tc>
        <w:tc>
          <w:tcPr>
            <w:tcW w:w="11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10.40%</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2,432</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2,475</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20"/>
        </w:trPr>
        <w:tc>
          <w:tcPr>
            <w:tcW w:w="188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9"/>
        </w:trPr>
        <w:tc>
          <w:tcPr>
            <w:tcW w:w="18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286,528</w:t>
            </w:r>
          </w:p>
        </w:tc>
        <w:tc>
          <w:tcPr>
            <w:tcW w:w="22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293,037</w:t>
            </w:r>
          </w:p>
        </w:tc>
        <w:tc>
          <w:tcPr>
            <w:tcW w:w="220" w:type="dxa"/>
            <w:vAlign w:val="bottom"/>
          </w:tcPr>
          <w:p>
            <w:pPr>
              <w:spacing w:after="0"/>
              <w:rPr>
                <w:sz w:val="11"/>
                <w:szCs w:val="11"/>
                <w:color w:val="auto"/>
              </w:rPr>
            </w:pPr>
          </w:p>
        </w:tc>
        <w:tc>
          <w:tcPr>
            <w:tcW w:w="10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7.0%</w:t>
            </w:r>
          </w:p>
        </w:tc>
      </w:tr>
      <w:tr>
        <w:trPr>
          <w:trHeight w:val="128"/>
        </w:trPr>
        <w:tc>
          <w:tcPr>
            <w:tcW w:w="18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27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Disco Parent, Inc. </w:t>
            </w:r>
            <w:r>
              <w:rPr>
                <w:rFonts w:ascii="Times New Roman" w:cs="Times New Roman" w:eastAsia="Times New Roman" w:hAnsi="Times New Roman"/>
                <w:sz w:val="15"/>
                <w:szCs w:val="15"/>
                <w:color w:val="auto"/>
                <w:vertAlign w:val="superscript"/>
              </w:rPr>
              <w:t>(3)</w:t>
            </w:r>
          </w:p>
        </w:tc>
        <w:tc>
          <w:tcPr>
            <w:tcW w:w="27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($67,583 par, due 3/2029)</w:t>
            </w:r>
          </w:p>
        </w:tc>
        <w:tc>
          <w:tcPr>
            <w:tcW w:w="9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3/30/2023</w:t>
            </w:r>
          </w:p>
        </w:tc>
        <w:tc>
          <w:tcPr>
            <w:tcW w:w="114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+ 7.00%</w:t>
            </w:r>
          </w:p>
        </w:tc>
        <w:tc>
          <w:tcPr>
            <w:tcW w:w="11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11.33%</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66,421</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68,134</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w:t>
            </w: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7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5"/>
                <w:szCs w:val="15"/>
                <w:color w:val="auto"/>
                <w:vertAlign w:val="superscript"/>
              </w:rPr>
              <w:t>(3)</w:t>
            </w:r>
          </w:p>
        </w:tc>
        <w:tc>
          <w:tcPr>
            <w:tcW w:w="27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($135,533 par, due 7/2030)</w:t>
            </w:r>
          </w:p>
        </w:tc>
        <w:tc>
          <w:tcPr>
            <w:tcW w:w="9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6/30/2023</w:t>
            </w:r>
          </w:p>
        </w:tc>
        <w:tc>
          <w:tcPr>
            <w:tcW w:w="114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1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9.30%</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132,860</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136,211</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w:t>
            </w: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Big Wombat Holdings, Inc. </w:t>
            </w:r>
            <w:r>
              <w:rPr>
                <w:rFonts w:ascii="Times New Roman" w:cs="Times New Roman" w:eastAsia="Times New Roman" w:hAnsi="Times New Roman"/>
                <w:sz w:val="13"/>
                <w:szCs w:val="13"/>
                <w:color w:val="auto"/>
                <w:vertAlign w:val="superscript"/>
              </w:rPr>
              <w:t>(3)</w:t>
            </w:r>
          </w:p>
        </w:tc>
        <w:tc>
          <w:tcPr>
            <w:tcW w:w="27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($8,749 par, due 4/2031)</w:t>
            </w:r>
          </w:p>
        </w:tc>
        <w:tc>
          <w:tcPr>
            <w:tcW w:w="96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4/16/2025</w:t>
            </w:r>
          </w:p>
        </w:tc>
        <w:tc>
          <w:tcPr>
            <w:tcW w:w="1140" w:type="dxa"/>
            <w:vAlign w:val="bottom"/>
            <w:shd w:val="clear" w:color="auto" w:fill="CFF0FC"/>
          </w:tcPr>
          <w:p>
            <w:pPr>
              <w:jc w:val="right"/>
              <w:ind w:right="23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11.26%</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8,565</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8,583</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88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7.00%</w:t>
            </w: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5"/>
                <w:szCs w:val="15"/>
                <w:color w:val="auto"/>
                <w:vertAlign w:val="superscript"/>
              </w:rPr>
              <w:t>(3)</w:t>
            </w:r>
          </w:p>
        </w:tc>
        <w:tc>
          <w:tcPr>
            <w:tcW w:w="27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($128,277 par, due 2/2030)</w:t>
            </w:r>
          </w:p>
        </w:tc>
        <w:tc>
          <w:tcPr>
            <w:tcW w:w="9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2/27/2023</w:t>
            </w:r>
          </w:p>
        </w:tc>
        <w:tc>
          <w:tcPr>
            <w:tcW w:w="114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1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9.53%</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125,911</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130,508</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w:t>
            </w: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Flight Intermediate HoldCo, Inc.</w:t>
            </w:r>
          </w:p>
        </w:tc>
        <w:tc>
          <w:tcPr>
            <w:tcW w:w="272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($46,500 par, due 4/2030)</w:t>
            </w:r>
          </w:p>
        </w:tc>
        <w:tc>
          <w:tcPr>
            <w:tcW w:w="96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10/3/2024</w:t>
            </w:r>
          </w:p>
        </w:tc>
        <w:tc>
          <w:tcPr>
            <w:tcW w:w="114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11.50%</w:t>
            </w:r>
          </w:p>
        </w:tc>
        <w:tc>
          <w:tcPr>
            <w:tcW w:w="11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11.50%</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45,259</w:t>
            </w:r>
          </w:p>
        </w:tc>
        <w:tc>
          <w:tcPr>
            <w:tcW w:w="1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46,035</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w:t>
            </w: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Hippo XPA Bidco AB </w:t>
            </w:r>
            <w:r>
              <w:rPr>
                <w:rFonts w:ascii="Times New Roman" w:cs="Times New Roman" w:eastAsia="Times New Roman" w:hAnsi="Times New Roman"/>
                <w:sz w:val="13"/>
                <w:szCs w:val="13"/>
                <w:color w:val="auto"/>
                <w:vertAlign w:val="superscript"/>
              </w:rPr>
              <w:t>(3)(4)</w:t>
            </w:r>
          </w:p>
        </w:tc>
        <w:tc>
          <w:tcPr>
            <w:tcW w:w="27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(SEK 84,719 par, due 2/2031)</w:t>
            </w:r>
          </w:p>
        </w:tc>
        <w:tc>
          <w:tcPr>
            <w:tcW w:w="9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2/20/2024</w:t>
            </w:r>
          </w:p>
        </w:tc>
        <w:tc>
          <w:tcPr>
            <w:tcW w:w="1140" w:type="dxa"/>
            <w:vAlign w:val="bottom"/>
          </w:tcPr>
          <w:p>
            <w:pPr>
              <w:jc w:val="right"/>
              <w:ind w:right="238"/>
              <w:spacing w:after="0" w:line="117" w:lineRule="exact"/>
              <w:rPr>
                <w:sz w:val="20"/>
                <w:szCs w:val="20"/>
                <w:color w:val="auto"/>
              </w:rPr>
            </w:pPr>
            <w:r>
              <w:rPr>
                <w:rFonts w:ascii="Times New Roman" w:cs="Times New Roman" w:eastAsia="Times New Roman" w:hAnsi="Times New Roman"/>
                <w:sz w:val="13"/>
                <w:szCs w:val="13"/>
                <w:color w:val="auto"/>
              </w:rPr>
              <w:t>STIBOR +</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8.84% (incl.</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8,008</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8,942</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8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6.50%</w:t>
            </w: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3.50% PIK)</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(SEK 85,221)</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880" w:type="dxa"/>
            <w:vAlign w:val="bottom"/>
            <w:shd w:val="clear" w:color="auto" w:fill="CFF0FC"/>
          </w:tcPr>
          <w:p>
            <w:pPr>
              <w:spacing w:after="0"/>
              <w:rPr>
                <w:sz w:val="10"/>
                <w:szCs w:val="10"/>
                <w:color w:val="auto"/>
              </w:rPr>
            </w:pPr>
          </w:p>
        </w:tc>
        <w:tc>
          <w:tcPr>
            <w:tcW w:w="27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(SEK 125,000 par, due 2/2031)</w:t>
            </w:r>
          </w:p>
        </w:tc>
        <w:tc>
          <w:tcPr>
            <w:tcW w:w="96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6/12/2025</w:t>
            </w:r>
          </w:p>
        </w:tc>
        <w:tc>
          <w:tcPr>
            <w:tcW w:w="1140" w:type="dxa"/>
            <w:vAlign w:val="bottom"/>
            <w:shd w:val="clear" w:color="auto" w:fill="CFF0FC"/>
          </w:tcPr>
          <w:p>
            <w:pPr>
              <w:jc w:val="right"/>
              <w:ind w:right="238"/>
              <w:spacing w:after="0" w:line="117" w:lineRule="exact"/>
              <w:rPr>
                <w:sz w:val="20"/>
                <w:szCs w:val="20"/>
                <w:color w:val="auto"/>
              </w:rPr>
            </w:pPr>
            <w:r>
              <w:rPr>
                <w:rFonts w:ascii="Times New Roman" w:cs="Times New Roman" w:eastAsia="Times New Roman" w:hAnsi="Times New Roman"/>
                <w:sz w:val="13"/>
                <w:szCs w:val="13"/>
                <w:color w:val="auto"/>
              </w:rPr>
              <w:t>STIBOR +</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8.74% (incl.</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12,760</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13,221</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0.3%</w:t>
            </w:r>
          </w:p>
        </w:tc>
      </w:tr>
      <w:tr>
        <w:trPr>
          <w:trHeight w:val="153"/>
        </w:trPr>
        <w:tc>
          <w:tcPr>
            <w:tcW w:w="188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6.50%</w:t>
            </w: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3.50% PIK)</w:t>
            </w: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(SEK 126,000)</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880" w:type="dxa"/>
            <w:vAlign w:val="bottom"/>
          </w:tcPr>
          <w:p>
            <w:pPr>
              <w:spacing w:after="0"/>
              <w:rPr>
                <w:sz w:val="10"/>
                <w:szCs w:val="10"/>
                <w:color w:val="auto"/>
              </w:rPr>
            </w:pPr>
          </w:p>
        </w:tc>
        <w:tc>
          <w:tcPr>
            <w:tcW w:w="27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(EUR 2,515 par, due 2/2031)</w:t>
            </w:r>
          </w:p>
        </w:tc>
        <w:tc>
          <w:tcPr>
            <w:tcW w:w="9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2/20/2024</w:t>
            </w:r>
          </w:p>
        </w:tc>
        <w:tc>
          <w:tcPr>
            <w:tcW w:w="114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8.98% (incl.</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2,686</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2,966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8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3.50% PIK)</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2,527)</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Kryptona BidCo US, LLC </w:t>
            </w:r>
            <w:r>
              <w:rPr>
                <w:rFonts w:ascii="Times New Roman" w:cs="Times New Roman" w:eastAsia="Times New Roman" w:hAnsi="Times New Roman"/>
                <w:sz w:val="13"/>
                <w:szCs w:val="13"/>
                <w:color w:val="auto"/>
                <w:vertAlign w:val="superscript"/>
              </w:rPr>
              <w:t>(3)</w:t>
            </w:r>
          </w:p>
        </w:tc>
        <w:tc>
          <w:tcPr>
            <w:tcW w:w="27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($137,271 par, due 12/2031)</w:t>
            </w:r>
          </w:p>
        </w:tc>
        <w:tc>
          <w:tcPr>
            <w:tcW w:w="96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12/18/2024</w:t>
            </w:r>
          </w:p>
        </w:tc>
        <w:tc>
          <w:tcPr>
            <w:tcW w:w="114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SOFR + 6.25%</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10.56% (incl.</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134,472</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138,411</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3.3%</w:t>
            </w:r>
          </w:p>
        </w:tc>
      </w:tr>
      <w:tr>
        <w:trPr>
          <w:trHeight w:val="153"/>
        </w:trPr>
        <w:tc>
          <w:tcPr>
            <w:tcW w:w="188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3.38% PIK)</w:t>
            </w: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880" w:type="dxa"/>
            <w:vAlign w:val="bottom"/>
          </w:tcPr>
          <w:p>
            <w:pPr>
              <w:spacing w:after="0"/>
              <w:rPr>
                <w:sz w:val="10"/>
                <w:szCs w:val="10"/>
                <w:color w:val="auto"/>
              </w:rPr>
            </w:pPr>
          </w:p>
        </w:tc>
        <w:tc>
          <w:tcPr>
            <w:tcW w:w="27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(EUR 31,768 par, due 12/2031)</w:t>
            </w:r>
          </w:p>
        </w:tc>
        <w:tc>
          <w:tcPr>
            <w:tcW w:w="9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12/18/2024</w:t>
            </w:r>
          </w:p>
        </w:tc>
        <w:tc>
          <w:tcPr>
            <w:tcW w:w="114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+ 6.25%</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8.25% (incl.</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32,695</w:t>
            </w:r>
          </w:p>
        </w:tc>
        <w:tc>
          <w:tcPr>
            <w:tcW w:w="12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37,570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0.9%</w:t>
            </w:r>
          </w:p>
        </w:tc>
      </w:tr>
      <w:tr>
        <w:trPr>
          <w:trHeight w:val="153"/>
        </w:trPr>
        <w:tc>
          <w:tcPr>
            <w:tcW w:w="18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3.38% PIK)</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32,006)</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Merit Software Finance Holdings,</w:t>
            </w:r>
          </w:p>
        </w:tc>
        <w:tc>
          <w:tcPr>
            <w:tcW w:w="2720" w:type="dxa"/>
            <w:vAlign w:val="bottom"/>
            <w:shd w:val="clear" w:color="auto" w:fill="CFF0FC"/>
          </w:tcPr>
          <w:p>
            <w:pPr>
              <w:ind w:left="120"/>
              <w:spacing w:after="0" w:line="108" w:lineRule="exact"/>
              <w:rPr>
                <w:sz w:val="20"/>
                <w:szCs w:val="20"/>
                <w:color w:val="auto"/>
              </w:rPr>
            </w:pPr>
            <w:r>
              <w:rPr>
                <w:rFonts w:ascii="Times New Roman" w:cs="Times New Roman" w:eastAsia="Times New Roman" w:hAnsi="Times New Roman"/>
                <w:sz w:val="12"/>
                <w:szCs w:val="12"/>
                <w:color w:val="auto"/>
              </w:rPr>
              <w:t>First-lien loan ($11,786 par, due 6/2029)</w:t>
            </w:r>
          </w:p>
        </w:tc>
        <w:tc>
          <w:tcPr>
            <w:tcW w:w="96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6/20/2024</w:t>
            </w:r>
          </w:p>
        </w:tc>
        <w:tc>
          <w:tcPr>
            <w:tcW w:w="1140" w:type="dxa"/>
            <w:vAlign w:val="bottom"/>
            <w:shd w:val="clear" w:color="auto" w:fill="CFF0FC"/>
          </w:tcPr>
          <w:p>
            <w:pPr>
              <w:jc w:val="right"/>
              <w:ind w:right="198"/>
              <w:spacing w:after="0" w:line="108" w:lineRule="exact"/>
              <w:rPr>
                <w:sz w:val="20"/>
                <w:szCs w:val="20"/>
                <w:color w:val="auto"/>
              </w:rPr>
            </w:pPr>
            <w:r>
              <w:rPr>
                <w:rFonts w:ascii="Times New Roman" w:cs="Times New Roman" w:eastAsia="Times New Roman" w:hAnsi="Times New Roman"/>
                <w:sz w:val="12"/>
                <w:szCs w:val="12"/>
                <w:color w:val="auto"/>
              </w:rPr>
              <w:t>SOFR + 7.50%</w:t>
            </w:r>
          </w:p>
        </w:tc>
        <w:tc>
          <w:tcPr>
            <w:tcW w:w="1120" w:type="dxa"/>
            <w:vAlign w:val="bottom"/>
            <w:shd w:val="clear" w:color="auto" w:fill="CFF0FC"/>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11.83%</w:t>
            </w:r>
          </w:p>
        </w:tc>
        <w:tc>
          <w:tcPr>
            <w:tcW w:w="9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11,471</w:t>
            </w:r>
          </w:p>
        </w:tc>
        <w:tc>
          <w:tcPr>
            <w:tcW w:w="126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11,711</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0.3%</w:t>
            </w:r>
          </w:p>
        </w:tc>
      </w:tr>
      <w:tr>
        <w:trPr>
          <w:trHeight w:val="162"/>
        </w:trPr>
        <w:tc>
          <w:tcPr>
            <w:tcW w:w="1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w:t>
            </w:r>
          </w:p>
        </w:tc>
        <w:tc>
          <w:tcPr>
            <w:tcW w:w="27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Rainfocus, LLC </w:t>
            </w:r>
            <w:r>
              <w:rPr>
                <w:rFonts w:ascii="Times New Roman" w:cs="Times New Roman" w:eastAsia="Times New Roman" w:hAnsi="Times New Roman"/>
                <w:sz w:val="15"/>
                <w:szCs w:val="15"/>
                <w:color w:val="auto"/>
                <w:vertAlign w:val="superscript"/>
              </w:rPr>
              <w:t>(3)(5)</w:t>
            </w:r>
          </w:p>
        </w:tc>
        <w:tc>
          <w:tcPr>
            <w:tcW w:w="27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($10,187 par, due 4/2031)</w:t>
            </w:r>
          </w:p>
        </w:tc>
        <w:tc>
          <w:tcPr>
            <w:tcW w:w="9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4/25/2025</w:t>
            </w:r>
          </w:p>
        </w:tc>
        <w:tc>
          <w:tcPr>
            <w:tcW w:w="114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+ 6.38%</w:t>
            </w:r>
          </w:p>
        </w:tc>
        <w:tc>
          <w:tcPr>
            <w:tcW w:w="11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10.49%</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10,090</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10,136</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SMA Technologies Holdings, LLC</w:t>
            </w:r>
          </w:p>
        </w:tc>
        <w:tc>
          <w:tcPr>
            <w:tcW w:w="2720" w:type="dxa"/>
            <w:vAlign w:val="bottom"/>
            <w:shd w:val="clear" w:color="auto" w:fill="CFF0FC"/>
          </w:tcPr>
          <w:p>
            <w:pPr>
              <w:ind w:left="120"/>
              <w:spacing w:after="0" w:line="108" w:lineRule="exact"/>
              <w:rPr>
                <w:sz w:val="20"/>
                <w:szCs w:val="20"/>
                <w:color w:val="auto"/>
              </w:rPr>
            </w:pPr>
            <w:r>
              <w:rPr>
                <w:rFonts w:ascii="Times New Roman" w:cs="Times New Roman" w:eastAsia="Times New Roman" w:hAnsi="Times New Roman"/>
                <w:sz w:val="12"/>
                <w:szCs w:val="12"/>
                <w:color w:val="auto"/>
              </w:rPr>
              <w:t>First-lien loan ($31,009 par, due 10/2028)</w:t>
            </w:r>
          </w:p>
        </w:tc>
        <w:tc>
          <w:tcPr>
            <w:tcW w:w="96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10/31/2022</w:t>
            </w:r>
          </w:p>
        </w:tc>
        <w:tc>
          <w:tcPr>
            <w:tcW w:w="1140" w:type="dxa"/>
            <w:vAlign w:val="bottom"/>
            <w:shd w:val="clear" w:color="auto" w:fill="CFF0FC"/>
          </w:tcPr>
          <w:p>
            <w:pPr>
              <w:jc w:val="right"/>
              <w:ind w:right="198"/>
              <w:spacing w:after="0" w:line="108" w:lineRule="exact"/>
              <w:rPr>
                <w:sz w:val="20"/>
                <w:szCs w:val="20"/>
                <w:color w:val="auto"/>
              </w:rPr>
            </w:pPr>
            <w:r>
              <w:rPr>
                <w:rFonts w:ascii="Times New Roman" w:cs="Times New Roman" w:eastAsia="Times New Roman" w:hAnsi="Times New Roman"/>
                <w:sz w:val="12"/>
                <w:szCs w:val="12"/>
                <w:color w:val="auto"/>
              </w:rPr>
              <w:t>SOFR + 6.50%</w:t>
            </w:r>
          </w:p>
        </w:tc>
        <w:tc>
          <w:tcPr>
            <w:tcW w:w="1120" w:type="dxa"/>
            <w:vAlign w:val="bottom"/>
            <w:shd w:val="clear" w:color="auto" w:fill="CFF0FC"/>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10.83%</w:t>
            </w:r>
          </w:p>
        </w:tc>
        <w:tc>
          <w:tcPr>
            <w:tcW w:w="9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30,446</w:t>
            </w:r>
          </w:p>
        </w:tc>
        <w:tc>
          <w:tcPr>
            <w:tcW w:w="126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31,534</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0.7%</w:t>
            </w:r>
          </w:p>
        </w:tc>
      </w:tr>
      <w:tr>
        <w:trPr>
          <w:trHeight w:val="108"/>
        </w:trPr>
        <w:tc>
          <w:tcPr>
            <w:tcW w:w="1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(3)(5)</w:t>
            </w:r>
          </w:p>
        </w:tc>
        <w:tc>
          <w:tcPr>
            <w:tcW w:w="2720" w:type="dxa"/>
            <w:vAlign w:val="bottom"/>
            <w:tcBorders>
              <w:bottom w:val="single" w:sz="8" w:color="CFF0FC"/>
            </w:tcBorders>
            <w:shd w:val="clear" w:color="auto" w:fill="CFF0FC"/>
          </w:tcPr>
          <w:p>
            <w:pPr>
              <w:spacing w:after="0"/>
              <w:rPr>
                <w:sz w:val="9"/>
                <w:szCs w:val="9"/>
                <w:color w:val="auto"/>
              </w:rPr>
            </w:pPr>
          </w:p>
        </w:tc>
        <w:tc>
          <w:tcPr>
            <w:tcW w:w="960" w:type="dxa"/>
            <w:vAlign w:val="bottom"/>
            <w:tcBorders>
              <w:bottom w:val="single" w:sz="8" w:color="CFF0FC"/>
            </w:tcBorders>
            <w:shd w:val="clear" w:color="auto" w:fill="CFF0FC"/>
          </w:tcPr>
          <w:p>
            <w:pPr>
              <w:spacing w:after="0"/>
              <w:rPr>
                <w:sz w:val="9"/>
                <w:szCs w:val="9"/>
                <w:color w:val="auto"/>
              </w:rPr>
            </w:pPr>
          </w:p>
        </w:tc>
        <w:tc>
          <w:tcPr>
            <w:tcW w:w="1140" w:type="dxa"/>
            <w:vAlign w:val="bottom"/>
            <w:tcBorders>
              <w:bottom w:val="single" w:sz="8" w:color="CFF0FC"/>
            </w:tcBorders>
            <w:shd w:val="clear" w:color="auto" w:fill="CFF0FC"/>
          </w:tcPr>
          <w:p>
            <w:pPr>
              <w:spacing w:after="0"/>
              <w:rPr>
                <w:sz w:val="9"/>
                <w:szCs w:val="9"/>
                <w:color w:val="auto"/>
              </w:rPr>
            </w:pPr>
          </w:p>
        </w:tc>
        <w:tc>
          <w:tcPr>
            <w:tcW w:w="1120" w:type="dxa"/>
            <w:vAlign w:val="bottom"/>
            <w:tcBorders>
              <w:bottom w:val="single" w:sz="8" w:color="CFF0FC"/>
            </w:tcBorders>
            <w:shd w:val="clear" w:color="auto" w:fill="CFF0FC"/>
          </w:tcPr>
          <w:p>
            <w:pPr>
              <w:spacing w:after="0"/>
              <w:rPr>
                <w:sz w:val="9"/>
                <w:szCs w:val="9"/>
                <w:color w:val="auto"/>
              </w:rPr>
            </w:pPr>
          </w:p>
        </w:tc>
        <w:tc>
          <w:tcPr>
            <w:tcW w:w="90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104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r>
      <w:tr>
        <w:trPr>
          <w:trHeight w:val="129"/>
        </w:trPr>
        <w:tc>
          <w:tcPr>
            <w:tcW w:w="18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555,223</w:t>
            </w:r>
          </w:p>
        </w:tc>
        <w:tc>
          <w:tcPr>
            <w:tcW w:w="22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575,828</w:t>
            </w:r>
          </w:p>
        </w:tc>
        <w:tc>
          <w:tcPr>
            <w:tcW w:w="220" w:type="dxa"/>
            <w:vAlign w:val="bottom"/>
          </w:tcPr>
          <w:p>
            <w:pPr>
              <w:spacing w:after="0"/>
              <w:rPr>
                <w:sz w:val="11"/>
                <w:szCs w:val="11"/>
                <w:color w:val="auto"/>
              </w:rPr>
            </w:pPr>
          </w:p>
        </w:tc>
        <w:tc>
          <w:tcPr>
            <w:tcW w:w="10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13.7%</w:t>
            </w:r>
          </w:p>
        </w:tc>
      </w:tr>
      <w:tr>
        <w:trPr>
          <w:trHeight w:val="20"/>
        </w:trPr>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-2142490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-2142490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-2142490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-102235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-102235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-102235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53"/>
        </w:trPr>
        <w:tc>
          <w:tcPr>
            <w:tcW w:w="1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272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shd w:val="clear" w:color="auto" w:fill="CFF0FC"/>
          </w:tcPr>
          <w:p>
            <w:pPr>
              <w:spacing w:after="0"/>
              <w:rPr>
                <w:sz w:val="13"/>
                <w:szCs w:val="13"/>
                <w:color w:val="auto"/>
              </w:rPr>
            </w:pPr>
          </w:p>
        </w:tc>
        <w:tc>
          <w:tcPr>
            <w:tcW w:w="112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ASP Unifrax Holdings, Inc. </w:t>
            </w:r>
            <w:r>
              <w:rPr>
                <w:rFonts w:ascii="Times New Roman" w:cs="Times New Roman" w:eastAsia="Times New Roman" w:hAnsi="Times New Roman"/>
                <w:sz w:val="13"/>
                <w:szCs w:val="13"/>
                <w:color w:val="auto"/>
                <w:vertAlign w:val="superscript"/>
              </w:rPr>
              <w:t>(12)</w:t>
            </w: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0"/>
                <w:szCs w:val="10"/>
                <w:color w:val="auto"/>
              </w:rPr>
              <w:t xml:space="preserve">First-lien loan ($3,532 par, due 9/2029) </w:t>
            </w:r>
            <w:r>
              <w:rPr>
                <w:rFonts w:ascii="Times New Roman" w:cs="Times New Roman" w:eastAsia="Times New Roman" w:hAnsi="Times New Roman"/>
                <w:sz w:val="13"/>
                <w:szCs w:val="13"/>
                <w:color w:val="auto"/>
                <w:vertAlign w:val="superscript"/>
              </w:rPr>
              <w:t>(3)</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114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SOFR + 7.75%</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12.05% (incl.</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3,464</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3,286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4.75% PIK)</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920" w:type="dxa"/>
            <w:vAlign w:val="bottom"/>
            <w:shd w:val="clear" w:color="auto" w:fill="CFF0FC"/>
          </w:tcPr>
          <w:p>
            <w:pPr>
              <w:spacing w:after="0"/>
              <w:rPr>
                <w:sz w:val="10"/>
                <w:szCs w:val="10"/>
                <w:color w:val="auto"/>
              </w:rPr>
            </w:pP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Second-lien note ($2,012 par, due 9/2029)</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8/31/2023</w:t>
            </w:r>
          </w:p>
        </w:tc>
        <w:tc>
          <w:tcPr>
            <w:tcW w:w="114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7.10%</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7.10% (incl.</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1,562</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905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1.25% PIK)</w:t>
            </w: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08"/>
        </w:trPr>
        <w:tc>
          <w:tcPr>
            <w:tcW w:w="192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Heritage Environmental Services,</w:t>
            </w:r>
          </w:p>
        </w:tc>
        <w:tc>
          <w:tcPr>
            <w:tcW w:w="272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($131,020 par, due 1/2031)</w:t>
            </w:r>
          </w:p>
        </w:tc>
        <w:tc>
          <w:tcPr>
            <w:tcW w:w="920" w:type="dxa"/>
            <w:vAlign w:val="bottom"/>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1/31/2024</w:t>
            </w:r>
          </w:p>
        </w:tc>
        <w:tc>
          <w:tcPr>
            <w:tcW w:w="1140" w:type="dxa"/>
            <w:vAlign w:val="bottom"/>
          </w:tcPr>
          <w:p>
            <w:pPr>
              <w:jc w:val="right"/>
              <w:ind w:right="237"/>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12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9.78%</w:t>
            </w:r>
          </w:p>
        </w:tc>
        <w:tc>
          <w:tcPr>
            <w:tcW w:w="9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130,400</w:t>
            </w:r>
          </w:p>
        </w:tc>
        <w:tc>
          <w:tcPr>
            <w:tcW w:w="22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132,524</w:t>
            </w:r>
          </w:p>
        </w:tc>
        <w:tc>
          <w:tcPr>
            <w:tcW w:w="126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3.1%</w:t>
            </w:r>
          </w:p>
        </w:tc>
      </w:tr>
      <w:tr>
        <w:trPr>
          <w:trHeight w:val="162"/>
        </w:trPr>
        <w:tc>
          <w:tcPr>
            <w:tcW w:w="19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Inc. </w:t>
            </w:r>
            <w:r>
              <w:rPr>
                <w:rFonts w:ascii="Times New Roman" w:cs="Times New Roman" w:eastAsia="Times New Roman" w:hAnsi="Times New Roman"/>
                <w:sz w:val="16"/>
                <w:szCs w:val="16"/>
                <w:color w:val="auto"/>
                <w:vertAlign w:val="superscript"/>
              </w:rPr>
              <w:t>(3)</w:t>
            </w:r>
          </w:p>
        </w:tc>
        <w:tc>
          <w:tcPr>
            <w:tcW w:w="2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5.50%</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5"/>
        </w:trPr>
        <w:tc>
          <w:tcPr>
            <w:tcW w:w="1920" w:type="dxa"/>
            <w:vAlign w:val="bottom"/>
            <w:shd w:val="clear" w:color="auto" w:fill="CFF0FC"/>
          </w:tcPr>
          <w:p>
            <w:pPr>
              <w:spacing w:after="0"/>
              <w:rPr>
                <w:sz w:val="11"/>
                <w:szCs w:val="11"/>
                <w:color w:val="auto"/>
              </w:rPr>
            </w:pPr>
          </w:p>
        </w:tc>
        <w:tc>
          <w:tcPr>
            <w:tcW w:w="27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($14,207 par, due 1/2031)</w:t>
            </w:r>
          </w:p>
        </w:tc>
        <w:tc>
          <w:tcPr>
            <w:tcW w:w="92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9/27/2024</w:t>
            </w:r>
          </w:p>
        </w:tc>
        <w:tc>
          <w:tcPr>
            <w:tcW w:w="114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1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9.30%</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14,123</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14,207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r>
      <w:tr>
        <w:trPr>
          <w:trHeight w:val="135"/>
        </w:trPr>
        <w:tc>
          <w:tcPr>
            <w:tcW w:w="19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Skylark UK DebtCo Limited </w:t>
            </w:r>
            <w:r>
              <w:rPr>
                <w:rFonts w:ascii="Times New Roman" w:cs="Times New Roman" w:eastAsia="Times New Roman" w:hAnsi="Times New Roman"/>
                <w:sz w:val="15"/>
                <w:szCs w:val="15"/>
                <w:color w:val="auto"/>
                <w:vertAlign w:val="superscript"/>
              </w:rPr>
              <w:t>(3)(4)</w:t>
            </w:r>
          </w:p>
        </w:tc>
        <w:tc>
          <w:tcPr>
            <w:tcW w:w="27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($56,651 par, due 9/2030)</w:t>
            </w:r>
          </w:p>
        </w:tc>
        <w:tc>
          <w:tcPr>
            <w:tcW w:w="92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9/7/2023</w:t>
            </w:r>
          </w:p>
        </w:tc>
        <w:tc>
          <w:tcPr>
            <w:tcW w:w="11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+ 5.66%</w:t>
            </w:r>
          </w:p>
        </w:tc>
        <w:tc>
          <w:tcPr>
            <w:tcW w:w="11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9.96%</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55,393</w:t>
            </w: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57,217</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w:t>
            </w:r>
          </w:p>
        </w:tc>
      </w:tr>
      <w:tr>
        <w:trPr>
          <w:trHeight w:val="117"/>
        </w:trPr>
        <w:tc>
          <w:tcPr>
            <w:tcW w:w="1920" w:type="dxa"/>
            <w:vAlign w:val="bottom"/>
            <w:shd w:val="clear" w:color="auto" w:fill="CFF0FC"/>
          </w:tcPr>
          <w:p>
            <w:pPr>
              <w:spacing w:after="0"/>
              <w:rPr>
                <w:sz w:val="10"/>
                <w:szCs w:val="10"/>
                <w:color w:val="auto"/>
              </w:rPr>
            </w:pP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16,819 par, due 9/2030)</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9/7/2023</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+ 5.66%</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7.64%</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17,610</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19,940</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0.5%</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16,987)</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920" w:type="dxa"/>
            <w:vAlign w:val="bottom"/>
          </w:tcPr>
          <w:p>
            <w:pPr>
              <w:spacing w:after="0"/>
              <w:rPr>
                <w:sz w:val="10"/>
                <w:szCs w:val="10"/>
                <w:color w:val="auto"/>
              </w:rPr>
            </w:pP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76,921 par, due 9/2030)</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9/7/2023</w:t>
            </w:r>
          </w:p>
        </w:tc>
        <w:tc>
          <w:tcPr>
            <w:tcW w:w="114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 + 5.66%</w:t>
            </w:r>
          </w:p>
        </w:tc>
        <w:tc>
          <w:tcPr>
            <w:tcW w:w="112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9.88%</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93,938</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106,463</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2.5%</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77,690)</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920" w:type="dxa"/>
            <w:vAlign w:val="bottom"/>
            <w:shd w:val="clear" w:color="auto" w:fill="CFF0FC"/>
          </w:tcPr>
          <w:p>
            <w:pPr>
              <w:spacing w:after="0"/>
              <w:rPr>
                <w:sz w:val="10"/>
                <w:szCs w:val="10"/>
                <w:color w:val="auto"/>
              </w:rPr>
            </w:pP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54,224 par, due 9/2030)</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2/20/2025</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 + 5.25%</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9.47%</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67,100</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73,727</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1.8%</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53,802)</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Varinem German BidCo GmbH </w:t>
            </w:r>
            <w:r>
              <w:rPr>
                <w:rFonts w:ascii="Times New Roman" w:cs="Times New Roman" w:eastAsia="Times New Roman" w:hAnsi="Times New Roman"/>
                <w:sz w:val="13"/>
                <w:szCs w:val="13"/>
                <w:color w:val="auto"/>
                <w:vertAlign w:val="superscript"/>
              </w:rPr>
              <w:t>(3)(4)</w:t>
            </w: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12,696 par, due 7/2031)</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7/11/2024</w:t>
            </w:r>
          </w:p>
        </w:tc>
        <w:tc>
          <w:tcPr>
            <w:tcW w:w="114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+ 5.50%</w:t>
            </w:r>
          </w:p>
        </w:tc>
        <w:tc>
          <w:tcPr>
            <w:tcW w:w="112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8.15%</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13,689</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15,127</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0.4%</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12,887)</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920" w:type="dxa"/>
            <w:vAlign w:val="bottom"/>
            <w:shd w:val="clear" w:color="auto" w:fill="CFF0FC"/>
          </w:tcPr>
          <w:p>
            <w:pPr>
              <w:spacing w:after="0"/>
              <w:rPr>
                <w:sz w:val="10"/>
                <w:szCs w:val="10"/>
                <w:color w:val="auto"/>
              </w:rPr>
            </w:pP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4,392 par, due 7/2027)</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7/11/2024</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+ 4.75%</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7.10%</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4,676</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5,131</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1920" w:type="dxa"/>
            <w:vAlign w:val="bottom"/>
            <w:tcBorders>
              <w:bottom w:val="single" w:sz="8" w:color="CFF0FC"/>
            </w:tcBorders>
            <w:shd w:val="clear" w:color="auto" w:fill="CFF0FC"/>
          </w:tcPr>
          <w:p>
            <w:pPr>
              <w:spacing w:after="0"/>
              <w:rPr>
                <w:sz w:val="13"/>
                <w:szCs w:val="13"/>
                <w:color w:val="auto"/>
              </w:rPr>
            </w:pPr>
          </w:p>
        </w:tc>
        <w:tc>
          <w:tcPr>
            <w:tcW w:w="27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4,371)</w:t>
            </w:r>
          </w:p>
        </w:tc>
        <w:tc>
          <w:tcPr>
            <w:tcW w:w="2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r>
      <w:tr>
        <w:trPr>
          <w:trHeight w:val="128"/>
        </w:trPr>
        <w:tc>
          <w:tcPr>
            <w:tcW w:w="19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401,955</w:t>
            </w:r>
          </w:p>
        </w:tc>
        <w:tc>
          <w:tcPr>
            <w:tcW w:w="22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428,527</w:t>
            </w:r>
          </w:p>
        </w:tc>
        <w:tc>
          <w:tcPr>
            <w:tcW w:w="12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10.2%</w:t>
            </w:r>
          </w:p>
        </w:tc>
      </w:tr>
      <w:tr>
        <w:trPr>
          <w:trHeight w:val="128"/>
        </w:trPr>
        <w:tc>
          <w:tcPr>
            <w:tcW w:w="1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7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9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5"/>
                <w:szCs w:val="15"/>
                <w:color w:val="auto"/>
                <w:vertAlign w:val="superscript"/>
              </w:rPr>
              <w:t>(3)</w:t>
            </w:r>
          </w:p>
        </w:tc>
        <w:tc>
          <w:tcPr>
            <w:tcW w:w="27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($97,561 par, due 2/2027)</w:t>
            </w:r>
          </w:p>
        </w:tc>
        <w:tc>
          <w:tcPr>
            <w:tcW w:w="92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2/21/2023</w:t>
            </w:r>
          </w:p>
        </w:tc>
        <w:tc>
          <w:tcPr>
            <w:tcW w:w="11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+ 7.10%</w:t>
            </w:r>
          </w:p>
        </w:tc>
        <w:tc>
          <w:tcPr>
            <w:tcW w:w="11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11.43%</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96,761</w:t>
            </w: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98,537</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2.3%</w:t>
            </w:r>
          </w:p>
        </w:tc>
      </w:tr>
      <w:tr>
        <w:trPr>
          <w:trHeight w:val="108"/>
        </w:trPr>
        <w:tc>
          <w:tcPr>
            <w:tcW w:w="19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Northwind Midstream Partners LLC</w:t>
            </w:r>
          </w:p>
        </w:tc>
        <w:tc>
          <w:tcPr>
            <w:tcW w:w="272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($155,000 par, due 3/2029)</w:t>
            </w:r>
          </w:p>
        </w:tc>
        <w:tc>
          <w:tcPr>
            <w:tcW w:w="92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3/18/2025</w:t>
            </w:r>
          </w:p>
        </w:tc>
        <w:tc>
          <w:tcPr>
            <w:tcW w:w="1140" w:type="dxa"/>
            <w:vAlign w:val="bottom"/>
            <w:shd w:val="clear" w:color="auto" w:fill="CFF0FC"/>
          </w:tcPr>
          <w:p>
            <w:pPr>
              <w:jc w:val="right"/>
              <w:ind w:right="237"/>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120" w:type="dxa"/>
            <w:vAlign w:val="bottom"/>
            <w:shd w:val="clear" w:color="auto" w:fill="CFF0FC"/>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10.70%</w:t>
            </w:r>
          </w:p>
        </w:tc>
        <w:tc>
          <w:tcPr>
            <w:tcW w:w="9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151,988</w:t>
            </w:r>
          </w:p>
        </w:tc>
        <w:tc>
          <w:tcPr>
            <w:tcW w:w="2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154,613</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3.7%</w:t>
            </w:r>
          </w:p>
        </w:tc>
      </w:tr>
      <w:tr>
        <w:trPr>
          <w:trHeight w:val="128"/>
        </w:trPr>
        <w:tc>
          <w:tcPr>
            <w:tcW w:w="1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(3)</w:t>
            </w:r>
          </w:p>
        </w:tc>
        <w:tc>
          <w:tcPr>
            <w:tcW w:w="272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6.40%</w:t>
            </w:r>
          </w:p>
        </w:tc>
        <w:tc>
          <w:tcPr>
            <w:tcW w:w="1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r>
      <w:tr>
        <w:trPr>
          <w:trHeight w:val="20"/>
        </w:trPr>
        <w:tc>
          <w:tcPr>
            <w:tcW w:w="192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19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248,749</w:t>
            </w:r>
          </w:p>
        </w:tc>
        <w:tc>
          <w:tcPr>
            <w:tcW w:w="22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253,150</w:t>
            </w:r>
          </w:p>
        </w:tc>
        <w:tc>
          <w:tcPr>
            <w:tcW w:w="220" w:type="dxa"/>
            <w:vAlign w:val="bottom"/>
          </w:tcPr>
          <w:p>
            <w:pPr>
              <w:spacing w:after="0"/>
              <w:rPr>
                <w:sz w:val="11"/>
                <w:szCs w:val="11"/>
                <w:color w:val="auto"/>
              </w:rPr>
            </w:pPr>
          </w:p>
        </w:tc>
        <w:tc>
          <w:tcPr>
            <w:tcW w:w="10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6.0%</w:t>
            </w:r>
          </w:p>
        </w:tc>
      </w:tr>
      <w:tr>
        <w:trPr>
          <w:trHeight w:val="128"/>
        </w:trPr>
        <w:tc>
          <w:tcPr>
            <w:tcW w:w="1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Other</w:t>
            </w:r>
          </w:p>
        </w:tc>
        <w:tc>
          <w:tcPr>
            <w:tcW w:w="27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Boréal Bidco </w:t>
            </w:r>
            <w:r>
              <w:rPr>
                <w:rFonts w:ascii="Times New Roman" w:cs="Times New Roman" w:eastAsia="Times New Roman" w:hAnsi="Times New Roman"/>
                <w:sz w:val="13"/>
                <w:szCs w:val="13"/>
                <w:color w:val="auto"/>
                <w:vertAlign w:val="superscript"/>
              </w:rPr>
              <w:t>(3)(4)</w:t>
            </w: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note (EUR 127,052 par, due 3/2032)</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3/24/2025</w:t>
            </w:r>
          </w:p>
        </w:tc>
        <w:tc>
          <w:tcPr>
            <w:tcW w:w="114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9.23% (incl.</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134,380</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147,649</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3.5%</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5.75% PIK)</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125,782)</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Cast &amp; Crew, LLC </w:t>
            </w:r>
            <w:r>
              <w:rPr>
                <w:rFonts w:ascii="Times New Roman" w:cs="Times New Roman" w:eastAsia="Times New Roman" w:hAnsi="Times New Roman"/>
                <w:sz w:val="13"/>
                <w:szCs w:val="13"/>
                <w:color w:val="auto"/>
                <w:vertAlign w:val="superscript"/>
              </w:rPr>
              <w:t>(3)</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(CAD 142,733 par, due 1/2029)</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2/27/2025</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C + 5.50%</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8.25%</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96,202</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98,851</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2.3%</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(CAD 134,882)</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Scorpio Bidco </w:t>
            </w:r>
            <w:r>
              <w:rPr>
                <w:rFonts w:ascii="Times New Roman" w:cs="Times New Roman" w:eastAsia="Times New Roman" w:hAnsi="Times New Roman"/>
                <w:sz w:val="13"/>
                <w:szCs w:val="13"/>
                <w:color w:val="auto"/>
                <w:vertAlign w:val="superscript"/>
              </w:rPr>
              <w:t>(3)(4)</w:t>
            </w: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75,326 par, due 4/2031)</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4/4/2024</w:t>
            </w:r>
          </w:p>
        </w:tc>
        <w:tc>
          <w:tcPr>
            <w:tcW w:w="114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12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7.73%</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80,289</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88,950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2.1%</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75,776)</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Sky Bidco S.p.A. </w:t>
            </w:r>
            <w:r>
              <w:rPr>
                <w:rFonts w:ascii="Times New Roman" w:cs="Times New Roman" w:eastAsia="Times New Roman" w:hAnsi="Times New Roman"/>
                <w:sz w:val="13"/>
                <w:szCs w:val="13"/>
                <w:color w:val="auto"/>
                <w:vertAlign w:val="superscript"/>
              </w:rPr>
              <w:t>(3)(4)</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note (EUR 52,053 par, due 10/2031)</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10/29/2024</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+ 5.00%</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6.98%</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54,708</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62,049</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1.5%</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52,860)</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920" w:type="dxa"/>
            <w:vAlign w:val="bottom"/>
          </w:tcPr>
          <w:p>
            <w:pPr>
              <w:spacing w:after="0"/>
              <w:rPr>
                <w:sz w:val="10"/>
                <w:szCs w:val="10"/>
                <w:color w:val="auto"/>
              </w:rPr>
            </w:pP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note ($115,131 par, due 10/2031)</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10/29/2024</w:t>
            </w:r>
          </w:p>
        </w:tc>
        <w:tc>
          <w:tcPr>
            <w:tcW w:w="114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9.30%</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113,049</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116,282</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2.8%</w:t>
            </w:r>
          </w:p>
        </w:tc>
      </w:tr>
      <w:tr>
        <w:trPr>
          <w:trHeight w:val="140"/>
        </w:trPr>
        <w:tc>
          <w:tcPr>
            <w:tcW w:w="1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jc w:val="right"/>
              <w:ind w:right="197"/>
              <w:spacing w:after="0" w:line="140" w:lineRule="exact"/>
              <w:rPr>
                <w:sz w:val="20"/>
                <w:szCs w:val="20"/>
                <w:color w:val="auto"/>
              </w:rPr>
            </w:pPr>
            <w:r>
              <w:rPr>
                <w:rFonts w:ascii="Times New Roman" w:cs="Times New Roman" w:eastAsia="Times New Roman" w:hAnsi="Times New Roman"/>
                <w:sz w:val="13"/>
                <w:szCs w:val="13"/>
                <w:color w:val="auto"/>
              </w:rPr>
              <w:t>5.00%</w:t>
            </w:r>
          </w:p>
        </w:tc>
        <w:tc>
          <w:tcPr>
            <w:tcW w:w="11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192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478,628</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513,781</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12.2%</w:t>
            </w:r>
          </w:p>
        </w:tc>
      </w:tr>
      <w:tr>
        <w:trPr>
          <w:trHeight w:val="128"/>
        </w:trPr>
        <w:tc>
          <w:tcPr>
            <w:tcW w:w="19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2720" w:type="dxa"/>
            <w:vAlign w:val="bottom"/>
            <w:tcBorders>
              <w:top w:val="single" w:sz="8" w:color="CFF0FC"/>
            </w:tcBorders>
          </w:tcPr>
          <w:p>
            <w:pPr>
              <w:spacing w:after="0"/>
              <w:rPr>
                <w:sz w:val="11"/>
                <w:szCs w:val="11"/>
                <w:color w:val="auto"/>
              </w:rPr>
            </w:pPr>
          </w:p>
        </w:tc>
        <w:tc>
          <w:tcPr>
            <w:tcW w:w="920" w:type="dxa"/>
            <w:vAlign w:val="bottom"/>
            <w:tcBorders>
              <w:top w:val="single" w:sz="8" w:color="CFF0FC"/>
            </w:tcBorders>
          </w:tcPr>
          <w:p>
            <w:pPr>
              <w:spacing w:after="0"/>
              <w:rPr>
                <w:sz w:val="11"/>
                <w:szCs w:val="11"/>
                <w:color w:val="auto"/>
              </w:rPr>
            </w:pPr>
          </w:p>
        </w:tc>
        <w:tc>
          <w:tcPr>
            <w:tcW w:w="11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17"/>
        </w:trPr>
        <w:tc>
          <w:tcPr>
            <w:tcW w:w="1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Apellis Pharmaceuticals, Inc. </w:t>
            </w:r>
            <w:r>
              <w:rPr>
                <w:rFonts w:ascii="Times New Roman" w:cs="Times New Roman" w:eastAsia="Times New Roman" w:hAnsi="Times New Roman"/>
                <w:sz w:val="13"/>
                <w:szCs w:val="13"/>
                <w:color w:val="auto"/>
                <w:vertAlign w:val="superscript"/>
              </w:rPr>
              <w:t>(3)(4)</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($157,895 par, due 5/2030)</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5/13/2024</w:t>
            </w:r>
          </w:p>
        </w:tc>
        <w:tc>
          <w:tcPr>
            <w:tcW w:w="114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10.05%</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157,895</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159,395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3.8%</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5.75%</w:t>
            </w: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5"/>
        </w:trPr>
        <w:tc>
          <w:tcPr>
            <w:tcW w:w="19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Arrowhead Pharmaceuticals, Inc. </w:t>
            </w:r>
            <w:r>
              <w:rPr>
                <w:rFonts w:ascii="Times New Roman" w:cs="Times New Roman" w:eastAsia="Times New Roman" w:hAnsi="Times New Roman"/>
                <w:sz w:val="15"/>
                <w:szCs w:val="15"/>
                <w:color w:val="auto"/>
                <w:vertAlign w:val="superscript"/>
              </w:rPr>
              <w:t>(4)</w:t>
            </w:r>
          </w:p>
        </w:tc>
        <w:tc>
          <w:tcPr>
            <w:tcW w:w="27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($115,872 par, due 8/2031)</w:t>
            </w:r>
          </w:p>
        </w:tc>
        <w:tc>
          <w:tcPr>
            <w:tcW w:w="92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8/7/2024</w:t>
            </w: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11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114,944</w:t>
            </w: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133,832</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w:t>
            </w:r>
          </w:p>
        </w:tc>
      </w:tr>
      <w:tr>
        <w:trPr>
          <w:trHeight w:val="117"/>
        </w:trPr>
        <w:tc>
          <w:tcPr>
            <w:tcW w:w="1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(3)(4)</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139,148 par, due 12/2030)</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9.23%</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142,526</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160,888</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3.8%</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137,061)</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920" w:type="dxa"/>
            <w:vAlign w:val="bottom"/>
          </w:tcPr>
          <w:p>
            <w:pPr>
              <w:spacing w:after="0"/>
              <w:rPr>
                <w:sz w:val="10"/>
                <w:szCs w:val="10"/>
                <w:color w:val="auto"/>
              </w:rPr>
            </w:pP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77,006 par, due 12/2030)</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14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 + 7.25%</w:t>
            </w:r>
          </w:p>
        </w:tc>
        <w:tc>
          <w:tcPr>
            <w:tcW w:w="112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11.47%</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95,805</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104,206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2.5%</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(GBP 76,044)</w:t>
            </w:r>
          </w:p>
        </w:tc>
        <w:tc>
          <w:tcPr>
            <w:tcW w:w="2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9"/>
        </w:trPr>
        <w:tc>
          <w:tcPr>
            <w:tcW w:w="192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511,170</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558,321</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13.3%</w:t>
            </w:r>
          </w:p>
        </w:tc>
      </w:tr>
      <w:tr>
        <w:trPr>
          <w:trHeight w:val="128"/>
        </w:trPr>
        <w:tc>
          <w:tcPr>
            <w:tcW w:w="19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2720" w:type="dxa"/>
            <w:vAlign w:val="bottom"/>
            <w:tcBorders>
              <w:top w:val="single" w:sz="8" w:color="CFF0FC"/>
            </w:tcBorders>
          </w:tcPr>
          <w:p>
            <w:pPr>
              <w:spacing w:after="0"/>
              <w:rPr>
                <w:sz w:val="11"/>
                <w:szCs w:val="11"/>
                <w:color w:val="auto"/>
              </w:rPr>
            </w:pPr>
          </w:p>
        </w:tc>
        <w:tc>
          <w:tcPr>
            <w:tcW w:w="920" w:type="dxa"/>
            <w:vAlign w:val="bottom"/>
            <w:tcBorders>
              <w:top w:val="single" w:sz="8" w:color="CFF0FC"/>
            </w:tcBorders>
          </w:tcPr>
          <w:p>
            <w:pPr>
              <w:spacing w:after="0"/>
              <w:rPr>
                <w:sz w:val="11"/>
                <w:szCs w:val="11"/>
                <w:color w:val="auto"/>
              </w:rPr>
            </w:pPr>
          </w:p>
        </w:tc>
        <w:tc>
          <w:tcPr>
            <w:tcW w:w="11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17"/>
        </w:trPr>
        <w:tc>
          <w:tcPr>
            <w:tcW w:w="1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Cirrus (BidCo) Limited </w:t>
            </w:r>
            <w:r>
              <w:rPr>
                <w:rFonts w:ascii="Times New Roman" w:cs="Times New Roman" w:eastAsia="Times New Roman" w:hAnsi="Times New Roman"/>
                <w:sz w:val="13"/>
                <w:szCs w:val="13"/>
                <w:color w:val="auto"/>
                <w:vertAlign w:val="superscript"/>
              </w:rPr>
              <w:t>(3)(4)(5)</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691 par, due 8/2030)</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8/9/2024</w:t>
            </w:r>
          </w:p>
        </w:tc>
        <w:tc>
          <w:tcPr>
            <w:tcW w:w="114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 + 6.25%</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10.47% (incl.</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859</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940</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3.00% PIK)</w:t>
            </w: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686)</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5"/>
        </w:trPr>
        <w:tc>
          <w:tcPr>
            <w:tcW w:w="19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7"/>
        </w:trPr>
        <w:tc>
          <w:tcPr>
            <w:tcW w:w="1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vertAlign w:val="subscript"/>
              </w:rPr>
              <w:t>Acosta</w:t>
            </w:r>
            <w:r>
              <w:rPr>
                <w:rFonts w:ascii="Times New Roman" w:cs="Times New Roman" w:eastAsia="Times New Roman" w:hAnsi="Times New Roman"/>
                <w:sz w:val="6"/>
                <w:szCs w:val="6"/>
                <w:color w:val="auto"/>
              </w:rPr>
              <w:t xml:space="preserve"> (3)(12)</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($195,300 par, due 8/2031)</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8/20/2024</w:t>
            </w:r>
          </w:p>
        </w:tc>
        <w:tc>
          <w:tcPr>
            <w:tcW w:w="114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9.92%</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191,433</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194,324</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4.6%</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5.60%</w:t>
            </w: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Bed Bath and Beyond Inc. </w:t>
            </w:r>
            <w:r>
              <w:rPr>
                <w:rFonts w:ascii="Times New Roman" w:cs="Times New Roman" w:eastAsia="Times New Roman" w:hAnsi="Times New Roman"/>
                <w:sz w:val="13"/>
                <w:szCs w:val="13"/>
                <w:color w:val="auto"/>
                <w:vertAlign w:val="superscript"/>
              </w:rPr>
              <w:t>(3)(11)</w:t>
            </w: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ABL FILO term loan ($10,951 par, due 8/2027)</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9/2/2022</w:t>
            </w:r>
          </w:p>
        </w:tc>
        <w:tc>
          <w:tcPr>
            <w:tcW w:w="114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14.23%</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10,816</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9,747</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9.90%</w:t>
            </w: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920" w:type="dxa"/>
            <w:vAlign w:val="bottom"/>
            <w:shd w:val="clear" w:color="auto" w:fill="CFF0FC"/>
          </w:tcPr>
          <w:p>
            <w:pPr>
              <w:spacing w:after="0"/>
              <w:rPr>
                <w:sz w:val="10"/>
                <w:szCs w:val="10"/>
                <w:color w:val="auto"/>
              </w:rPr>
            </w:pP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Roll Up DIP term loan ($43,362 par)</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4/24/2023</w:t>
            </w:r>
          </w:p>
        </w:tc>
        <w:tc>
          <w:tcPr>
            <w:tcW w:w="114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12.23% PIK</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43,362</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38,592</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0.9%</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7.90%</w:t>
            </w: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920" w:type="dxa"/>
            <w:vAlign w:val="bottom"/>
          </w:tcPr>
          <w:p>
            <w:pPr>
              <w:spacing w:after="0"/>
              <w:rPr>
                <w:sz w:val="10"/>
                <w:szCs w:val="10"/>
                <w:color w:val="auto"/>
              </w:rPr>
            </w:pP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Super-Priority DIP term loan ($6,526 par)</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4/24/2023</w:t>
            </w:r>
          </w:p>
        </w:tc>
        <w:tc>
          <w:tcPr>
            <w:tcW w:w="114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12.23%</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6,526</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5,809</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7.90%</w:t>
            </w: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Belk, Inc. </w:t>
            </w:r>
            <w:r>
              <w:rPr>
                <w:rFonts w:ascii="Times New Roman" w:cs="Times New Roman" w:eastAsia="Times New Roman" w:hAnsi="Times New Roman"/>
                <w:sz w:val="13"/>
                <w:szCs w:val="13"/>
                <w:color w:val="auto"/>
                <w:vertAlign w:val="superscript"/>
              </w:rPr>
              <w:t>(3)</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($187,688 par, due 7/2029)</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7/22/2024</w:t>
            </w:r>
          </w:p>
        </w:tc>
        <w:tc>
          <w:tcPr>
            <w:tcW w:w="114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11.33%</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185,032</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187,218</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4.4%</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7.00%</w:t>
            </w: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Commercehub, Inc. </w:t>
            </w:r>
            <w:r>
              <w:rPr>
                <w:rFonts w:ascii="Times New Roman" w:cs="Times New Roman" w:eastAsia="Times New Roman" w:hAnsi="Times New Roman"/>
                <w:sz w:val="13"/>
                <w:szCs w:val="13"/>
                <w:color w:val="auto"/>
                <w:vertAlign w:val="superscript"/>
              </w:rPr>
              <w:t>(3)</w:t>
            </w: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($146,250 par, due 12/2027)</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11/15/2022</w:t>
            </w:r>
          </w:p>
        </w:tc>
        <w:tc>
          <w:tcPr>
            <w:tcW w:w="114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10.51%</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140,501</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146,250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3.5%</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6.25%</w:t>
            </w: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Cordance Operations, LLC </w:t>
            </w:r>
            <w:r>
              <w:rPr>
                <w:rFonts w:ascii="Times New Roman" w:cs="Times New Roman" w:eastAsia="Times New Roman" w:hAnsi="Times New Roman"/>
                <w:sz w:val="13"/>
                <w:szCs w:val="13"/>
                <w:color w:val="auto"/>
                <w:vertAlign w:val="superscript"/>
              </w:rPr>
              <w:t>(3)</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 par, due 6/2027)</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6/12/2025</w:t>
            </w:r>
          </w:p>
        </w:tc>
        <w:tc>
          <w:tcPr>
            <w:tcW w:w="114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(443)</w:t>
            </w: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225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9.00%</w:t>
            </w: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PDI TA Holdings, Inc. </w:t>
            </w:r>
            <w:r>
              <w:rPr>
                <w:rFonts w:ascii="Times New Roman" w:cs="Times New Roman" w:eastAsia="Times New Roman" w:hAnsi="Times New Roman"/>
                <w:sz w:val="13"/>
                <w:szCs w:val="13"/>
                <w:color w:val="auto"/>
                <w:vertAlign w:val="superscript"/>
              </w:rPr>
              <w:t>(3)</w:t>
            </w: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($165,178 par, due 2/2031)</w:t>
            </w:r>
          </w:p>
        </w:tc>
        <w:tc>
          <w:tcPr>
            <w:tcW w:w="92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2/1/2024</w:t>
            </w:r>
          </w:p>
        </w:tc>
        <w:tc>
          <w:tcPr>
            <w:tcW w:w="114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9.78%</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163,174</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165,591</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3.9%</w:t>
            </w:r>
          </w:p>
        </w:tc>
      </w:tr>
      <w:tr>
        <w:trPr>
          <w:trHeight w:val="153"/>
        </w:trPr>
        <w:tc>
          <w:tcPr>
            <w:tcW w:w="1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5.50%</w:t>
            </w: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920" w:type="dxa"/>
            <w:vAlign w:val="bottom"/>
            <w:shd w:val="clear" w:color="auto" w:fill="CFF0FC"/>
          </w:tcPr>
          <w:p>
            <w:pPr>
              <w:spacing w:after="0"/>
              <w:rPr>
                <w:sz w:val="10"/>
                <w:szCs w:val="10"/>
                <w:color w:val="auto"/>
              </w:rPr>
            </w:pP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revolving loan ($5,294 par, due</w:t>
            </w:r>
          </w:p>
        </w:tc>
        <w:tc>
          <w:tcPr>
            <w:tcW w:w="92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2/1/2024</w:t>
            </w:r>
          </w:p>
        </w:tc>
        <w:tc>
          <w:tcPr>
            <w:tcW w:w="114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9.78%</w:t>
            </w:r>
          </w:p>
        </w:tc>
        <w:tc>
          <w:tcPr>
            <w:tcW w:w="9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5,135</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5,327</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920" w:type="dxa"/>
            <w:vAlign w:val="bottom"/>
            <w:shd w:val="clear" w:color="auto" w:fill="CFF0FC"/>
          </w:tcPr>
          <w:p>
            <w:pPr>
              <w:spacing w:after="0"/>
              <w:rPr>
                <w:sz w:val="13"/>
                <w:szCs w:val="13"/>
                <w:color w:val="auto"/>
              </w:rPr>
            </w:pPr>
          </w:p>
        </w:tc>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2/2031)</w:t>
            </w:r>
          </w:p>
        </w:tc>
        <w:tc>
          <w:tcPr>
            <w:tcW w:w="9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5.50%</w:t>
            </w: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08"/>
        </w:trPr>
        <w:tc>
          <w:tcPr>
            <w:tcW w:w="192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Rapid Data GmbH</w:t>
            </w:r>
          </w:p>
        </w:tc>
        <w:tc>
          <w:tcPr>
            <w:tcW w:w="272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(EUR 7,491 par, due 7/2029)</w:t>
            </w:r>
          </w:p>
        </w:tc>
        <w:tc>
          <w:tcPr>
            <w:tcW w:w="920" w:type="dxa"/>
            <w:vAlign w:val="bottom"/>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7/11/2023</w:t>
            </w:r>
          </w:p>
        </w:tc>
        <w:tc>
          <w:tcPr>
            <w:tcW w:w="1140" w:type="dxa"/>
            <w:vAlign w:val="bottom"/>
          </w:tcPr>
          <w:p>
            <w:pPr>
              <w:jc w:val="right"/>
              <w:ind w:right="197"/>
              <w:spacing w:after="0" w:line="108" w:lineRule="exact"/>
              <w:rPr>
                <w:sz w:val="20"/>
                <w:szCs w:val="20"/>
                <w:color w:val="auto"/>
              </w:rPr>
            </w:pPr>
            <w:r>
              <w:rPr>
                <w:rFonts w:ascii="Times New Roman" w:cs="Times New Roman" w:eastAsia="Times New Roman" w:hAnsi="Times New Roman"/>
                <w:sz w:val="12"/>
                <w:szCs w:val="12"/>
                <w:color w:val="auto"/>
              </w:rPr>
              <w:t>E + 6.50%</w:t>
            </w:r>
          </w:p>
        </w:tc>
        <w:tc>
          <w:tcPr>
            <w:tcW w:w="1120" w:type="dxa"/>
            <w:vAlign w:val="bottom"/>
          </w:tcPr>
          <w:p>
            <w:pPr>
              <w:jc w:val="right"/>
              <w:ind w:right="218"/>
              <w:spacing w:after="0" w:line="108" w:lineRule="exact"/>
              <w:rPr>
                <w:sz w:val="20"/>
                <w:szCs w:val="20"/>
                <w:color w:val="auto"/>
              </w:rPr>
            </w:pPr>
            <w:r>
              <w:rPr>
                <w:rFonts w:ascii="Times New Roman" w:cs="Times New Roman" w:eastAsia="Times New Roman" w:hAnsi="Times New Roman"/>
                <w:sz w:val="12"/>
                <w:szCs w:val="12"/>
                <w:color w:val="auto"/>
              </w:rPr>
              <w:t>8.77% (incl.</w:t>
            </w:r>
          </w:p>
        </w:tc>
        <w:tc>
          <w:tcPr>
            <w:tcW w:w="9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8,027</w:t>
            </w:r>
          </w:p>
        </w:tc>
        <w:tc>
          <w:tcPr>
            <w:tcW w:w="22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8,846</w:t>
            </w:r>
          </w:p>
        </w:tc>
        <w:tc>
          <w:tcPr>
            <w:tcW w:w="126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0.2%</w:t>
            </w:r>
          </w:p>
        </w:tc>
      </w:tr>
      <w:tr>
        <w:trPr>
          <w:trHeight w:val="162"/>
        </w:trPr>
        <w:tc>
          <w:tcPr>
            <w:tcW w:w="19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Unternehmensberatung </w:t>
            </w:r>
            <w:r>
              <w:rPr>
                <w:rFonts w:ascii="Times New Roman" w:cs="Times New Roman" w:eastAsia="Times New Roman" w:hAnsi="Times New Roman"/>
                <w:sz w:val="16"/>
                <w:szCs w:val="16"/>
                <w:color w:val="auto"/>
                <w:vertAlign w:val="superscript"/>
              </w:rPr>
              <w:t>(3)(4)</w:t>
            </w:r>
          </w:p>
        </w:tc>
        <w:tc>
          <w:tcPr>
            <w:tcW w:w="2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3.00% PIK)</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7,535)</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08"/>
        </w:trPr>
        <w:tc>
          <w:tcPr>
            <w:tcW w:w="19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Tango Management Consulting,</w:t>
            </w:r>
          </w:p>
        </w:tc>
        <w:tc>
          <w:tcPr>
            <w:tcW w:w="272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($12,412 par, due 6/2031)</w:t>
            </w:r>
          </w:p>
        </w:tc>
        <w:tc>
          <w:tcPr>
            <w:tcW w:w="92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6/25/2025</w:t>
            </w:r>
          </w:p>
        </w:tc>
        <w:tc>
          <w:tcPr>
            <w:tcW w:w="1140" w:type="dxa"/>
            <w:vAlign w:val="bottom"/>
            <w:shd w:val="clear" w:color="auto" w:fill="CFF0FC"/>
          </w:tcPr>
          <w:p>
            <w:pPr>
              <w:jc w:val="right"/>
              <w:ind w:right="237"/>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120" w:type="dxa"/>
            <w:vAlign w:val="bottom"/>
            <w:shd w:val="clear" w:color="auto" w:fill="CFF0FC"/>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9.82%</w:t>
            </w:r>
          </w:p>
        </w:tc>
        <w:tc>
          <w:tcPr>
            <w:tcW w:w="9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12,123</w:t>
            </w:r>
          </w:p>
        </w:tc>
        <w:tc>
          <w:tcPr>
            <w:tcW w:w="2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12,123</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0.3%</w:t>
            </w:r>
          </w:p>
        </w:tc>
      </w:tr>
      <w:tr>
        <w:trPr>
          <w:trHeight w:val="148"/>
        </w:trPr>
        <w:tc>
          <w:tcPr>
            <w:tcW w:w="19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LLC</w:t>
            </w:r>
            <w:r>
              <w:rPr>
                <w:rFonts w:ascii="Times New Roman" w:cs="Times New Roman" w:eastAsia="Times New Roman" w:hAnsi="Times New Roman"/>
                <w:sz w:val="7"/>
                <w:szCs w:val="7"/>
                <w:color w:val="auto"/>
              </w:rPr>
              <w:t xml:space="preserve"> (3)(5)</w:t>
            </w:r>
          </w:p>
        </w:tc>
        <w:tc>
          <w:tcPr>
            <w:tcW w:w="27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CFF0FC"/>
            </w:tcBorders>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5.50%</w:t>
            </w:r>
          </w:p>
        </w:tc>
        <w:tc>
          <w:tcPr>
            <w:tcW w:w="1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r>
      <w:tr>
        <w:trPr>
          <w:trHeight w:val="138"/>
        </w:trPr>
        <w:tc>
          <w:tcPr>
            <w:tcW w:w="19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765,686</w:t>
            </w:r>
          </w:p>
        </w:tc>
        <w:tc>
          <w:tcPr>
            <w:tcW w:w="220" w:type="dxa"/>
            <w:vAlign w:val="bottom"/>
          </w:tcPr>
          <w:p>
            <w:pPr>
              <w:spacing w:after="0"/>
              <w:rPr>
                <w:sz w:val="11"/>
                <w:szCs w:val="11"/>
                <w:color w:val="auto"/>
              </w:rPr>
            </w:pP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774,052</w:t>
            </w:r>
          </w:p>
        </w:tc>
        <w:tc>
          <w:tcPr>
            <w:tcW w:w="126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-6323330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-6323330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-6323330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-4685665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-4685665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-4685665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-4248785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-4248785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-4248785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-3117215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-3117215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-3117215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-2328545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-2328545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-2328545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-99695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-99695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-5080</wp:posOffset>
            </wp:positionV>
            <wp:extent cx="20999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Ben Nevis Midco Limited </w:t>
            </w:r>
            <w:r>
              <w:rPr>
                <w:rFonts w:ascii="Times New Roman" w:cs="Times New Roman" w:eastAsia="Times New Roman" w:hAnsi="Times New Roman"/>
                <w:sz w:val="16"/>
                <w:szCs w:val="16"/>
                <w:color w:val="auto"/>
                <w:vertAlign w:val="superscript"/>
              </w:rPr>
              <w:t>(3)(4)</w:t>
            </w:r>
          </w:p>
        </w:tc>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($100,000 par, due 3/2028)</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3/26/2024</w:t>
            </w:r>
          </w:p>
        </w:tc>
        <w:tc>
          <w:tcPr>
            <w:tcW w:w="11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SOFR + 5.50%</w:t>
            </w: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9.81%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99,066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100,500</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2.4%</w:t>
            </w: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Rail Acquisitions LLC</w:t>
            </w:r>
          </w:p>
        </w:tc>
        <w:tc>
          <w:tcPr>
            <w:tcW w:w="27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2"/>
                <w:szCs w:val="12"/>
                <w:color w:val="auto"/>
              </w:rPr>
              <w:t xml:space="preserve">First-lien loan ($31,680 par, due 1/2030) </w:t>
            </w:r>
            <w:r>
              <w:rPr>
                <w:rFonts w:ascii="Times New Roman" w:cs="Times New Roman" w:eastAsia="Times New Roman" w:hAnsi="Times New Roman"/>
                <w:sz w:val="15"/>
                <w:szCs w:val="15"/>
                <w:color w:val="auto"/>
                <w:vertAlign w:val="superscript"/>
              </w:rPr>
              <w:t>(3)</w:t>
            </w:r>
          </w:p>
        </w:tc>
        <w:tc>
          <w:tcPr>
            <w:tcW w:w="98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1/27/2025</w:t>
            </w:r>
          </w:p>
        </w:tc>
        <w:tc>
          <w:tcPr>
            <w:tcW w:w="1180" w:type="dxa"/>
            <w:vAlign w:val="bottom"/>
            <w:shd w:val="clear" w:color="auto" w:fill="CFF0FC"/>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0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10.28%</w:t>
            </w: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31,037</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31,255</w:t>
            </w:r>
          </w:p>
        </w:tc>
        <w:tc>
          <w:tcPr>
            <w:tcW w:w="126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0.7%</w:t>
            </w:r>
          </w:p>
        </w:tc>
      </w:tr>
      <w:tr>
        <w:trPr>
          <w:trHeight w:val="135"/>
        </w:trPr>
        <w:tc>
          <w:tcPr>
            <w:tcW w:w="1880" w:type="dxa"/>
            <w:vAlign w:val="bottom"/>
          </w:tcPr>
          <w:p>
            <w:pPr>
              <w:spacing w:after="0"/>
              <w:rPr>
                <w:sz w:val="11"/>
                <w:szCs w:val="11"/>
                <w:color w:val="auto"/>
              </w:rPr>
            </w:pPr>
          </w:p>
        </w:tc>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Second-lien note ($24,992 par, due 1/2031)</w:t>
            </w:r>
          </w:p>
        </w:tc>
        <w:tc>
          <w:tcPr>
            <w:tcW w:w="9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1/27/2025</w:t>
            </w:r>
          </w:p>
        </w:tc>
        <w:tc>
          <w:tcPr>
            <w:tcW w:w="11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13.75%</w:t>
            </w:r>
          </w:p>
        </w:tc>
        <w:tc>
          <w:tcPr>
            <w:tcW w:w="12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color w:val="auto"/>
              </w:rPr>
              <w:t>13.75% PIK</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21,610</w:t>
            </w:r>
          </w:p>
        </w:tc>
        <w:tc>
          <w:tcPr>
            <w:tcW w:w="12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0.5%</w:t>
            </w: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Shiftmove GmbH </w:t>
            </w:r>
            <w:r>
              <w:rPr>
                <w:rFonts w:ascii="Times New Roman" w:cs="Times New Roman" w:eastAsia="Times New Roman" w:hAnsi="Times New Roman"/>
                <w:sz w:val="13"/>
                <w:szCs w:val="13"/>
                <w:color w:val="auto"/>
                <w:vertAlign w:val="superscript"/>
              </w:rPr>
              <w:t>(3)(4)(5)</w:t>
            </w:r>
          </w:p>
        </w:tc>
        <w:tc>
          <w:tcPr>
            <w:tcW w:w="270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(EUR 14,167 par, due 9/2030)</w:t>
            </w:r>
          </w:p>
        </w:tc>
        <w:tc>
          <w:tcPr>
            <w:tcW w:w="98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118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E + 6.00%</w:t>
            </w:r>
          </w:p>
        </w:tc>
        <w:tc>
          <w:tcPr>
            <w:tcW w:w="108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7.98%</w:t>
            </w: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15,396</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16,512</w:t>
            </w:r>
          </w:p>
        </w:tc>
        <w:tc>
          <w:tcPr>
            <w:tcW w:w="1260" w:type="dxa"/>
            <w:vAlign w:val="bottom"/>
            <w:gridSpan w:val="3"/>
            <w:shd w:val="clear" w:color="auto" w:fill="CFF0FC"/>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0.4%</w:t>
            </w:r>
          </w:p>
        </w:tc>
      </w:tr>
      <w:tr>
        <w:trPr>
          <w:trHeight w:val="153"/>
        </w:trPr>
        <w:tc>
          <w:tcPr>
            <w:tcW w:w="1880" w:type="dxa"/>
            <w:vAlign w:val="bottom"/>
            <w:tcBorders>
              <w:bottom w:val="single" w:sz="8" w:color="CFF0FC"/>
            </w:tcBorders>
            <w:shd w:val="clear" w:color="auto" w:fill="CFF0FC"/>
          </w:tcPr>
          <w:p>
            <w:pPr>
              <w:spacing w:after="0"/>
              <w:rPr>
                <w:sz w:val="13"/>
                <w:szCs w:val="13"/>
                <w:color w:val="auto"/>
              </w:rPr>
            </w:pPr>
          </w:p>
        </w:tc>
        <w:tc>
          <w:tcPr>
            <w:tcW w:w="27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14,067)</w:t>
            </w: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r>
      <w:tr>
        <w:trPr>
          <w:trHeight w:val="128"/>
        </w:trPr>
        <w:tc>
          <w:tcPr>
            <w:tcW w:w="18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166,314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169,877</w:t>
            </w:r>
          </w:p>
        </w:tc>
        <w:tc>
          <w:tcPr>
            <w:tcW w:w="126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4.0%</w:t>
            </w:r>
          </w:p>
        </w:tc>
      </w:tr>
      <w:tr>
        <w:trPr>
          <w:trHeight w:val="128"/>
        </w:trPr>
        <w:tc>
          <w:tcPr>
            <w:tcW w:w="1880" w:type="dxa"/>
            <w:vAlign w:val="bottom"/>
            <w:tcBorders>
              <w:bottom w:val="single" w:sz="8" w:color="CFF0FC"/>
            </w:tcBorders>
            <w:shd w:val="clear" w:color="auto" w:fill="CFF0FC"/>
          </w:tcPr>
          <w:p>
            <w:pPr>
              <w:spacing w:after="0"/>
              <w:rPr>
                <w:sz w:val="11"/>
                <w:szCs w:val="11"/>
                <w:color w:val="auto"/>
              </w:rPr>
            </w:pPr>
          </w:p>
        </w:tc>
        <w:tc>
          <w:tcPr>
            <w:tcW w:w="27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r>
      <w:tr>
        <w:trPr>
          <w:trHeight w:val="128"/>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7,063,814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7,347,196</w:t>
            </w:r>
          </w:p>
        </w:tc>
        <w:tc>
          <w:tcPr>
            <w:tcW w:w="126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174.4%</w:t>
            </w:r>
          </w:p>
        </w:tc>
      </w:tr>
      <w:tr>
        <w:trPr>
          <w:trHeight w:val="128"/>
        </w:trPr>
        <w:tc>
          <w:tcPr>
            <w:tcW w:w="188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Equity and Other Investments</w:t>
            </w:r>
          </w:p>
        </w:tc>
        <w:tc>
          <w:tcPr>
            <w:tcW w:w="2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27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Clarience Technologies, LLC</w:t>
            </w:r>
          </w:p>
        </w:tc>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Class A Units (2,666 units)</w:t>
            </w:r>
          </w:p>
        </w:tc>
        <w:tc>
          <w:tcPr>
            <w:tcW w:w="9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2/12/2024</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6,557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11,197</w:t>
            </w:r>
          </w:p>
        </w:tc>
        <w:tc>
          <w:tcPr>
            <w:tcW w:w="12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27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5"/>
                <w:szCs w:val="15"/>
                <w:color w:val="auto"/>
                <w:vertAlign w:val="superscript"/>
              </w:rPr>
              <w:t>(8)</w:t>
            </w:r>
          </w:p>
        </w:tc>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Class A Preferred Units (7,882,736 units)</w:t>
            </w:r>
          </w:p>
        </w:tc>
        <w:tc>
          <w:tcPr>
            <w:tcW w:w="9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7,883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6,621</w:t>
            </w:r>
          </w:p>
        </w:tc>
        <w:tc>
          <w:tcPr>
            <w:tcW w:w="12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Insight Hideaway Aggregator, L.P.</w:t>
            </w:r>
          </w:p>
        </w:tc>
        <w:tc>
          <w:tcPr>
            <w:tcW w:w="2700" w:type="dxa"/>
            <w:vAlign w:val="bottom"/>
            <w:shd w:val="clear" w:color="auto" w:fill="CFF0FC"/>
          </w:tcPr>
          <w:p>
            <w:pPr>
              <w:ind w:left="120"/>
              <w:spacing w:after="0" w:line="108" w:lineRule="exact"/>
              <w:rPr>
                <w:sz w:val="20"/>
                <w:szCs w:val="20"/>
                <w:color w:val="auto"/>
              </w:rPr>
            </w:pPr>
            <w:r>
              <w:rPr>
                <w:rFonts w:ascii="Times New Roman" w:cs="Times New Roman" w:eastAsia="Times New Roman" w:hAnsi="Times New Roman"/>
                <w:sz w:val="12"/>
                <w:szCs w:val="12"/>
                <w:color w:val="auto"/>
              </w:rPr>
              <w:t>Partnership Interest (2,170,139 units)</w:t>
            </w:r>
          </w:p>
        </w:tc>
        <w:tc>
          <w:tcPr>
            <w:tcW w:w="98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3/19/2024</w:t>
            </w:r>
          </w:p>
        </w:tc>
        <w:tc>
          <w:tcPr>
            <w:tcW w:w="11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21,701</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23,220</w:t>
            </w:r>
          </w:p>
        </w:tc>
        <w:tc>
          <w:tcPr>
            <w:tcW w:w="1260" w:type="dxa"/>
            <w:vAlign w:val="bottom"/>
            <w:gridSpan w:val="3"/>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0.5%</w:t>
            </w:r>
          </w:p>
        </w:tc>
      </w:tr>
      <w:tr>
        <w:trPr>
          <w:trHeight w:val="122"/>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(8)</w:t>
            </w:r>
          </w:p>
        </w:tc>
        <w:tc>
          <w:tcPr>
            <w:tcW w:w="27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Newark FP Co-Invest, L.P. </w:t>
            </w:r>
            <w:r>
              <w:rPr>
                <w:rFonts w:ascii="Times New Roman" w:cs="Times New Roman" w:eastAsia="Times New Roman" w:hAnsi="Times New Roman"/>
                <w:sz w:val="15"/>
                <w:szCs w:val="15"/>
                <w:color w:val="auto"/>
                <w:vertAlign w:val="superscript"/>
              </w:rPr>
              <w:t>(8)</w:t>
            </w:r>
          </w:p>
        </w:tc>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Partnership (8,555,356 units)</w:t>
            </w:r>
          </w:p>
        </w:tc>
        <w:tc>
          <w:tcPr>
            <w:tcW w:w="9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11/8/2023</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8,572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4,907</w:t>
            </w:r>
          </w:p>
        </w:tc>
        <w:tc>
          <w:tcPr>
            <w:tcW w:w="12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Warrior TopCo LP </w:t>
            </w:r>
            <w:r>
              <w:rPr>
                <w:rFonts w:ascii="Times New Roman" w:cs="Times New Roman" w:eastAsia="Times New Roman" w:hAnsi="Times New Roman"/>
                <w:sz w:val="15"/>
                <w:szCs w:val="15"/>
                <w:color w:val="auto"/>
                <w:vertAlign w:val="superscript"/>
              </w:rPr>
              <w:t>(8)</w:t>
            </w:r>
          </w:p>
        </w:tc>
        <w:tc>
          <w:tcPr>
            <w:tcW w:w="27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Class A Units (9,576,271 units)</w:t>
            </w:r>
          </w:p>
        </w:tc>
        <w:tc>
          <w:tcPr>
            <w:tcW w:w="98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9,576</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14,939</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w:t>
            </w:r>
          </w:p>
        </w:tc>
      </w:tr>
      <w:tr>
        <w:trPr>
          <w:trHeight w:val="20"/>
        </w:trPr>
        <w:tc>
          <w:tcPr>
            <w:tcW w:w="188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28"/>
        </w:trPr>
        <w:tc>
          <w:tcPr>
            <w:tcW w:w="18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47,732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49,687</w:t>
            </w:r>
          </w:p>
        </w:tc>
        <w:tc>
          <w:tcPr>
            <w:tcW w:w="200" w:type="dxa"/>
            <w:vAlign w:val="bottom"/>
          </w:tcPr>
          <w:p>
            <w:pPr>
              <w:spacing w:after="0"/>
              <w:rPr>
                <w:sz w:val="11"/>
                <w:szCs w:val="11"/>
                <w:color w:val="auto"/>
              </w:rPr>
            </w:pPr>
          </w:p>
        </w:tc>
        <w:tc>
          <w:tcPr>
            <w:tcW w:w="10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1.2%</w:t>
            </w:r>
          </w:p>
        </w:tc>
      </w:tr>
      <w:tr>
        <w:trPr>
          <w:trHeight w:val="128"/>
        </w:trPr>
        <w:tc>
          <w:tcPr>
            <w:tcW w:w="18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7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5"/>
                <w:szCs w:val="15"/>
                <w:color w:val="auto"/>
                <w:vertAlign w:val="superscript"/>
              </w:rPr>
              <w:t>(8)</w:t>
            </w:r>
          </w:p>
        </w:tc>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Partnership Units (337,024 units)</w:t>
            </w:r>
          </w:p>
        </w:tc>
        <w:tc>
          <w:tcPr>
            <w:tcW w:w="9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11/27/2023</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12,557</w:t>
            </w:r>
          </w:p>
        </w:tc>
        <w:tc>
          <w:tcPr>
            <w:tcW w:w="12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0.3%</w:t>
            </w: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7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5"/>
                <w:szCs w:val="15"/>
                <w:color w:val="auto"/>
                <w:vertAlign w:val="superscript"/>
              </w:rPr>
              <w:t>(8)</w:t>
            </w:r>
          </w:p>
        </w:tc>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Ordinary Shares (83,408 shares)</w:t>
            </w:r>
          </w:p>
        </w:tc>
        <w:tc>
          <w:tcPr>
            <w:tcW w:w="9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13,262</w:t>
            </w:r>
          </w:p>
        </w:tc>
        <w:tc>
          <w:tcPr>
            <w:tcW w:w="12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0.3%</w:t>
            </w:r>
          </w:p>
        </w:tc>
      </w:tr>
      <w:tr>
        <w:trPr>
          <w:trHeight w:val="115"/>
        </w:trPr>
        <w:tc>
          <w:tcPr>
            <w:tcW w:w="18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7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5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7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bswift, LLC</w:t>
            </w:r>
          </w:p>
        </w:tc>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Class A-1 Units (7,606,491 units)</w:t>
            </w:r>
          </w:p>
        </w:tc>
        <w:tc>
          <w:tcPr>
            <w:tcW w:w="9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11/7/2022</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7,606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15,365</w:t>
            </w:r>
          </w:p>
        </w:tc>
        <w:tc>
          <w:tcPr>
            <w:tcW w:w="12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w:t>
            </w: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7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Bigtincan Holdings L.P. </w:t>
            </w:r>
            <w:r>
              <w:rPr>
                <w:rFonts w:ascii="Times New Roman" w:cs="Times New Roman" w:eastAsia="Times New Roman" w:hAnsi="Times New Roman"/>
                <w:sz w:val="15"/>
                <w:szCs w:val="15"/>
                <w:color w:val="auto"/>
                <w:vertAlign w:val="superscript"/>
              </w:rPr>
              <w:t>(8)</w:t>
            </w:r>
          </w:p>
        </w:tc>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Class A Units (666,667 units)</w:t>
            </w:r>
          </w:p>
        </w:tc>
        <w:tc>
          <w:tcPr>
            <w:tcW w:w="9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4/16/2025</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667</w:t>
            </w:r>
          </w:p>
        </w:tc>
        <w:tc>
          <w:tcPr>
            <w:tcW w:w="12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SMA Technologies Holdings,</w:t>
            </w:r>
          </w:p>
        </w:tc>
        <w:tc>
          <w:tcPr>
            <w:tcW w:w="2700" w:type="dxa"/>
            <w:vAlign w:val="bottom"/>
            <w:shd w:val="clear" w:color="auto" w:fill="CFF0FC"/>
          </w:tcPr>
          <w:p>
            <w:pPr>
              <w:ind w:left="120"/>
              <w:spacing w:after="0" w:line="108" w:lineRule="exact"/>
              <w:rPr>
                <w:sz w:val="20"/>
                <w:szCs w:val="20"/>
                <w:color w:val="auto"/>
              </w:rPr>
            </w:pPr>
            <w:r>
              <w:rPr>
                <w:rFonts w:ascii="Times New Roman" w:cs="Times New Roman" w:eastAsia="Times New Roman" w:hAnsi="Times New Roman"/>
                <w:sz w:val="12"/>
                <w:szCs w:val="12"/>
                <w:color w:val="auto"/>
              </w:rPr>
              <w:t>Class A Units (244 units)</w:t>
            </w:r>
          </w:p>
        </w:tc>
        <w:tc>
          <w:tcPr>
            <w:tcW w:w="98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11/21/2022</w:t>
            </w:r>
          </w:p>
        </w:tc>
        <w:tc>
          <w:tcPr>
            <w:tcW w:w="11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244</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389</w:t>
            </w:r>
          </w:p>
        </w:tc>
        <w:tc>
          <w:tcPr>
            <w:tcW w:w="1260" w:type="dxa"/>
            <w:vAlign w:val="bottom"/>
            <w:gridSpan w:val="3"/>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0.0%</w:t>
            </w:r>
          </w:p>
        </w:tc>
      </w:tr>
      <w:tr>
        <w:trPr>
          <w:trHeight w:val="162"/>
        </w:trPr>
        <w:tc>
          <w:tcPr>
            <w:tcW w:w="1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(8)(10)</w:t>
            </w:r>
          </w:p>
        </w:tc>
        <w:tc>
          <w:tcPr>
            <w:tcW w:w="27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35"/>
        </w:trPr>
        <w:tc>
          <w:tcPr>
            <w:tcW w:w="1880" w:type="dxa"/>
            <w:vAlign w:val="bottom"/>
          </w:tcPr>
          <w:p>
            <w:pPr>
              <w:spacing w:after="0"/>
              <w:rPr>
                <w:sz w:val="11"/>
                <w:szCs w:val="11"/>
                <w:color w:val="auto"/>
              </w:rPr>
            </w:pPr>
          </w:p>
        </w:tc>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Class B Units (173,048 units)</w:t>
            </w:r>
          </w:p>
        </w:tc>
        <w:tc>
          <w:tcPr>
            <w:tcW w:w="9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11/21/2022</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20"/>
        </w:trPr>
        <w:tc>
          <w:tcPr>
            <w:tcW w:w="1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188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921</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1,073</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0.0%</w:t>
            </w:r>
          </w:p>
        </w:tc>
      </w:tr>
      <w:tr>
        <w:trPr>
          <w:trHeight w:val="128"/>
        </w:trPr>
        <w:tc>
          <w:tcPr>
            <w:tcW w:w="18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270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118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(4)(8)(10)</w:t>
            </w:r>
          </w:p>
        </w:tc>
        <w:tc>
          <w:tcPr>
            <w:tcW w:w="270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Convertible Preference Shares</w:t>
            </w:r>
          </w:p>
        </w:tc>
        <w:tc>
          <w:tcPr>
            <w:tcW w:w="98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1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49,063</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52,763</w:t>
            </w:r>
          </w:p>
        </w:tc>
        <w:tc>
          <w:tcPr>
            <w:tcW w:w="1260" w:type="dxa"/>
            <w:vAlign w:val="bottom"/>
            <w:gridSpan w:val="3"/>
            <w:shd w:val="clear" w:color="auto" w:fill="CFF0FC"/>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1.3%</w:t>
            </w:r>
          </w:p>
        </w:tc>
      </w:tr>
      <w:tr>
        <w:trPr>
          <w:trHeight w:val="153"/>
        </w:trPr>
        <w:tc>
          <w:tcPr>
            <w:tcW w:w="1880" w:type="dxa"/>
            <w:vAlign w:val="bottom"/>
            <w:shd w:val="clear" w:color="auto" w:fill="CFF0FC"/>
          </w:tcPr>
          <w:p>
            <w:pPr>
              <w:spacing w:after="0"/>
              <w:rPr>
                <w:sz w:val="13"/>
                <w:szCs w:val="13"/>
                <w:color w:val="auto"/>
              </w:rPr>
            </w:pPr>
          </w:p>
        </w:tc>
        <w:tc>
          <w:tcPr>
            <w:tcW w:w="2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(38,503,125 units)</w:t>
            </w:r>
          </w:p>
        </w:tc>
        <w:tc>
          <w:tcPr>
            <w:tcW w:w="9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38,503)</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2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Railtrac Holdings Inc. </w:t>
            </w:r>
            <w:r>
              <w:rPr>
                <w:rFonts w:ascii="Times New Roman" w:cs="Times New Roman" w:eastAsia="Times New Roman" w:hAnsi="Times New Roman"/>
                <w:sz w:val="15"/>
                <w:szCs w:val="15"/>
                <w:color w:val="auto"/>
                <w:vertAlign w:val="superscript"/>
              </w:rPr>
              <w:t>(8)(10)</w:t>
            </w:r>
          </w:p>
        </w:tc>
        <w:tc>
          <w:tcPr>
            <w:tcW w:w="27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Warrants (3,824 warrants)</w:t>
            </w:r>
          </w:p>
        </w:tc>
        <w:tc>
          <w:tcPr>
            <w:tcW w:w="98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1/27/2025</w:t>
            </w: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3,396</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3,397</w:t>
            </w:r>
          </w:p>
        </w:tc>
        <w:tc>
          <w:tcPr>
            <w:tcW w:w="126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35"/>
        </w:trPr>
        <w:tc>
          <w:tcPr>
            <w:tcW w:w="18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8"/>
        </w:trPr>
        <w:tc>
          <w:tcPr>
            <w:tcW w:w="18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Equity and Other</w:t>
            </w:r>
          </w:p>
        </w:tc>
        <w:tc>
          <w:tcPr>
            <w:tcW w:w="27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139,515</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159,301</w:t>
            </w:r>
          </w:p>
        </w:tc>
        <w:tc>
          <w:tcPr>
            <w:tcW w:w="1260" w:type="dxa"/>
            <w:vAlign w:val="bottom"/>
            <w:gridSpan w:val="3"/>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2"/>
                <w:szCs w:val="12"/>
                <w:color w:val="auto"/>
              </w:rPr>
              <w:t>3.8%</w:t>
            </w:r>
          </w:p>
        </w:tc>
      </w:tr>
      <w:tr>
        <w:trPr>
          <w:trHeight w:val="142"/>
        </w:trPr>
        <w:tc>
          <w:tcPr>
            <w:tcW w:w="188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270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r>
      <w:tr>
        <w:trPr>
          <w:trHeight w:val="129"/>
        </w:trPr>
        <w:tc>
          <w:tcPr>
            <w:tcW w:w="18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48"/>
        </w:trPr>
        <w:tc>
          <w:tcPr>
            <w:tcW w:w="18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27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7,203,329</w:t>
            </w:r>
          </w:p>
        </w:tc>
        <w:tc>
          <w:tcPr>
            <w:tcW w:w="42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7,506,497</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178.2%</w:t>
            </w:r>
          </w:p>
        </w:tc>
      </w:tr>
      <w:tr>
        <w:trPr>
          <w:trHeight w:val="20"/>
        </w:trPr>
        <w:tc>
          <w:tcPr>
            <w:tcW w:w="188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-3256915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-3256915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-3256915</wp:posOffset>
            </wp:positionV>
            <wp:extent cx="93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-3068320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-3068320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-3068320</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-2133600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-2133600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-2133600</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-908050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-908050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-908050</wp:posOffset>
            </wp:positionV>
            <wp:extent cx="939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-213995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-213995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-213995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currency contracts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Foreign Currency Forward Contracts as of June 30, 2025</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xml:space="preserve">Derivative Instrument </w:t>
            </w:r>
            <w:r>
              <w:rPr>
                <w:rFonts w:ascii="Times New Roman" w:cs="Times New Roman" w:eastAsia="Times New Roman" w:hAnsi="Times New Roman"/>
                <w:sz w:val="19"/>
                <w:szCs w:val="19"/>
                <w:b w:val="1"/>
                <w:bCs w:val="1"/>
                <w:color w:val="auto"/>
                <w:vertAlign w:val="superscript"/>
              </w:rPr>
              <w:t>(13)</w:t>
            </w:r>
          </w:p>
        </w:tc>
        <w:tc>
          <w:tcPr>
            <w:tcW w:w="120" w:type="dxa"/>
            <w:vAlign w:val="bottom"/>
            <w:vMerge w:val="restart"/>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Settlement</w:t>
            </w:r>
          </w:p>
        </w:tc>
        <w:tc>
          <w:tcPr>
            <w:tcW w:w="120" w:type="dxa"/>
            <w:vAlign w:val="bottom"/>
          </w:tcPr>
          <w:p>
            <w:pPr>
              <w:spacing w:after="0"/>
              <w:rPr>
                <w:sz w:val="10"/>
                <w:szCs w:val="10"/>
                <w:color w:val="auto"/>
              </w:rPr>
            </w:pPr>
          </w:p>
        </w:tc>
        <w:tc>
          <w:tcPr>
            <w:tcW w:w="12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Notional amount to</w:t>
            </w:r>
          </w:p>
        </w:tc>
        <w:tc>
          <w:tcPr>
            <w:tcW w:w="220" w:type="dxa"/>
            <w:vAlign w:val="bottom"/>
          </w:tcPr>
          <w:p>
            <w:pPr>
              <w:spacing w:after="0"/>
              <w:rPr>
                <w:sz w:val="10"/>
                <w:szCs w:val="10"/>
                <w:color w:val="auto"/>
              </w:rPr>
            </w:pPr>
          </w:p>
        </w:tc>
        <w:tc>
          <w:tcPr>
            <w:tcW w:w="1340" w:type="dxa"/>
            <w:vAlign w:val="bottom"/>
            <w:gridSpan w:val="2"/>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Notional amount to</w:t>
            </w:r>
          </w:p>
        </w:tc>
        <w:tc>
          <w:tcPr>
            <w:tcW w:w="200" w:type="dxa"/>
            <w:vAlign w:val="bottom"/>
          </w:tcPr>
          <w:p>
            <w:pPr>
              <w:spacing w:after="0"/>
              <w:rPr>
                <w:sz w:val="10"/>
                <w:szCs w:val="10"/>
                <w:color w:val="auto"/>
              </w:rPr>
            </w:pPr>
          </w:p>
        </w:tc>
        <w:tc>
          <w:tcPr>
            <w:tcW w:w="284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10"/>
                <w:szCs w:val="10"/>
                <w:color w:val="auto"/>
              </w:rPr>
            </w:pPr>
          </w:p>
        </w:tc>
        <w:tc>
          <w:tcPr>
            <w:tcW w:w="1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 Appreciation/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be purchased</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be sold</w:t>
            </w:r>
          </w:p>
        </w:tc>
        <w:tc>
          <w:tcPr>
            <w:tcW w:w="200" w:type="dxa"/>
            <w:vAlign w:val="bottom"/>
          </w:tcPr>
          <w:p>
            <w:pPr>
              <w:spacing w:after="0"/>
              <w:rPr>
                <w:sz w:val="15"/>
                <w:szCs w:val="15"/>
                <w:color w:val="auto"/>
              </w:rPr>
            </w:pPr>
          </w:p>
        </w:tc>
        <w:tc>
          <w:tcPr>
            <w:tcW w:w="2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Foreign currency forward contract</w:t>
            </w:r>
          </w:p>
        </w:tc>
        <w:tc>
          <w:tcPr>
            <w:tcW w:w="8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8/14/2025</w:t>
            </w:r>
          </w:p>
        </w:tc>
        <w:tc>
          <w:tcPr>
            <w:tcW w:w="620" w:type="dxa"/>
            <w:vAlign w:val="bottom"/>
            <w:gridSpan w:val="2"/>
            <w:shd w:val="clear" w:color="auto" w:fill="CFF0FC"/>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102,568</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143,091</w:t>
            </w:r>
          </w:p>
        </w:tc>
        <w:tc>
          <w:tcPr>
            <w:tcW w:w="3040" w:type="dxa"/>
            <w:vAlign w:val="bottom"/>
            <w:gridSpan w:val="2"/>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State Street Bank and Trust Company</w:t>
            </w:r>
          </w:p>
        </w:tc>
        <w:tc>
          <w:tcPr>
            <w:tcW w:w="360" w:type="dxa"/>
            <w:vAlign w:val="bottom"/>
            <w:gridSpan w:val="2"/>
            <w:shd w:val="clear" w:color="auto" w:fill="CFF0FC"/>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(2,525)</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Foreign currency forward contract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8/14/2025</w:t>
            </w:r>
          </w:p>
        </w:tc>
        <w:tc>
          <w:tcPr>
            <w:tcW w:w="620" w:type="dxa"/>
            <w:vAlign w:val="bottom"/>
            <w:gridSpan w:val="2"/>
          </w:tcPr>
          <w:p>
            <w:pPr>
              <w:jc w:val="right"/>
              <w:ind w:right="211"/>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97,585</w:t>
            </w: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GBP</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73,454</w:t>
            </w:r>
          </w:p>
        </w:tc>
        <w:tc>
          <w:tcPr>
            <w:tcW w:w="30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State Street Bank and Trust Company</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(3,095)</w:t>
            </w:r>
          </w:p>
        </w:tc>
        <w:tc>
          <w:tcPr>
            <w:tcW w:w="0" w:type="dxa"/>
            <w:vAlign w:val="bottom"/>
          </w:tcPr>
          <w:p>
            <w:pPr>
              <w:spacing w:after="0"/>
              <w:rPr>
                <w:sz w:val="1"/>
                <w:szCs w:val="1"/>
                <w:color w:val="auto"/>
              </w:rPr>
            </w:pPr>
          </w:p>
        </w:tc>
      </w:tr>
      <w:tr>
        <w:trPr>
          <w:trHeight w:val="148"/>
        </w:trPr>
        <w:tc>
          <w:tcPr>
            <w:tcW w:w="25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forward contract</w:t>
            </w:r>
          </w:p>
        </w:tc>
        <w:tc>
          <w:tcPr>
            <w:tcW w:w="8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8/14/2025</w:t>
            </w:r>
          </w:p>
        </w:tc>
        <w:tc>
          <w:tcPr>
            <w:tcW w:w="620" w:type="dxa"/>
            <w:vAlign w:val="bottom"/>
            <w:gridSpan w:val="2"/>
            <w:shd w:val="clear" w:color="auto" w:fill="CFF0FC"/>
          </w:tcPr>
          <w:p>
            <w:pPr>
              <w:jc w:val="right"/>
              <w:ind w:right="211"/>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NOK</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7,427</w:t>
            </w:r>
          </w:p>
        </w:tc>
        <w:tc>
          <w:tcPr>
            <w:tcW w:w="3040" w:type="dxa"/>
            <w:vAlign w:val="bottom"/>
            <w:gridSpan w:val="2"/>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State Street Bank and Trust Company</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6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(5,642)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Interest Rate Swaps as of June 30, 2025</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Upfront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Pays</w:t>
            </w:r>
          </w:p>
        </w:tc>
        <w:tc>
          <w:tcPr>
            <w:tcW w:w="1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0" w:type="dxa"/>
            <w:vAlign w:val="bottom"/>
          </w:tcPr>
          <w:p>
            <w:pPr>
              <w:spacing w:after="0"/>
              <w:rPr>
                <w:sz w:val="1"/>
                <w:szCs w:val="1"/>
                <w:color w:val="auto"/>
              </w:rPr>
            </w:pPr>
          </w:p>
        </w:tc>
      </w:tr>
      <w:tr>
        <w:trPr>
          <w:trHeight w:val="115"/>
        </w:trPr>
        <w:tc>
          <w:tcPr>
            <w:tcW w:w="2280" w:type="dxa"/>
            <w:vAlign w:val="bottom"/>
            <w:vMerge w:val="continue"/>
          </w:tcPr>
          <w:p>
            <w:pPr>
              <w:spacing w:after="0"/>
              <w:rPr>
                <w:sz w:val="10"/>
                <w:szCs w:val="10"/>
                <w:color w:val="auto"/>
              </w:rPr>
            </w:pPr>
          </w:p>
        </w:tc>
        <w:tc>
          <w:tcPr>
            <w:tcW w:w="10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6.50%</w:t>
            </w:r>
          </w:p>
        </w:tc>
        <w:tc>
          <w:tcPr>
            <w:tcW w:w="14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SOFR + 2.51%</w:t>
            </w:r>
          </w:p>
        </w:tc>
        <w:tc>
          <w:tcPr>
            <w:tcW w:w="120" w:type="dxa"/>
            <w:vAlign w:val="bottom"/>
          </w:tcPr>
          <w:p>
            <w:pPr>
              <w:spacing w:after="0"/>
              <w:rPr>
                <w:sz w:val="10"/>
                <w:szCs w:val="10"/>
                <w:color w:val="auto"/>
              </w:rPr>
            </w:pPr>
          </w:p>
        </w:tc>
        <w:tc>
          <w:tcPr>
            <w:tcW w:w="9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3/11/2029</w:t>
            </w:r>
          </w:p>
        </w:tc>
        <w:tc>
          <w:tcPr>
            <w:tcW w:w="120" w:type="dxa"/>
            <w:vAlign w:val="bottom"/>
          </w:tcPr>
          <w:p>
            <w:pPr>
              <w:spacing w:after="0"/>
              <w:rPr>
                <w:sz w:val="10"/>
                <w:szCs w:val="10"/>
                <w:color w:val="auto"/>
              </w:rPr>
            </w:pPr>
          </w:p>
        </w:tc>
        <w:tc>
          <w:tcPr>
            <w:tcW w:w="160" w:type="dxa"/>
            <w:vAlign w:val="bottom"/>
            <w:tcBorders>
              <w:top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600,000</w:t>
            </w:r>
          </w:p>
        </w:tc>
        <w:tc>
          <w:tcPr>
            <w:tcW w:w="200" w:type="dxa"/>
            <w:vAlign w:val="bottom"/>
          </w:tcPr>
          <w:p>
            <w:pPr>
              <w:spacing w:after="0"/>
              <w:rPr>
                <w:sz w:val="10"/>
                <w:szCs w:val="10"/>
                <w:color w:val="auto"/>
              </w:rPr>
            </w:pPr>
          </w:p>
        </w:tc>
        <w:tc>
          <w:tcPr>
            <w:tcW w:w="240" w:type="dxa"/>
            <w:vAlign w:val="bottom"/>
            <w:tcBorders>
              <w:top w:val="single" w:sz="8" w:color="auto"/>
            </w:tcBorders>
          </w:tcPr>
          <w:p>
            <w:pPr>
              <w:jc w:val="right"/>
              <w:ind w:right="9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11,325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ind w:left="8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13,533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7"/>
                <w:szCs w:val="17"/>
                <w:color w:val="auto"/>
                <w:vertAlign w:val="superscript"/>
              </w:rPr>
              <w:t>(a)(b)</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6.50%</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 + 2.22%</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3/11/2029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8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7"/>
                <w:szCs w:val="17"/>
                <w:color w:val="auto"/>
                <w:vertAlign w:val="superscript"/>
              </w:rPr>
              <w:t>(a)(b)</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5.75%</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 + 2.55%</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1/15/2030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8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6.13%</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+ 2.01%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7/15/2030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Hedge Accounting Swaps</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2,100,000</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31,491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56,705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collateral</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8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360" w:type="dxa"/>
            <w:vAlign w:val="bottom"/>
            <w:gridSpan w:val="4"/>
            <w:shd w:val="clear" w:color="auto" w:fill="CFF0FC"/>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2,100,000</w:t>
            </w:r>
          </w:p>
        </w:tc>
        <w:tc>
          <w:tcPr>
            <w:tcW w:w="440" w:type="dxa"/>
            <w:vAlign w:val="bottom"/>
            <w:gridSpan w:val="2"/>
            <w:shd w:val="clear" w:color="auto" w:fill="CFF0FC"/>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141,033</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56,705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94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939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SOFR.</w:t>
      </w:r>
    </w:p>
    <w:p>
      <w:pPr>
        <w:spacing w:after="0" w:line="27" w:lineRule="exact"/>
        <w:rPr>
          <w:rFonts w:ascii="Times New Roman" w:cs="Times New Roman" w:eastAsia="Times New Roman" w:hAnsi="Times New Roman"/>
          <w:sz w:val="18"/>
          <w:szCs w:val="18"/>
          <w:color w:val="auto"/>
        </w:rPr>
      </w:pPr>
    </w:p>
    <w:p>
      <w:pPr>
        <w:ind w:left="1020" w:right="180" w:hanging="503"/>
        <w:spacing w:after="0" w:line="260"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spacing w:after="0" w:line="181" w:lineRule="exact"/>
        <w:rPr>
          <w:rFonts w:ascii="Times New Roman" w:cs="Times New Roman" w:eastAsia="Times New Roman" w:hAnsi="Times New Roman"/>
          <w:sz w:val="18"/>
          <w:szCs w:val="18"/>
          <w:color w:val="auto"/>
        </w:rPr>
      </w:pPr>
    </w:p>
    <w:p>
      <w:pPr>
        <w:ind w:left="520" w:right="80" w:hanging="512"/>
        <w:spacing w:after="0" w:line="26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25% of its outstanding voting securities and/or had the power to exercise control over the management or policies of</w:t>
      </w:r>
    </w:p>
    <w:p>
      <w:pPr>
        <w:spacing w:after="0" w:line="9" w:lineRule="exact"/>
        <w:rPr>
          <w:rFonts w:ascii="Times New Roman" w:cs="Times New Roman" w:eastAsia="Times New Roman" w:hAnsi="Times New Roman"/>
          <w:sz w:val="18"/>
          <w:szCs w:val="18"/>
          <w:color w:val="auto"/>
        </w:rPr>
      </w:pPr>
    </w:p>
    <w:p>
      <w:pPr>
        <w:ind w:left="520" w:right="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company. As of June 30, 2025, the Company does not “control” any of the portfolio companies. Also under the 1940 Act, the Company would be deemed to be an “Affiliated Person” of a portfolio company if the Company owns more than 5% of the portfolio company’s outstanding voting securities. As of June 30, 2025, the Company does not identify any of its portfolio companies as affiliates.</w:t>
      </w:r>
    </w:p>
    <w:p>
      <w:pPr>
        <w:spacing w:after="0" w:line="1"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w:t>
      </w:r>
    </w:p>
    <w:p>
      <w:pPr>
        <w:spacing w:after="0" w:line="9" w:lineRule="exact"/>
        <w:rPr>
          <w:rFonts w:ascii="Times New Roman" w:cs="Times New Roman" w:eastAsia="Times New Roman" w:hAnsi="Times New Roman"/>
          <w:sz w:val="18"/>
          <w:szCs w:val="18"/>
          <w:color w:val="auto"/>
        </w:rPr>
      </w:pPr>
    </w:p>
    <w:p>
      <w:pPr>
        <w:ind w:left="5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2025.</w:t>
      </w:r>
    </w:p>
    <w:p>
      <w:pPr>
        <w:spacing w:after="0" w:line="2" w:lineRule="exact"/>
        <w:rPr>
          <w:rFonts w:ascii="Times New Roman" w:cs="Times New Roman" w:eastAsia="Times New Roman" w:hAnsi="Times New Roman"/>
          <w:sz w:val="18"/>
          <w:szCs w:val="18"/>
          <w:color w:val="auto"/>
        </w:rPr>
      </w:pPr>
    </w:p>
    <w:p>
      <w:pPr>
        <w:ind w:left="520" w:right="20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28.1% of total assets as of June 30, 2025.</w:t>
      </w:r>
    </w:p>
    <w:p>
      <w:pPr>
        <w:spacing w:after="0" w:line="1"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20" w:right="21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the estimated cost basis of investments for U.S. federal tax purposes was $7,259,834 resulting in estimated gross unrealized gains and losses of $322,721 and $201,145, respectfully.</w:t>
      </w: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520" w:right="6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June 30, 2025, the aggregate fair value of these securities is $56,233, or 1.3% of the Company’s net assets.</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$26.8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8"/>
          <w:szCs w:val="18"/>
          <w:color w:val="auto"/>
        </w:rPr>
      </w:pPr>
    </w:p>
    <w:p>
      <w:pPr>
        <w:ind w:left="520" w:right="17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further information related to foreign currency forward contracts.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12" w:name="page13"/>
    <w:bookmarkEnd w:id="12"/>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(1)(9)</w:t>
            </w:r>
          </w:p>
        </w:tc>
        <w:tc>
          <w:tcPr>
            <w:tcW w:w="100" w:type="dxa"/>
            <w:vAlign w:val="bottom"/>
          </w:tcPr>
          <w:p>
            <w:pPr>
              <w:spacing w:after="0"/>
              <w:rPr>
                <w:sz w:val="16"/>
                <w:szCs w:val="16"/>
                <w:color w:val="auto"/>
              </w:rPr>
            </w:pPr>
          </w:p>
        </w:tc>
        <w:tc>
          <w:tcPr>
            <w:tcW w:w="2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1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 xml:space="preserve">Truck-Lite Co., LLC </w:t>
            </w:r>
            <w:r>
              <w:rPr>
                <w:rFonts w:ascii="Times New Roman" w:cs="Times New Roman" w:eastAsia="Times New Roman" w:hAnsi="Times New Roman"/>
                <w:sz w:val="16"/>
                <w:szCs w:val="16"/>
                <w:color w:val="auto"/>
                <w:vertAlign w:val="superscript"/>
              </w:rPr>
              <w:t>(3)</w:t>
            </w:r>
          </w:p>
        </w:tc>
        <w:tc>
          <w:tcPr>
            <w:tcW w:w="25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auto"/>
              </w:rPr>
              <w:t>First-lien loan ($280,937 par, due 2/2031)</w:t>
            </w:r>
          </w:p>
        </w:tc>
        <w:tc>
          <w:tcPr>
            <w:tcW w:w="0" w:type="dxa"/>
            <w:vAlign w:val="bottom"/>
          </w:tcPr>
          <w:p>
            <w:pPr>
              <w:spacing w:after="0"/>
              <w:rPr>
                <w:sz w:val="1"/>
                <w:szCs w:val="1"/>
                <w:color w:val="auto"/>
              </w:rPr>
            </w:pPr>
          </w:p>
        </w:tc>
      </w:tr>
      <w:tr>
        <w:trPr>
          <w:trHeight w:val="128"/>
        </w:trPr>
        <w:tc>
          <w:tcPr>
            <w:tcW w:w="18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Artisan Bidco, Inc.</w:t>
            </w:r>
            <w:r>
              <w:rPr>
                <w:rFonts w:ascii="Times New Roman" w:cs="Times New Roman" w:eastAsia="Times New Roman" w:hAnsi="Times New Roman"/>
                <w:sz w:val="16"/>
                <w:szCs w:val="16"/>
                <w:color w:val="auto"/>
                <w:vertAlign w:val="superscript"/>
              </w:rPr>
              <w:t>(3)</w:t>
            </w:r>
          </w:p>
        </w:tc>
        <w:tc>
          <w:tcPr>
            <w:tcW w:w="25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First-lien loan ($114,848 par, due 11/2029)</w:t>
            </w:r>
          </w:p>
        </w:tc>
        <w:tc>
          <w:tcPr>
            <w:tcW w:w="0" w:type="dxa"/>
            <w:vAlign w:val="bottom"/>
          </w:tcPr>
          <w:p>
            <w:pPr>
              <w:spacing w:after="0"/>
              <w:rPr>
                <w:sz w:val="1"/>
                <w:szCs w:val="1"/>
                <w:color w:val="auto"/>
              </w:rPr>
            </w:pPr>
          </w:p>
        </w:tc>
      </w:tr>
      <w:tr>
        <w:trPr>
          <w:trHeight w:val="164"/>
        </w:trPr>
        <w:tc>
          <w:tcPr>
            <w:tcW w:w="1860" w:type="dxa"/>
            <w:vAlign w:val="bottom"/>
          </w:tcPr>
          <w:p>
            <w:pPr>
              <w:spacing w:after="0"/>
              <w:rPr>
                <w:sz w:val="14"/>
                <w:szCs w:val="14"/>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(EUR 51,863 par, due 11/2029)</w:t>
            </w:r>
          </w:p>
        </w:tc>
        <w:tc>
          <w:tcPr>
            <w:tcW w:w="0" w:type="dxa"/>
            <w:vAlign w:val="bottom"/>
          </w:tcPr>
          <w:p>
            <w:pPr>
              <w:spacing w:after="0"/>
              <w:rPr>
                <w:sz w:val="1"/>
                <w:szCs w:val="1"/>
                <w:color w:val="auto"/>
              </w:rPr>
            </w:pPr>
          </w:p>
        </w:tc>
      </w:tr>
      <w:tr>
        <w:trPr>
          <w:trHeight w:val="232"/>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w w:val="99"/>
              </w:rPr>
              <w:t>Azurite Intermediate Holdings, Inc.</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($213,750 par, due 3/2031)</w:t>
            </w:r>
          </w:p>
        </w:tc>
        <w:tc>
          <w:tcPr>
            <w:tcW w:w="0" w:type="dxa"/>
            <w:vAlign w:val="bottom"/>
          </w:tcPr>
          <w:p>
            <w:pPr>
              <w:spacing w:after="0"/>
              <w:rPr>
                <w:sz w:val="1"/>
                <w:szCs w:val="1"/>
                <w:color w:val="auto"/>
              </w:rPr>
            </w:pPr>
          </w:p>
        </w:tc>
      </w:tr>
      <w:tr>
        <w:trPr>
          <w:trHeight w:val="92"/>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8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 xml:space="preserve">BCTO Ignition Purchaser, Inc. </w:t>
            </w:r>
            <w:r>
              <w:rPr>
                <w:rFonts w:ascii="Times New Roman" w:cs="Times New Roman" w:eastAsia="Times New Roman" w:hAnsi="Times New Roman"/>
                <w:sz w:val="16"/>
                <w:szCs w:val="16"/>
                <w:color w:val="auto"/>
                <w:vertAlign w:val="superscript"/>
              </w:rPr>
              <w:t>(3)</w:t>
            </w:r>
          </w:p>
        </w:tc>
        <w:tc>
          <w:tcPr>
            <w:tcW w:w="258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3"/>
                <w:szCs w:val="13"/>
                <w:color w:val="auto"/>
              </w:rPr>
              <w:t>First-lien holdco loan ($120,769 par, due</w:t>
            </w:r>
          </w:p>
        </w:tc>
        <w:tc>
          <w:tcPr>
            <w:tcW w:w="0" w:type="dxa"/>
            <w:vAlign w:val="bottom"/>
          </w:tcPr>
          <w:p>
            <w:pPr>
              <w:spacing w:after="0"/>
              <w:rPr>
                <w:sz w:val="1"/>
                <w:szCs w:val="1"/>
                <w:color w:val="auto"/>
              </w:rPr>
            </w:pPr>
          </w:p>
        </w:tc>
      </w:tr>
      <w:tr>
        <w:trPr>
          <w:trHeight w:val="135"/>
        </w:trPr>
        <w:tc>
          <w:tcPr>
            <w:tcW w:w="1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Crewline Buyer, Inc. </w:t>
            </w:r>
            <w:r>
              <w:rPr>
                <w:rFonts w:ascii="Times New Roman" w:cs="Times New Roman" w:eastAsia="Times New Roman" w:hAnsi="Times New Roman"/>
                <w:sz w:val="16"/>
                <w:szCs w:val="16"/>
                <w:color w:val="auto"/>
                <w:vertAlign w:val="superscript"/>
              </w:rPr>
              <w:t>(3)</w:t>
            </w:r>
          </w:p>
        </w:tc>
        <w:tc>
          <w:tcPr>
            <w:tcW w:w="25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10/2030)</w:t>
            </w:r>
          </w:p>
        </w:tc>
        <w:tc>
          <w:tcPr>
            <w:tcW w:w="0" w:type="dxa"/>
            <w:vAlign w:val="bottom"/>
          </w:tcPr>
          <w:p>
            <w:pPr>
              <w:spacing w:after="0"/>
              <w:rPr>
                <w:sz w:val="1"/>
                <w:szCs w:val="1"/>
                <w:color w:val="auto"/>
              </w:rPr>
            </w:pPr>
          </w:p>
        </w:tc>
      </w:tr>
      <w:tr>
        <w:trPr>
          <w:trHeight w:val="126"/>
        </w:trPr>
        <w:tc>
          <w:tcPr>
            <w:tcW w:w="1860" w:type="dxa"/>
            <w:vAlign w:val="bottom"/>
            <w:vMerge w:val="continue"/>
          </w:tcPr>
          <w:p>
            <w:pPr>
              <w:spacing w:after="0"/>
              <w:rPr>
                <w:sz w:val="10"/>
                <w:szCs w:val="10"/>
                <w:color w:val="auto"/>
              </w:rPr>
            </w:pPr>
          </w:p>
        </w:tc>
        <w:tc>
          <w:tcPr>
            <w:tcW w:w="258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3"/>
                <w:szCs w:val="13"/>
                <w:color w:val="auto"/>
              </w:rPr>
              <w:t>First-lien loan ($154,281 par, due 11/2030)</w:t>
            </w: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Dye &amp; Durham Corp. </w:t>
            </w:r>
            <w:r>
              <w:rPr>
                <w:rFonts w:ascii="Times New Roman" w:cs="Times New Roman" w:eastAsia="Times New Roman" w:hAnsi="Times New Roman"/>
                <w:sz w:val="15"/>
                <w:szCs w:val="15"/>
                <w:color w:val="auto"/>
                <w:vertAlign w:val="superscript"/>
              </w:rPr>
              <w:t>(3)(4)(12)</w:t>
            </w:r>
          </w:p>
        </w:tc>
        <w:tc>
          <w:tcPr>
            <w:tcW w:w="25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($955 par, due 4/2031)</w:t>
            </w:r>
          </w:p>
        </w:tc>
        <w:tc>
          <w:tcPr>
            <w:tcW w:w="0" w:type="dxa"/>
            <w:vAlign w:val="bottom"/>
          </w:tcPr>
          <w:p>
            <w:pPr>
              <w:spacing w:after="0"/>
              <w:rPr>
                <w:sz w:val="1"/>
                <w:szCs w:val="1"/>
                <w:color w:val="auto"/>
              </w:rPr>
            </w:pP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Elements Finco Limited </w:t>
            </w:r>
            <w:r>
              <w:rPr>
                <w:rFonts w:ascii="Times New Roman" w:cs="Times New Roman" w:eastAsia="Times New Roman" w:hAnsi="Times New Roman"/>
                <w:sz w:val="16"/>
                <w:szCs w:val="16"/>
                <w:color w:val="auto"/>
                <w:vertAlign w:val="superscript"/>
              </w:rPr>
              <w:t>(3)(4)</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($45,917 par, due 4/2031)</w:t>
            </w: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(GBP 115,946 par, due 4/2031)</w:t>
            </w: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Galileo Parent, Inc. </w:t>
            </w:r>
            <w:r>
              <w:rPr>
                <w:rFonts w:ascii="Times New Roman" w:cs="Times New Roman" w:eastAsia="Times New Roman" w:hAnsi="Times New Roman"/>
                <w:sz w:val="16"/>
                <w:szCs w:val="16"/>
                <w:color w:val="auto"/>
                <w:vertAlign w:val="superscript"/>
              </w:rPr>
              <w:t>(3)</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($149,549 par, due 5/2030)</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5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revolving loan ($10,769 par, due</w:t>
            </w:r>
          </w:p>
        </w:tc>
        <w:tc>
          <w:tcPr>
            <w:tcW w:w="0" w:type="dxa"/>
            <w:vAlign w:val="bottom"/>
          </w:tcPr>
          <w:p>
            <w:pPr>
              <w:spacing w:after="0"/>
              <w:rPr>
                <w:sz w:val="1"/>
                <w:szCs w:val="1"/>
                <w:color w:val="auto"/>
              </w:rPr>
            </w:pPr>
          </w:p>
        </w:tc>
      </w:tr>
      <w:tr>
        <w:trPr>
          <w:trHeight w:val="135"/>
        </w:trPr>
        <w:tc>
          <w:tcPr>
            <w:tcW w:w="1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Lynx BidCo </w:t>
            </w:r>
            <w:r>
              <w:rPr>
                <w:rFonts w:ascii="Times New Roman" w:cs="Times New Roman" w:eastAsia="Times New Roman" w:hAnsi="Times New Roman"/>
                <w:sz w:val="16"/>
                <w:szCs w:val="16"/>
                <w:color w:val="auto"/>
                <w:vertAlign w:val="superscript"/>
              </w:rPr>
              <w:t>(3)(4)</w:t>
            </w:r>
          </w:p>
        </w:tc>
        <w:tc>
          <w:tcPr>
            <w:tcW w:w="25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5/2030)</w:t>
            </w:r>
          </w:p>
        </w:tc>
        <w:tc>
          <w:tcPr>
            <w:tcW w:w="0" w:type="dxa"/>
            <w:vAlign w:val="bottom"/>
          </w:tcPr>
          <w:p>
            <w:pPr>
              <w:spacing w:after="0"/>
              <w:rPr>
                <w:sz w:val="1"/>
                <w:szCs w:val="1"/>
                <w:color w:val="auto"/>
              </w:rPr>
            </w:pPr>
          </w:p>
        </w:tc>
      </w:tr>
      <w:tr>
        <w:trPr>
          <w:trHeight w:val="209"/>
        </w:trPr>
        <w:tc>
          <w:tcPr>
            <w:tcW w:w="1860" w:type="dxa"/>
            <w:vAlign w:val="bottom"/>
            <w:vMerge w:val="continue"/>
          </w:tcPr>
          <w:p>
            <w:pPr>
              <w:spacing w:after="0"/>
              <w:rPr>
                <w:sz w:val="18"/>
                <w:szCs w:val="18"/>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($39,996 par, due 7/2031)</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(EUR 16,816 par, due 7/2031)</w:t>
            </w:r>
          </w:p>
        </w:tc>
        <w:tc>
          <w:tcPr>
            <w:tcW w:w="0" w:type="dxa"/>
            <w:vAlign w:val="bottom"/>
          </w:tcPr>
          <w:p>
            <w:pPr>
              <w:spacing w:after="0"/>
              <w:rPr>
                <w:sz w:val="1"/>
                <w:szCs w:val="1"/>
                <w:color w:val="auto"/>
              </w:rPr>
            </w:pPr>
          </w:p>
        </w:tc>
      </w:tr>
      <w:tr>
        <w:trPr>
          <w:trHeight w:val="31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6"/>
                <w:szCs w:val="16"/>
                <w:color w:val="auto"/>
                <w:vertAlign w:val="superscript"/>
              </w:rPr>
              <w:t>(3)(4)</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(EUR 910 par, due 10/2029)</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(EUR 910 par, due 10/2029)</w:t>
            </w: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USA DeBusk, LLC </w:t>
            </w:r>
            <w:r>
              <w:rPr>
                <w:rFonts w:ascii="Times New Roman" w:cs="Times New Roman" w:eastAsia="Times New Roman" w:hAnsi="Times New Roman"/>
                <w:sz w:val="16"/>
                <w:szCs w:val="16"/>
                <w:color w:val="auto"/>
                <w:vertAlign w:val="superscript"/>
              </w:rPr>
              <w:t>(3)</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First-lien loan ($103,491 par, due 4/2031)</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5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revolving loan ($4,122 par, due</w:t>
            </w:r>
          </w:p>
        </w:tc>
        <w:tc>
          <w:tcPr>
            <w:tcW w:w="0" w:type="dxa"/>
            <w:vAlign w:val="bottom"/>
          </w:tcPr>
          <w:p>
            <w:pPr>
              <w:spacing w:after="0"/>
              <w:rPr>
                <w:sz w:val="1"/>
                <w:szCs w:val="1"/>
                <w:color w:val="auto"/>
              </w:rPr>
            </w:pPr>
          </w:p>
        </w:tc>
      </w:tr>
      <w:tr>
        <w:trPr>
          <w:trHeight w:val="132"/>
        </w:trPr>
        <w:tc>
          <w:tcPr>
            <w:tcW w:w="1860" w:type="dxa"/>
            <w:vAlign w:val="bottom"/>
          </w:tcPr>
          <w:p>
            <w:pPr>
              <w:spacing w:after="0"/>
              <w:rPr>
                <w:sz w:val="11"/>
                <w:szCs w:val="11"/>
                <w:color w:val="auto"/>
              </w:rPr>
            </w:pPr>
          </w:p>
        </w:tc>
        <w:tc>
          <w:tcPr>
            <w:tcW w:w="258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3"/>
                <w:szCs w:val="13"/>
                <w:color w:val="auto"/>
              </w:rPr>
              <w:t>4/2030)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8"/>
              <w:spacing w:after="0" w:line="12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2"/>
              </w:rPr>
              <w:t xml:space="preserve">Fair Value </w:t>
            </w:r>
            <w:r>
              <w:rPr>
                <w:rFonts w:ascii="Times New Roman" w:cs="Times New Roman" w:eastAsia="Times New Roman" w:hAnsi="Times New Roman"/>
                <w:sz w:val="16"/>
                <w:szCs w:val="16"/>
                <w:b w:val="1"/>
                <w:bCs w:val="1"/>
                <w:color w:val="auto"/>
                <w:w w:val="92"/>
                <w:vertAlign w:val="superscript"/>
              </w:rPr>
              <w:t>(6)</w:t>
            </w:r>
          </w:p>
        </w:tc>
        <w:tc>
          <w:tcPr>
            <w:tcW w:w="200" w:type="dxa"/>
            <w:vAlign w:val="bottom"/>
          </w:tcPr>
          <w:p>
            <w:pPr>
              <w:spacing w:after="0"/>
              <w:rPr>
                <w:sz w:val="11"/>
                <w:szCs w:val="11"/>
                <w:color w:val="auto"/>
              </w:rPr>
            </w:pPr>
          </w:p>
        </w:tc>
        <w:tc>
          <w:tcPr>
            <w:tcW w:w="104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8"/>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 (7)</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3"/>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+ 5.75%</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277,851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281,792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241"/>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+ 7.00%</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11.39%</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112,663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114,848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+ 7.00%</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54,775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53,704</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51,863)</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3/19/2024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+ 6.50%</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10.86%</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210,194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212,562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4/18/2023</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+ 8.50%</w:t>
            </w:r>
          </w:p>
        </w:tc>
        <w:tc>
          <w:tcPr>
            <w:tcW w:w="2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13.13% PIK</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118,441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123,184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241"/>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11/8/2023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+ 6.75%</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11.11%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150,499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155,553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+ 4.10%</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8.43%</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964</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+ 4.97%</w:t>
            </w:r>
          </w:p>
        </w:tc>
        <w:tc>
          <w:tcPr>
            <w:tcW w:w="220" w:type="dxa"/>
            <w:vAlign w:val="bottom"/>
          </w:tcPr>
          <w:p>
            <w:pPr>
              <w:spacing w:after="0"/>
              <w:rPr>
                <w:sz w:val="11"/>
                <w:szCs w:val="11"/>
                <w:color w:val="auto"/>
              </w:rPr>
            </w:pPr>
          </w:p>
        </w:tc>
        <w:tc>
          <w:tcPr>
            <w:tcW w:w="14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9.33% (incl. 1.97%</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45,546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45,917</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 + 5.25%</w:t>
            </w:r>
          </w:p>
        </w:tc>
        <w:tc>
          <w:tcPr>
            <w:tcW w:w="220" w:type="dxa"/>
            <w:vAlign w:val="bottom"/>
          </w:tcPr>
          <w:p>
            <w:pPr>
              <w:spacing w:after="0"/>
              <w:rPr>
                <w:sz w:val="11"/>
                <w:szCs w:val="11"/>
                <w:color w:val="auto"/>
              </w:rPr>
            </w:pPr>
          </w:p>
        </w:tc>
        <w:tc>
          <w:tcPr>
            <w:tcW w:w="14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9.95% (incl. 2.25%</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144,105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145,210</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(GBP 115,946)</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10.08%</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146,131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149,549</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5/3/2023</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+ 5.75%</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10.08%</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241"/>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7/5/2024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+ 7.11%</w:t>
            </w: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11.75% (incl. 5.61%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38,963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39,182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+ 7.11%</w:t>
            </w:r>
          </w:p>
        </w:tc>
        <w:tc>
          <w:tcPr>
            <w:tcW w:w="220" w:type="dxa"/>
            <w:vAlign w:val="bottom"/>
          </w:tcPr>
          <w:p>
            <w:pPr>
              <w:spacing w:after="0"/>
              <w:rPr>
                <w:sz w:val="11"/>
                <w:szCs w:val="11"/>
                <w:color w:val="auto"/>
              </w:rPr>
            </w:pPr>
          </w:p>
        </w:tc>
        <w:tc>
          <w:tcPr>
            <w:tcW w:w="14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10.38% (incl. 5.61%</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17,822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17,196</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16,606)</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10/27/2023</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+ 7.00%</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10.06%</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947</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915)</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12/19/2024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+ 6.25%</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9.12%</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919</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887)</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9.62%</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101,829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103,491</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4/30/2024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+ 5.25%</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9.59%</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-2560955</wp:posOffset>
            </wp:positionV>
            <wp:extent cx="7132320" cy="93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-2381250</wp:posOffset>
            </wp:positionV>
            <wp:extent cx="7132320"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-2209800</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-1952625</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-1635125</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-1463675</wp:posOffset>
            </wp:positionV>
            <wp:extent cx="713232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-1120775</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-863600</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-520700</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-177800</wp:posOffset>
            </wp:positionV>
            <wp:extent cx="713232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440" w:space="100"/>
            <w:col w:w="6700"/>
          </w:cols>
          <w:pgMar w:left="320" w:top="996" w:right="339" w:bottom="1440" w:gutter="0" w:footer="0" w:header="0"/>
        </w:sectPr>
      </w:pPr>
    </w:p>
    <w:tbl>
      <w:tblPr>
        <w:tblLayout w:type="fixed"/>
        <w:tblInd w:w="0" w:type="dxa"/>
        <w:tblCellMar>
          <w:top w:w="0" w:type="dxa"/>
          <w:left w:w="0" w:type="dxa"/>
          <w:bottom w:w="0" w:type="dxa"/>
          <w:right w:w="0" w:type="dxa"/>
        </w:tblCellMar>
      </w:tblPr>
      <w:tr>
        <w:trPr>
          <w:trHeight w:val="21"/>
        </w:trPr>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5"/>
                <w:szCs w:val="15"/>
                <w:color w:val="auto"/>
                <w:vertAlign w:val="superscript"/>
              </w:rPr>
              <w:t>(3)</w:t>
            </w:r>
          </w:p>
        </w:tc>
        <w:tc>
          <w:tcPr>
            <w:tcW w:w="27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($123,938 par, due 9/2029)</w:t>
            </w:r>
          </w:p>
        </w:tc>
        <w:tc>
          <w:tcPr>
            <w:tcW w:w="88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080" w:type="dxa"/>
            <w:vAlign w:val="bottom"/>
            <w:shd w:val="clear" w:color="auto" w:fill="CFF0FC"/>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4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10.38%</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121,342</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125,501</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w:t>
            </w:r>
          </w:p>
        </w:tc>
      </w:tr>
      <w:tr>
        <w:trPr>
          <w:trHeight w:val="20"/>
        </w:trPr>
        <w:tc>
          <w:tcPr>
            <w:tcW w:w="188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28"/>
        </w:trPr>
        <w:tc>
          <w:tcPr>
            <w:tcW w:w="18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1,279,337</w:t>
            </w: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1,303,618</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32.3%</w:t>
            </w:r>
          </w:p>
        </w:tc>
      </w:tr>
      <w:tr>
        <w:trPr>
          <w:trHeight w:val="128"/>
        </w:trPr>
        <w:tc>
          <w:tcPr>
            <w:tcW w:w="18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Chemicals</w:t>
            </w:r>
          </w:p>
        </w:tc>
        <w:tc>
          <w:tcPr>
            <w:tcW w:w="27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Erling Lux Bidco SARL </w:t>
            </w:r>
            <w:r>
              <w:rPr>
                <w:rFonts w:ascii="Times New Roman" w:cs="Times New Roman" w:eastAsia="Times New Roman" w:hAnsi="Times New Roman"/>
                <w:sz w:val="13"/>
                <w:szCs w:val="13"/>
                <w:color w:val="auto"/>
                <w:vertAlign w:val="superscript"/>
              </w:rPr>
              <w:t>(3)(4)</w:t>
            </w: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7,239 par, due 9/2028)</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08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440" w:type="dxa"/>
            <w:vAlign w:val="bottom"/>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10.06%</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6,961</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7,650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0.3%</w:t>
            </w:r>
          </w:p>
        </w:tc>
      </w:tr>
      <w:tr>
        <w:trPr>
          <w:trHeight w:val="153"/>
        </w:trPr>
        <w:tc>
          <w:tcPr>
            <w:tcW w:w="18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7,388)</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80" w:type="dxa"/>
            <w:vAlign w:val="bottom"/>
            <w:shd w:val="clear" w:color="auto" w:fill="CFF0FC"/>
          </w:tcPr>
          <w:p>
            <w:pPr>
              <w:spacing w:after="0"/>
              <w:rPr>
                <w:sz w:val="10"/>
                <w:szCs w:val="10"/>
                <w:color w:val="auto"/>
              </w:rPr>
            </w:pP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19,592 par, due 9/2028)</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080" w:type="dxa"/>
            <w:vAlign w:val="bottom"/>
            <w:shd w:val="clear" w:color="auto" w:fill="CFF0FC"/>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S + 7.00%</w:t>
            </w:r>
          </w:p>
        </w:tc>
        <w:tc>
          <w:tcPr>
            <w:tcW w:w="1440" w:type="dxa"/>
            <w:vAlign w:val="bottom"/>
            <w:shd w:val="clear" w:color="auto" w:fill="CFF0FC"/>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11.70%</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23,039</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24,904</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0.6%</w:t>
            </w:r>
          </w:p>
        </w:tc>
      </w:tr>
      <w:tr>
        <w:trPr>
          <w:trHeight w:val="153"/>
        </w:trPr>
        <w:tc>
          <w:tcPr>
            <w:tcW w:w="188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19,885)</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80" w:type="dxa"/>
            <w:vAlign w:val="bottom"/>
          </w:tcPr>
          <w:p>
            <w:pPr>
              <w:spacing w:after="0"/>
              <w:rPr>
                <w:sz w:val="10"/>
                <w:szCs w:val="10"/>
                <w:color w:val="auto"/>
              </w:rPr>
            </w:pP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(NOK 7,427 par, due 9/2028)</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08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N + 7.00%</w:t>
            </w:r>
          </w:p>
        </w:tc>
        <w:tc>
          <w:tcPr>
            <w:tcW w:w="1440" w:type="dxa"/>
            <w:vAlign w:val="bottom"/>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11.69%</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711</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664</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8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(NOK 7,538)</w:t>
            </w:r>
          </w:p>
        </w:tc>
        <w:tc>
          <w:tcPr>
            <w:tcW w:w="2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9"/>
        </w:trPr>
        <w:tc>
          <w:tcPr>
            <w:tcW w:w="188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30,711</w:t>
            </w:r>
          </w:p>
        </w:tc>
        <w:tc>
          <w:tcPr>
            <w:tcW w:w="11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33,218</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0.9%</w:t>
            </w:r>
          </w:p>
        </w:tc>
      </w:tr>
      <w:tr>
        <w:trPr>
          <w:trHeight w:val="128"/>
        </w:trPr>
        <w:tc>
          <w:tcPr>
            <w:tcW w:w="18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Communications</w:t>
            </w:r>
          </w:p>
        </w:tc>
        <w:tc>
          <w:tcPr>
            <w:tcW w:w="272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144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Aurelia Netherlands MidCo 2 B.V.</w:t>
            </w:r>
          </w:p>
        </w:tc>
        <w:tc>
          <w:tcPr>
            <w:tcW w:w="272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(EUR 201,909 par, due 5/2031)</w:t>
            </w:r>
          </w:p>
        </w:tc>
        <w:tc>
          <w:tcPr>
            <w:tcW w:w="880" w:type="dxa"/>
            <w:vAlign w:val="bottom"/>
            <w:shd w:val="clear" w:color="auto" w:fill="CFF0FC"/>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5/22/2024</w:t>
            </w:r>
          </w:p>
        </w:tc>
        <w:tc>
          <w:tcPr>
            <w:tcW w:w="1080" w:type="dxa"/>
            <w:vAlign w:val="bottom"/>
            <w:shd w:val="clear" w:color="auto" w:fill="CFF0FC"/>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E + 5.75%</w:t>
            </w:r>
          </w:p>
        </w:tc>
        <w:tc>
          <w:tcPr>
            <w:tcW w:w="1440" w:type="dxa"/>
            <w:vAlign w:val="bottom"/>
            <w:shd w:val="clear" w:color="auto" w:fill="CFF0FC"/>
          </w:tcPr>
          <w:p>
            <w:pPr>
              <w:jc w:val="right"/>
              <w:ind w:right="58"/>
              <w:spacing w:after="0" w:line="108" w:lineRule="exact"/>
              <w:rPr>
                <w:sz w:val="20"/>
                <w:szCs w:val="20"/>
                <w:color w:val="auto"/>
              </w:rPr>
            </w:pPr>
            <w:r>
              <w:rPr>
                <w:rFonts w:ascii="Times New Roman" w:cs="Times New Roman" w:eastAsia="Times New Roman" w:hAnsi="Times New Roman"/>
                <w:sz w:val="12"/>
                <w:szCs w:val="12"/>
                <w:color w:val="auto"/>
              </w:rPr>
              <w:t>8.93%</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214,655</w:t>
            </w:r>
          </w:p>
        </w:tc>
        <w:tc>
          <w:tcPr>
            <w:tcW w:w="11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209,599</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5.2%</w:t>
            </w:r>
          </w:p>
        </w:tc>
      </w:tr>
      <w:tr>
        <w:trPr>
          <w:trHeight w:val="142"/>
        </w:trPr>
        <w:tc>
          <w:tcPr>
            <w:tcW w:w="1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(3)(4)</w:t>
            </w:r>
          </w:p>
        </w:tc>
        <w:tc>
          <w:tcPr>
            <w:tcW w:w="27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(EUR 202,414)</w:t>
            </w:r>
          </w:p>
        </w:tc>
        <w:tc>
          <w:tcPr>
            <w:tcW w:w="20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Babylon Finco Limited </w:t>
            </w:r>
            <w:r>
              <w:rPr>
                <w:rFonts w:ascii="Times New Roman" w:cs="Times New Roman" w:eastAsia="Times New Roman" w:hAnsi="Times New Roman"/>
                <w:sz w:val="15"/>
                <w:szCs w:val="15"/>
                <w:color w:val="auto"/>
                <w:vertAlign w:val="superscript"/>
              </w:rPr>
              <w:t>(3)(4)</w:t>
            </w:r>
          </w:p>
        </w:tc>
        <w:tc>
          <w:tcPr>
            <w:tcW w:w="27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($89,521 par, due 1/2031)</w:t>
            </w:r>
          </w:p>
        </w:tc>
        <w:tc>
          <w:tcPr>
            <w:tcW w:w="88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1/26/2024</w:t>
            </w:r>
          </w:p>
        </w:tc>
        <w:tc>
          <w:tcPr>
            <w:tcW w:w="1080" w:type="dxa"/>
            <w:vAlign w:val="bottom"/>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4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10.37%</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86,906</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89,521</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2.2%</w:t>
            </w: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 xml:space="preserve">Banyan Software Holdings, LLC </w:t>
            </w:r>
            <w:r>
              <w:rPr>
                <w:rFonts w:ascii="Times New Roman" w:cs="Times New Roman" w:eastAsia="Times New Roman" w:hAnsi="Times New Roman"/>
                <w:sz w:val="12"/>
                <w:szCs w:val="12"/>
                <w:color w:val="auto"/>
                <w:vertAlign w:val="superscript"/>
              </w:rPr>
              <w:t>(3)</w:t>
            </w:r>
          </w:p>
        </w:tc>
        <w:tc>
          <w:tcPr>
            <w:tcW w:w="272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($78,771 par, due 10/2026)</w:t>
            </w:r>
          </w:p>
        </w:tc>
        <w:tc>
          <w:tcPr>
            <w:tcW w:w="880" w:type="dxa"/>
            <w:vAlign w:val="bottom"/>
            <w:shd w:val="clear" w:color="auto" w:fill="CFF0FC"/>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1/27/2023</w:t>
            </w:r>
          </w:p>
        </w:tc>
        <w:tc>
          <w:tcPr>
            <w:tcW w:w="1080" w:type="dxa"/>
            <w:vAlign w:val="bottom"/>
            <w:shd w:val="clear" w:color="auto" w:fill="CFF0FC"/>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SOFR + 7.35%</w:t>
            </w:r>
          </w:p>
        </w:tc>
        <w:tc>
          <w:tcPr>
            <w:tcW w:w="1440" w:type="dxa"/>
            <w:vAlign w:val="bottom"/>
            <w:shd w:val="clear" w:color="auto" w:fill="CFF0FC"/>
          </w:tcPr>
          <w:p>
            <w:pPr>
              <w:jc w:val="right"/>
              <w:ind w:right="58"/>
              <w:spacing w:after="0" w:line="108" w:lineRule="exact"/>
              <w:rPr>
                <w:sz w:val="20"/>
                <w:szCs w:val="20"/>
                <w:color w:val="auto"/>
              </w:rPr>
            </w:pPr>
            <w:r>
              <w:rPr>
                <w:rFonts w:ascii="Times New Roman" w:cs="Times New Roman" w:eastAsia="Times New Roman" w:hAnsi="Times New Roman"/>
                <w:sz w:val="12"/>
                <w:szCs w:val="12"/>
                <w:color w:val="auto"/>
              </w:rPr>
              <w:t>11.71%</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77,563</w:t>
            </w:r>
          </w:p>
        </w:tc>
        <w:tc>
          <w:tcPr>
            <w:tcW w:w="11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80,347</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2.0%</w:t>
            </w:r>
          </w:p>
        </w:tc>
      </w:tr>
      <w:tr>
        <w:trPr>
          <w:trHeight w:val="122"/>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(4)</w:t>
            </w:r>
          </w:p>
        </w:tc>
        <w:tc>
          <w:tcPr>
            <w:tcW w:w="27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r>
      <w:tr>
        <w:trPr>
          <w:trHeight w:val="135"/>
        </w:trPr>
        <w:tc>
          <w:tcPr>
            <w:tcW w:w="1880" w:type="dxa"/>
            <w:vAlign w:val="bottom"/>
          </w:tcPr>
          <w:p>
            <w:pPr>
              <w:spacing w:after="0"/>
              <w:rPr>
                <w:sz w:val="11"/>
                <w:szCs w:val="11"/>
                <w:color w:val="auto"/>
              </w:rPr>
            </w:pPr>
          </w:p>
        </w:tc>
        <w:tc>
          <w:tcPr>
            <w:tcW w:w="27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($80,227 par, due 10/2026)</w:t>
            </w:r>
          </w:p>
        </w:tc>
        <w:tc>
          <w:tcPr>
            <w:tcW w:w="88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1/26/2024</w:t>
            </w:r>
          </w:p>
        </w:tc>
        <w:tc>
          <w:tcPr>
            <w:tcW w:w="1080" w:type="dxa"/>
            <w:vAlign w:val="bottom"/>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4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10.61%</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78,839</w:t>
            </w:r>
          </w:p>
        </w:tc>
        <w:tc>
          <w:tcPr>
            <w:tcW w:w="2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82,969</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w:t>
            </w:r>
          </w:p>
        </w:tc>
      </w:tr>
      <w:tr>
        <w:trPr>
          <w:trHeight w:val="20"/>
        </w:trPr>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188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457,963</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462,436</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11.5%</w:t>
            </w:r>
          </w:p>
        </w:tc>
      </w:tr>
      <w:tr>
        <w:trPr>
          <w:trHeight w:val="129"/>
        </w:trPr>
        <w:tc>
          <w:tcPr>
            <w:tcW w:w="18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272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144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5"/>
                <w:szCs w:val="15"/>
                <w:color w:val="auto"/>
                <w:vertAlign w:val="superscript"/>
              </w:rPr>
              <w:t>(3)(4)</w:t>
            </w:r>
          </w:p>
        </w:tc>
        <w:tc>
          <w:tcPr>
            <w:tcW w:w="27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($157,500 par, due 11/2030)</w:t>
            </w:r>
          </w:p>
        </w:tc>
        <w:tc>
          <w:tcPr>
            <w:tcW w:w="88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11/2/2023</w:t>
            </w:r>
          </w:p>
        </w:tc>
        <w:tc>
          <w:tcPr>
            <w:tcW w:w="1080" w:type="dxa"/>
            <w:vAlign w:val="bottom"/>
            <w:shd w:val="clear" w:color="auto" w:fill="CFF0FC"/>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4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10.66%</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153,281</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158,400</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3.9%</w:t>
            </w: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Severin Acquisition, LLC </w:t>
            </w:r>
            <w:r>
              <w:rPr>
                <w:rFonts w:ascii="Times New Roman" w:cs="Times New Roman" w:eastAsia="Times New Roman" w:hAnsi="Times New Roman"/>
                <w:sz w:val="13"/>
                <w:szCs w:val="13"/>
                <w:color w:val="auto"/>
                <w:vertAlign w:val="superscript"/>
              </w:rPr>
              <w:t>(3)</w:t>
            </w:r>
          </w:p>
        </w:tc>
        <w:tc>
          <w:tcPr>
            <w:tcW w:w="27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($216,386 par, due 10/2031)</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10/1/2024</w:t>
            </w:r>
          </w:p>
        </w:tc>
        <w:tc>
          <w:tcPr>
            <w:tcW w:w="108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9.36% (incl. 2.25%</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216,124</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216,386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5.4%</w:t>
            </w:r>
          </w:p>
        </w:tc>
      </w:tr>
      <w:tr>
        <w:trPr>
          <w:trHeight w:val="140"/>
        </w:trPr>
        <w:tc>
          <w:tcPr>
            <w:tcW w:w="1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jc w:val="right"/>
              <w:ind w:right="178"/>
              <w:spacing w:after="0" w:line="140" w:lineRule="exact"/>
              <w:rPr>
                <w:sz w:val="20"/>
                <w:szCs w:val="20"/>
                <w:color w:val="auto"/>
              </w:rPr>
            </w:pPr>
            <w:r>
              <w:rPr>
                <w:rFonts w:ascii="Times New Roman" w:cs="Times New Roman" w:eastAsia="Times New Roman" w:hAnsi="Times New Roman"/>
                <w:sz w:val="13"/>
                <w:szCs w:val="13"/>
                <w:color w:val="auto"/>
              </w:rPr>
              <w:t>PIK)</w:t>
            </w: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8"/>
        </w:trPr>
        <w:tc>
          <w:tcPr>
            <w:tcW w:w="188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369,405</w:t>
            </w:r>
          </w:p>
        </w:tc>
        <w:tc>
          <w:tcPr>
            <w:tcW w:w="11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374,786</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9.3%</w:t>
            </w:r>
          </w:p>
        </w:tc>
      </w:tr>
      <w:tr>
        <w:trPr>
          <w:trHeight w:val="129"/>
        </w:trPr>
        <w:tc>
          <w:tcPr>
            <w:tcW w:w="18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Electronics</w:t>
            </w:r>
          </w:p>
        </w:tc>
        <w:tc>
          <w:tcPr>
            <w:tcW w:w="272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144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Sapphire Software Buyer, Inc. </w:t>
            </w:r>
            <w:r>
              <w:rPr>
                <w:rFonts w:ascii="Times New Roman" w:cs="Times New Roman" w:eastAsia="Times New Roman" w:hAnsi="Times New Roman"/>
                <w:sz w:val="13"/>
                <w:szCs w:val="13"/>
                <w:color w:val="auto"/>
                <w:vertAlign w:val="superscript"/>
              </w:rPr>
              <w:t>(3)</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($224,683 par, due 9/2031)</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1080" w:type="dxa"/>
            <w:vAlign w:val="bottom"/>
            <w:shd w:val="clear" w:color="auto" w:fill="CFF0FC"/>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9.75% (incl. 3.0%</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222,271</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223,424</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5.5%</w:t>
            </w:r>
          </w:p>
        </w:tc>
      </w:tr>
      <w:tr>
        <w:trPr>
          <w:trHeight w:val="153"/>
        </w:trPr>
        <w:tc>
          <w:tcPr>
            <w:tcW w:w="188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Alaska Bidco Oy </w:t>
            </w:r>
            <w:r>
              <w:rPr>
                <w:rFonts w:ascii="Times New Roman" w:cs="Times New Roman" w:eastAsia="Times New Roman" w:hAnsi="Times New Roman"/>
                <w:sz w:val="13"/>
                <w:szCs w:val="13"/>
                <w:color w:val="auto"/>
                <w:vertAlign w:val="superscript"/>
              </w:rPr>
              <w:t>(3)(4)</w:t>
            </w:r>
          </w:p>
        </w:tc>
        <w:tc>
          <w:tcPr>
            <w:tcW w:w="27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5/30/2023</w:t>
            </w:r>
          </w:p>
        </w:tc>
        <w:tc>
          <w:tcPr>
            <w:tcW w:w="1080" w:type="dxa"/>
            <w:vAlign w:val="bottom"/>
            <w:shd w:val="clear" w:color="auto" w:fill="CFF0FC"/>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40" w:type="dxa"/>
            <w:vAlign w:val="bottom"/>
            <w:shd w:val="clear" w:color="auto" w:fill="CFF0FC"/>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8.51%</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759</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765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88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739)</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220"/>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BCTO Bluebill Buyer, Inc. </w:t>
            </w:r>
            <w:r>
              <w:rPr>
                <w:rFonts w:ascii="Times New Roman" w:cs="Times New Roman" w:eastAsia="Times New Roman" w:hAnsi="Times New Roman"/>
                <w:sz w:val="16"/>
                <w:szCs w:val="16"/>
                <w:color w:val="auto"/>
                <w:vertAlign w:val="superscript"/>
              </w:rPr>
              <w:t>(3)(5)</w:t>
            </w:r>
          </w:p>
        </w:tc>
        <w:tc>
          <w:tcPr>
            <w:tcW w:w="2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($7,656 par, due 7/2029)</w:t>
            </w: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7/20/2023</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SOFR + 6.25%</w:t>
            </w:r>
          </w:p>
        </w:tc>
        <w:tc>
          <w:tcPr>
            <w:tcW w:w="14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10.84%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7,733</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-2573655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-2573655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-2573655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-1776095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-1776095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-1776095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-1099185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-1099185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-1099185</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-661670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-661670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-661670</wp:posOffset>
            </wp:positionV>
            <wp:extent cx="857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
        </w:trPr>
        <w:tc>
          <w:tcPr>
            <w:tcW w:w="1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5"/>
        </w:trPr>
        <w:tc>
          <w:tcPr>
            <w:tcW w:w="1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BTRS Holdings, Inc. </w:t>
            </w:r>
            <w:r>
              <w:rPr>
                <w:rFonts w:ascii="Times New Roman" w:cs="Times New Roman" w:eastAsia="Times New Roman" w:hAnsi="Times New Roman"/>
                <w:sz w:val="15"/>
                <w:szCs w:val="15"/>
                <w:color w:val="auto"/>
                <w:vertAlign w:val="superscript"/>
              </w:rPr>
              <w:t>(3)</w:t>
            </w:r>
          </w:p>
        </w:tc>
        <w:tc>
          <w:tcPr>
            <w:tcW w:w="27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First-lien loan ($146,948 par, due 12/2028)</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12/16/2022</w:t>
            </w:r>
          </w:p>
        </w:tc>
        <w:tc>
          <w:tcPr>
            <w:tcW w:w="112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SOFR + 7.25%</w:t>
            </w:r>
          </w:p>
        </w:tc>
        <w:tc>
          <w:tcPr>
            <w:tcW w:w="14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11.61%</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144,062</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148,418</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3.7%</w:t>
            </w:r>
          </w:p>
        </w:tc>
      </w:tr>
      <w:tr>
        <w:trPr>
          <w:trHeight w:val="117"/>
        </w:trPr>
        <w:tc>
          <w:tcPr>
            <w:tcW w:w="1760" w:type="dxa"/>
            <w:vAlign w:val="bottom"/>
          </w:tcPr>
          <w:p>
            <w:pPr>
              <w:spacing w:after="0"/>
              <w:rPr>
                <w:sz w:val="10"/>
                <w:szCs w:val="10"/>
                <w:color w:val="auto"/>
              </w:rPr>
            </w:pPr>
          </w:p>
        </w:tc>
        <w:tc>
          <w:tcPr>
            <w:tcW w:w="276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First-lien revolving loan ($5,422 par, due</w:t>
            </w:r>
          </w:p>
        </w:tc>
        <w:tc>
          <w:tcPr>
            <w:tcW w:w="9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12/16/2022</w:t>
            </w:r>
          </w:p>
        </w:tc>
        <w:tc>
          <w:tcPr>
            <w:tcW w:w="112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SOFR + 7.25%</w:t>
            </w:r>
          </w:p>
        </w:tc>
        <w:tc>
          <w:tcPr>
            <w:tcW w:w="142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11.76%</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5,136</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5,566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1760" w:type="dxa"/>
            <w:vAlign w:val="bottom"/>
          </w:tcPr>
          <w:p>
            <w:pPr>
              <w:spacing w:after="0"/>
              <w:rPr>
                <w:sz w:val="13"/>
                <w:szCs w:val="13"/>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12/2028)</w:t>
            </w: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CLGF HoldCo 2, LLC </w:t>
            </w:r>
            <w:r>
              <w:rPr>
                <w:rFonts w:ascii="Times New Roman" w:cs="Times New Roman" w:eastAsia="Times New Roman" w:hAnsi="Times New Roman"/>
                <w:sz w:val="15"/>
                <w:szCs w:val="15"/>
                <w:color w:val="auto"/>
                <w:vertAlign w:val="superscript"/>
              </w:rPr>
              <w:t>(3)(4)</w:t>
            </w:r>
          </w:p>
        </w:tc>
        <w:tc>
          <w:tcPr>
            <w:tcW w:w="27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First-lien loan ($97,902 par, due 11/2027)</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12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SOFR + 8.50%</w:t>
            </w:r>
          </w:p>
        </w:tc>
        <w:tc>
          <w:tcPr>
            <w:tcW w:w="14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12.83%</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96,512</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98,147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w:t>
            </w:r>
          </w:p>
        </w:tc>
      </w:tr>
      <w:tr>
        <w:trPr>
          <w:trHeight w:val="135"/>
        </w:trPr>
        <w:tc>
          <w:tcPr>
            <w:tcW w:w="1760" w:type="dxa"/>
            <w:vAlign w:val="bottom"/>
          </w:tcPr>
          <w:p>
            <w:pPr>
              <w:spacing w:after="0"/>
              <w:rPr>
                <w:sz w:val="11"/>
                <w:szCs w:val="11"/>
                <w:color w:val="auto"/>
              </w:rPr>
            </w:pPr>
          </w:p>
        </w:tc>
        <w:tc>
          <w:tcPr>
            <w:tcW w:w="27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Second-lien loan ($83,916 par, due 11/2028)</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12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SOFR + 12.00%</w:t>
            </w:r>
          </w:p>
        </w:tc>
        <w:tc>
          <w:tcPr>
            <w:tcW w:w="14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16.33%</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78,758</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83,916</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w:t>
            </w:r>
          </w:p>
        </w:tc>
      </w:tr>
      <w:tr>
        <w:trPr>
          <w:trHeight w:val="135"/>
        </w:trPr>
        <w:tc>
          <w:tcPr>
            <w:tcW w:w="1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Fullsteam Operations LLC </w:t>
            </w:r>
            <w:r>
              <w:rPr>
                <w:rFonts w:ascii="Times New Roman" w:cs="Times New Roman" w:eastAsia="Times New Roman" w:hAnsi="Times New Roman"/>
                <w:sz w:val="15"/>
                <w:szCs w:val="15"/>
                <w:color w:val="auto"/>
                <w:vertAlign w:val="superscript"/>
              </w:rPr>
              <w:t>(3)</w:t>
            </w:r>
          </w:p>
        </w:tc>
        <w:tc>
          <w:tcPr>
            <w:tcW w:w="27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First-lien loan ($97,412 par, due 11/2029)</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11/27/2023</w:t>
            </w:r>
          </w:p>
        </w:tc>
        <w:tc>
          <w:tcPr>
            <w:tcW w:w="112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SOFR + 8.38%</w:t>
            </w:r>
          </w:p>
        </w:tc>
        <w:tc>
          <w:tcPr>
            <w:tcW w:w="14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12.89%</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94,446</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98,367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w:t>
            </w:r>
          </w:p>
        </w:tc>
      </w:tr>
      <w:tr>
        <w:trPr>
          <w:trHeight w:val="117"/>
        </w:trPr>
        <w:tc>
          <w:tcPr>
            <w:tcW w:w="17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GreenShoot BidCo B.V. </w:t>
            </w:r>
            <w:r>
              <w:rPr>
                <w:rFonts w:ascii="Times New Roman" w:cs="Times New Roman" w:eastAsia="Times New Roman" w:hAnsi="Times New Roman"/>
                <w:sz w:val="13"/>
                <w:szCs w:val="13"/>
                <w:color w:val="auto"/>
                <w:vertAlign w:val="superscript"/>
              </w:rPr>
              <w:t>(3)(4)</w:t>
            </w:r>
          </w:p>
        </w:tc>
        <w:tc>
          <w:tcPr>
            <w:tcW w:w="276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First-lien loan (EUR 5,107 par, due 5/2030)</w:t>
            </w:r>
          </w:p>
        </w:tc>
        <w:tc>
          <w:tcPr>
            <w:tcW w:w="9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5/28/2024</w:t>
            </w:r>
          </w:p>
        </w:tc>
        <w:tc>
          <w:tcPr>
            <w:tcW w:w="112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2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8.66%</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5,413</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5,246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5,066)</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Volante Technologies, Inc.</w:t>
            </w:r>
          </w:p>
        </w:tc>
        <w:tc>
          <w:tcPr>
            <w:tcW w:w="27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First-lien loan ($3,072 par, due 9/2028)</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9/29/2023</w:t>
            </w:r>
          </w:p>
        </w:tc>
        <w:tc>
          <w:tcPr>
            <w:tcW w:w="11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16.50%</w:t>
            </w:r>
          </w:p>
        </w:tc>
        <w:tc>
          <w:tcPr>
            <w:tcW w:w="142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16.50% PIK</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3,063</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3,141</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20"/>
        </w:trPr>
        <w:tc>
          <w:tcPr>
            <w:tcW w:w="176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29"/>
        </w:trPr>
        <w:tc>
          <w:tcPr>
            <w:tcW w:w="17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435,584</w:t>
            </w: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451,299</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11.1%</w:t>
            </w:r>
          </w:p>
        </w:tc>
      </w:tr>
      <w:tr>
        <w:trPr>
          <w:trHeight w:val="128"/>
        </w:trPr>
        <w:tc>
          <w:tcPr>
            <w:tcW w:w="17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7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7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Edge Bidco B.V </w:t>
            </w:r>
            <w:r>
              <w:rPr>
                <w:rFonts w:ascii="Times New Roman" w:cs="Times New Roman" w:eastAsia="Times New Roman" w:hAnsi="Times New Roman"/>
                <w:sz w:val="13"/>
                <w:szCs w:val="13"/>
                <w:color w:val="auto"/>
                <w:vertAlign w:val="superscript"/>
              </w:rPr>
              <w:t>(3)(4)(5)</w:t>
            </w:r>
          </w:p>
        </w:tc>
        <w:tc>
          <w:tcPr>
            <w:tcW w:w="276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First-lien loan (EUR 5,947 par, due 2/2029)</w:t>
            </w:r>
          </w:p>
        </w:tc>
        <w:tc>
          <w:tcPr>
            <w:tcW w:w="9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2/24/2023</w:t>
            </w:r>
          </w:p>
        </w:tc>
        <w:tc>
          <w:tcPr>
            <w:tcW w:w="112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E + 6.75%</w:t>
            </w:r>
          </w:p>
        </w:tc>
        <w:tc>
          <w:tcPr>
            <w:tcW w:w="142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9.43%</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6,219</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6,284</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6,068)</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Eventus Buyer, LLC </w:t>
            </w:r>
            <w:r>
              <w:rPr>
                <w:rFonts w:ascii="Times New Roman" w:cs="Times New Roman" w:eastAsia="Times New Roman" w:hAnsi="Times New Roman"/>
                <w:sz w:val="15"/>
                <w:szCs w:val="15"/>
                <w:color w:val="auto"/>
                <w:vertAlign w:val="superscript"/>
              </w:rPr>
              <w:t>(3)</w:t>
            </w:r>
          </w:p>
        </w:tc>
        <w:tc>
          <w:tcPr>
            <w:tcW w:w="27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First-lien loan ($48,470 par, due 11/2030)</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11/1/2024</w:t>
            </w:r>
          </w:p>
        </w:tc>
        <w:tc>
          <w:tcPr>
            <w:tcW w:w="112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4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9.86%</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47,668</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47,854</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w:t>
            </w:r>
          </w:p>
        </w:tc>
      </w:tr>
      <w:tr>
        <w:trPr>
          <w:trHeight w:val="117"/>
        </w:trPr>
        <w:tc>
          <w:tcPr>
            <w:tcW w:w="1760" w:type="dxa"/>
            <w:vAlign w:val="bottom"/>
          </w:tcPr>
          <w:p>
            <w:pPr>
              <w:spacing w:after="0"/>
              <w:rPr>
                <w:sz w:val="10"/>
                <w:szCs w:val="10"/>
                <w:color w:val="auto"/>
              </w:rPr>
            </w:pPr>
          </w:p>
        </w:tc>
        <w:tc>
          <w:tcPr>
            <w:tcW w:w="276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First-lien revolving loan ($873 par, due</w:t>
            </w:r>
          </w:p>
        </w:tc>
        <w:tc>
          <w:tcPr>
            <w:tcW w:w="9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11/1/2024</w:t>
            </w:r>
          </w:p>
        </w:tc>
        <w:tc>
          <w:tcPr>
            <w:tcW w:w="112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SOFR + 5.50%</w:t>
            </w:r>
          </w:p>
        </w:tc>
        <w:tc>
          <w:tcPr>
            <w:tcW w:w="142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10.03%</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778</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808</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760" w:type="dxa"/>
            <w:vAlign w:val="bottom"/>
          </w:tcPr>
          <w:p>
            <w:pPr>
              <w:spacing w:after="0"/>
              <w:rPr>
                <w:sz w:val="13"/>
                <w:szCs w:val="13"/>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11/2030)</w:t>
            </w: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5"/>
                <w:szCs w:val="15"/>
                <w:color w:val="auto"/>
                <w:vertAlign w:val="superscript"/>
              </w:rPr>
              <w:t>(3)(5)</w:t>
            </w:r>
          </w:p>
        </w:tc>
        <w:tc>
          <w:tcPr>
            <w:tcW w:w="27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First-lien loan ($114,842 par, due 3/2029)</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12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4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10.61%</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112,062</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116,332</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2.9%</w:t>
            </w:r>
          </w:p>
        </w:tc>
      </w:tr>
      <w:tr>
        <w:trPr>
          <w:trHeight w:val="135"/>
        </w:trPr>
        <w:tc>
          <w:tcPr>
            <w:tcW w:w="17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SL Buyer Corp. </w:t>
            </w:r>
            <w:r>
              <w:rPr>
                <w:rFonts w:ascii="Times New Roman" w:cs="Times New Roman" w:eastAsia="Times New Roman" w:hAnsi="Times New Roman"/>
                <w:sz w:val="15"/>
                <w:szCs w:val="15"/>
                <w:color w:val="auto"/>
                <w:vertAlign w:val="superscript"/>
              </w:rPr>
              <w:t>(3)(5)</w:t>
            </w:r>
          </w:p>
        </w:tc>
        <w:tc>
          <w:tcPr>
            <w:tcW w:w="27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First-lien loan ($3,742 par, due 7/2029)</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12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SOFR + 7.75%</w:t>
            </w:r>
          </w:p>
        </w:tc>
        <w:tc>
          <w:tcPr>
            <w:tcW w:w="14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12.34%</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3,613</w:t>
            </w:r>
          </w:p>
        </w:tc>
        <w:tc>
          <w:tcPr>
            <w:tcW w:w="2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3,719</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20"/>
        </w:trPr>
        <w:tc>
          <w:tcPr>
            <w:tcW w:w="1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1760" w:type="dxa"/>
            <w:vAlign w:val="bottom"/>
            <w:shd w:val="clear" w:color="auto" w:fill="CFF0FC"/>
          </w:tcPr>
          <w:p>
            <w:pPr>
              <w:spacing w:after="0"/>
              <w:rPr>
                <w:sz w:val="11"/>
                <w:szCs w:val="11"/>
                <w:color w:val="auto"/>
              </w:rPr>
            </w:pPr>
          </w:p>
        </w:tc>
        <w:tc>
          <w:tcPr>
            <w:tcW w:w="27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170,340</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174,997</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4.4%</w:t>
            </w:r>
          </w:p>
        </w:tc>
      </w:tr>
      <w:tr>
        <w:trPr>
          <w:trHeight w:val="128"/>
        </w:trPr>
        <w:tc>
          <w:tcPr>
            <w:tcW w:w="17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760" w:type="dxa"/>
            <w:vAlign w:val="bottom"/>
            <w:tcBorders>
              <w:top w:val="single" w:sz="8" w:color="CFF0FC"/>
            </w:tcBorders>
          </w:tcPr>
          <w:p>
            <w:pPr>
              <w:spacing w:after="0"/>
              <w:rPr>
                <w:sz w:val="11"/>
                <w:szCs w:val="11"/>
                <w:color w:val="auto"/>
              </w:rPr>
            </w:pPr>
          </w:p>
        </w:tc>
        <w:tc>
          <w:tcPr>
            <w:tcW w:w="9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4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17"/>
        </w:trPr>
        <w:tc>
          <w:tcPr>
            <w:tcW w:w="17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AVSC Holding Corp. </w:t>
            </w:r>
            <w:r>
              <w:rPr>
                <w:rFonts w:ascii="Times New Roman" w:cs="Times New Roman" w:eastAsia="Times New Roman" w:hAnsi="Times New Roman"/>
                <w:sz w:val="13"/>
                <w:szCs w:val="13"/>
                <w:color w:val="auto"/>
                <w:vertAlign w:val="superscript"/>
              </w:rPr>
              <w:t>(3)</w:t>
            </w:r>
          </w:p>
        </w:tc>
        <w:tc>
          <w:tcPr>
            <w:tcW w:w="2760" w:type="dxa"/>
            <w:vAlign w:val="bottom"/>
            <w:shd w:val="clear" w:color="auto" w:fill="CFF0FC"/>
          </w:tcPr>
          <w:p>
            <w:pPr>
              <w:ind w:left="200"/>
              <w:spacing w:after="0" w:line="117" w:lineRule="exact"/>
              <w:rPr>
                <w:sz w:val="20"/>
                <w:szCs w:val="20"/>
                <w:color w:val="auto"/>
              </w:rPr>
            </w:pPr>
            <w:r>
              <w:rPr>
                <w:rFonts w:ascii="Times New Roman" w:cs="Times New Roman" w:eastAsia="Times New Roman" w:hAnsi="Times New Roman"/>
                <w:sz w:val="13"/>
                <w:szCs w:val="13"/>
                <w:color w:val="auto"/>
              </w:rPr>
              <w:t>First-lien loan ($316,171 par, due 12/2031)</w:t>
            </w:r>
          </w:p>
        </w:tc>
        <w:tc>
          <w:tcPr>
            <w:tcW w:w="9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12/5/2024</w:t>
            </w:r>
          </w:p>
        </w:tc>
        <w:tc>
          <w:tcPr>
            <w:tcW w:w="112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2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9.36%</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309,228</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310,046</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7.7%</w:t>
            </w:r>
          </w:p>
        </w:tc>
      </w:tr>
      <w:tr>
        <w:trPr>
          <w:trHeight w:val="153"/>
        </w:trPr>
        <w:tc>
          <w:tcPr>
            <w:tcW w:w="1760" w:type="dxa"/>
            <w:vAlign w:val="bottom"/>
            <w:shd w:val="clear" w:color="auto" w:fill="CFF0FC"/>
          </w:tcPr>
          <w:p>
            <w:pPr>
              <w:spacing w:after="0"/>
              <w:rPr>
                <w:sz w:val="13"/>
                <w:szCs w:val="13"/>
                <w:color w:val="auto"/>
              </w:rPr>
            </w:pPr>
          </w:p>
        </w:tc>
        <w:tc>
          <w:tcPr>
            <w:tcW w:w="27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5.00%</w:t>
            </w:r>
          </w:p>
        </w:tc>
        <w:tc>
          <w:tcPr>
            <w:tcW w:w="14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7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Equinox Holdings, Inc.</w:t>
            </w:r>
          </w:p>
        </w:tc>
        <w:tc>
          <w:tcPr>
            <w:tcW w:w="2760" w:type="dxa"/>
            <w:vAlign w:val="bottom"/>
          </w:tcPr>
          <w:p>
            <w:pPr>
              <w:ind w:left="200"/>
              <w:spacing w:after="0" w:line="117" w:lineRule="exact"/>
              <w:rPr>
                <w:sz w:val="20"/>
                <w:szCs w:val="20"/>
                <w:color w:val="auto"/>
              </w:rPr>
            </w:pPr>
            <w:r>
              <w:rPr>
                <w:rFonts w:ascii="Times New Roman" w:cs="Times New Roman" w:eastAsia="Times New Roman" w:hAnsi="Times New Roman"/>
                <w:sz w:val="10"/>
                <w:szCs w:val="10"/>
                <w:color w:val="auto"/>
              </w:rPr>
              <w:t xml:space="preserve">First-lien loan ($198,362 par, due 3/2029) </w:t>
            </w:r>
            <w:r>
              <w:rPr>
                <w:rFonts w:ascii="Times New Roman" w:cs="Times New Roman" w:eastAsia="Times New Roman" w:hAnsi="Times New Roman"/>
                <w:sz w:val="13"/>
                <w:szCs w:val="13"/>
                <w:color w:val="auto"/>
                <w:vertAlign w:val="superscript"/>
              </w:rPr>
              <w:t>(3)</w:t>
            </w:r>
          </w:p>
        </w:tc>
        <w:tc>
          <w:tcPr>
            <w:tcW w:w="9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3/8/2024</w:t>
            </w:r>
          </w:p>
        </w:tc>
        <w:tc>
          <w:tcPr>
            <w:tcW w:w="112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SOFR + 8.25%</w:t>
            </w:r>
          </w:p>
        </w:tc>
        <w:tc>
          <w:tcPr>
            <w:tcW w:w="1420" w:type="dxa"/>
            <w:vAlign w:val="bottom"/>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12.58% (incl. 4.13%</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195,737</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198,858</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4.9%</w:t>
            </w:r>
          </w:p>
        </w:tc>
      </w:tr>
      <w:tr>
        <w:trPr>
          <w:trHeight w:val="153"/>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spacing w:after="0"/>
              <w:rPr>
                <w:sz w:val="11"/>
                <w:szCs w:val="11"/>
                <w:color w:val="auto"/>
              </w:rPr>
            </w:pPr>
          </w:p>
        </w:tc>
        <w:tc>
          <w:tcPr>
            <w:tcW w:w="27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Second-lien loan ($9,388 par, due 6/2027)</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3/13/2024</w:t>
            </w:r>
          </w:p>
        </w:tc>
        <w:tc>
          <w:tcPr>
            <w:tcW w:w="11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16.00%</w:t>
            </w:r>
          </w:p>
        </w:tc>
        <w:tc>
          <w:tcPr>
            <w:tcW w:w="142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16.00% PIK</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9,191</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9,553</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17"/>
        </w:trPr>
        <w:tc>
          <w:tcPr>
            <w:tcW w:w="17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QSR Acquisition Co. </w:t>
            </w:r>
            <w:r>
              <w:rPr>
                <w:rFonts w:ascii="Times New Roman" w:cs="Times New Roman" w:eastAsia="Times New Roman" w:hAnsi="Times New Roman"/>
                <w:sz w:val="13"/>
                <w:szCs w:val="13"/>
                <w:color w:val="auto"/>
                <w:vertAlign w:val="superscript"/>
              </w:rPr>
              <w:t>(3)(5)</w:t>
            </w:r>
          </w:p>
        </w:tc>
        <w:tc>
          <w:tcPr>
            <w:tcW w:w="276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First-lien loan ($10,000 par, due 10/2030)</w:t>
            </w:r>
          </w:p>
        </w:tc>
        <w:tc>
          <w:tcPr>
            <w:tcW w:w="9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10/31/2024</w:t>
            </w:r>
          </w:p>
        </w:tc>
        <w:tc>
          <w:tcPr>
            <w:tcW w:w="112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2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9.84%</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9,820</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9,850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5.25%</w:t>
            </w: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7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Sport Alliance GmbH </w:t>
            </w:r>
            <w:r>
              <w:rPr>
                <w:rFonts w:ascii="Times New Roman" w:cs="Times New Roman" w:eastAsia="Times New Roman" w:hAnsi="Times New Roman"/>
                <w:sz w:val="13"/>
                <w:szCs w:val="13"/>
                <w:color w:val="auto"/>
                <w:vertAlign w:val="superscript"/>
              </w:rPr>
              <w:t>(3)(4)</w:t>
            </w:r>
          </w:p>
        </w:tc>
        <w:tc>
          <w:tcPr>
            <w:tcW w:w="2760" w:type="dxa"/>
            <w:vAlign w:val="bottom"/>
            <w:shd w:val="clear" w:color="auto" w:fill="CFF0FC"/>
          </w:tcPr>
          <w:p>
            <w:pPr>
              <w:ind w:left="200"/>
              <w:spacing w:after="0" w:line="117" w:lineRule="exact"/>
              <w:rPr>
                <w:sz w:val="20"/>
                <w:szCs w:val="20"/>
                <w:color w:val="auto"/>
              </w:rPr>
            </w:pPr>
            <w:r>
              <w:rPr>
                <w:rFonts w:ascii="Times New Roman" w:cs="Times New Roman" w:eastAsia="Times New Roman" w:hAnsi="Times New Roman"/>
                <w:sz w:val="13"/>
                <w:szCs w:val="13"/>
                <w:color w:val="auto"/>
              </w:rPr>
              <w:t>First-lien loan (EUR 4,494 par, due 4/2030)</w:t>
            </w:r>
          </w:p>
        </w:tc>
        <w:tc>
          <w:tcPr>
            <w:tcW w:w="9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4/10/2024</w:t>
            </w:r>
          </w:p>
        </w:tc>
        <w:tc>
          <w:tcPr>
            <w:tcW w:w="1120" w:type="dxa"/>
            <w:vAlign w:val="bottom"/>
            <w:shd w:val="clear" w:color="auto" w:fill="CFF0FC"/>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420" w:type="dxa"/>
            <w:vAlign w:val="bottom"/>
            <w:shd w:val="clear" w:color="auto" w:fill="CFF0FC"/>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10.15% (incl. 3.88%</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4,712</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4,601</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1760" w:type="dxa"/>
            <w:vAlign w:val="bottom"/>
            <w:tcBorders>
              <w:bottom w:val="single" w:sz="8" w:color="CFF0FC"/>
            </w:tcBorders>
            <w:shd w:val="clear" w:color="auto" w:fill="CFF0FC"/>
          </w:tcPr>
          <w:p>
            <w:pPr>
              <w:spacing w:after="0"/>
              <w:rPr>
                <w:sz w:val="13"/>
                <w:szCs w:val="13"/>
                <w:color w:val="auto"/>
              </w:rPr>
            </w:pPr>
          </w:p>
        </w:tc>
        <w:tc>
          <w:tcPr>
            <w:tcW w:w="276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1420" w:type="dxa"/>
            <w:vAlign w:val="bottom"/>
            <w:tcBorders>
              <w:bottom w:val="single" w:sz="8" w:color="CFF0FC"/>
            </w:tcBorders>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4,443)</w:t>
            </w: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r>
      <w:tr>
        <w:trPr>
          <w:trHeight w:val="138"/>
        </w:trPr>
        <w:tc>
          <w:tcPr>
            <w:tcW w:w="17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528,688</w:t>
            </w:r>
          </w:p>
        </w:tc>
        <w:tc>
          <w:tcPr>
            <w:tcW w:w="11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532,908</w:t>
            </w:r>
          </w:p>
        </w:tc>
        <w:tc>
          <w:tcPr>
            <w:tcW w:w="126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-1848485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-1848485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-1848485</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-965200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-965200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-965200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-99695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-99695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-99695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-5080</wp:posOffset>
            </wp:positionV>
            <wp:extent cx="19716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p>
      <w:pPr>
        <w:spacing w:after="0" w:line="216" w:lineRule="auto"/>
        <w:rPr>
          <w:sz w:val="20"/>
          <w:szCs w:val="20"/>
          <w:color w:val="auto"/>
        </w:rPr>
      </w:pPr>
      <w:r>
        <w:rPr>
          <w:rFonts w:ascii="Times New Roman" w:cs="Times New Roman" w:eastAsia="Times New Roman" w:hAnsi="Times New Roman"/>
          <w:sz w:val="13"/>
          <w:szCs w:val="13"/>
          <w:b w:val="1"/>
          <w:bCs w:val="1"/>
          <w:color w:val="auto"/>
        </w:rPr>
        <w:t>Human Resource Support</w:t>
      </w:r>
    </w:p>
    <w:p>
      <w:pPr>
        <w:spacing w:after="0" w:line="190" w:lineRule="auto"/>
        <w:rPr>
          <w:sz w:val="20"/>
          <w:szCs w:val="20"/>
          <w:color w:val="auto"/>
        </w:rPr>
      </w:pPr>
      <w:r>
        <w:rPr>
          <w:rFonts w:ascii="Times New Roman" w:cs="Times New Roman" w:eastAsia="Times New Roman" w:hAnsi="Times New Roman"/>
          <w:sz w:val="13"/>
          <w:szCs w:val="13"/>
          <w:b w:val="1"/>
          <w:bCs w:val="1"/>
          <w:color w:val="auto"/>
        </w:rPr>
        <w:t>Services</w:t>
      </w:r>
    </w:p>
    <w:p>
      <w:pPr>
        <w:spacing w:after="0" w:line="229" w:lineRule="auto"/>
        <w:tabs>
          <w:tab w:leader="none" w:pos="1940" w:val="left"/>
        </w:tabs>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(3)(5)</w:t>
      </w:r>
      <w:r>
        <w:rPr>
          <w:sz w:val="20"/>
          <w:szCs w:val="20"/>
          <w:color w:val="auto"/>
        </w:rPr>
        <w:tab/>
      </w:r>
      <w:r>
        <w:rPr>
          <w:rFonts w:ascii="Times New Roman" w:cs="Times New Roman" w:eastAsia="Times New Roman" w:hAnsi="Times New Roman"/>
          <w:sz w:val="12"/>
          <w:szCs w:val="12"/>
          <w:color w:val="auto"/>
        </w:rPr>
        <w:t>First-lien loan ($139,546 par, due 11/2028)</w:t>
      </w:r>
    </w:p>
    <w:p>
      <w:pPr>
        <w:spacing w:after="0"/>
        <w:tabs>
          <w:tab w:leader="none" w:pos="1940" w:val="left"/>
        </w:tabs>
        <w:rPr>
          <w:sz w:val="20"/>
          <w:szCs w:val="20"/>
          <w:color w:val="auto"/>
        </w:rPr>
      </w:pPr>
      <w:r>
        <w:rPr>
          <w:rFonts w:ascii="Times New Roman" w:cs="Times New Roman" w:eastAsia="Times New Roman" w:hAnsi="Times New Roman"/>
          <w:sz w:val="13"/>
          <w:szCs w:val="13"/>
          <w:color w:val="auto"/>
        </w:rPr>
        <w:t xml:space="preserve">HireVue, Inc. </w:t>
      </w:r>
      <w:r>
        <w:rPr>
          <w:rFonts w:ascii="Times New Roman" w:cs="Times New Roman" w:eastAsia="Times New Roman" w:hAnsi="Times New Roman"/>
          <w:sz w:val="16"/>
          <w:szCs w:val="16"/>
          <w:color w:val="auto"/>
          <w:vertAlign w:val="superscript"/>
        </w:rPr>
        <w:t>(3)</w:t>
      </w:r>
      <w:r>
        <w:rPr>
          <w:sz w:val="20"/>
          <w:szCs w:val="20"/>
          <w:color w:val="auto"/>
        </w:rPr>
        <w:tab/>
      </w:r>
      <w:r>
        <w:rPr>
          <w:rFonts w:ascii="Times New Roman" w:cs="Times New Roman" w:eastAsia="Times New Roman" w:hAnsi="Times New Roman"/>
          <w:sz w:val="12"/>
          <w:szCs w:val="12"/>
          <w:color w:val="auto"/>
        </w:rPr>
        <w:t>First-lien loan ($109,778 par, due 5/2029)</w:t>
      </w:r>
    </w:p>
    <w:p>
      <w:pPr>
        <w:ind w:left="1960"/>
        <w:spacing w:after="0" w:line="217" w:lineRule="auto"/>
        <w:rPr>
          <w:sz w:val="20"/>
          <w:szCs w:val="20"/>
          <w:color w:val="auto"/>
        </w:rPr>
      </w:pPr>
      <w:r>
        <w:rPr>
          <w:rFonts w:ascii="Times New Roman" w:cs="Times New Roman" w:eastAsia="Times New Roman" w:hAnsi="Times New Roman"/>
          <w:sz w:val="13"/>
          <w:szCs w:val="13"/>
          <w:color w:val="auto"/>
        </w:rPr>
        <w:t>First-lien revolving loan ($8,972 par, due</w:t>
      </w:r>
    </w:p>
    <w:p>
      <w:pPr>
        <w:ind w:left="1960"/>
        <w:spacing w:after="0" w:line="189" w:lineRule="auto"/>
        <w:rPr>
          <w:sz w:val="20"/>
          <w:szCs w:val="20"/>
          <w:color w:val="auto"/>
        </w:rPr>
      </w:pPr>
      <w:r>
        <w:rPr>
          <w:rFonts w:ascii="Times New Roman" w:cs="Times New Roman" w:eastAsia="Times New Roman" w:hAnsi="Times New Roman"/>
          <w:sz w:val="13"/>
          <w:szCs w:val="13"/>
          <w:color w:val="auto"/>
        </w:rPr>
        <w:t>5/2029)</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4"/>
              </w:rPr>
              <w:t>11/7/2022</w:t>
            </w:r>
          </w:p>
        </w:tc>
        <w:tc>
          <w:tcPr>
            <w:tcW w:w="1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+ 6.38%</w:t>
            </w: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11.05%</w:t>
            </w:r>
          </w:p>
        </w:tc>
        <w:tc>
          <w:tcPr>
            <w:tcW w:w="104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136,424</w:t>
            </w:r>
          </w:p>
        </w:tc>
        <w:tc>
          <w:tcPr>
            <w:tcW w:w="124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141,639</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35"/>
        </w:trPr>
        <w:tc>
          <w:tcPr>
            <w:tcW w:w="6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4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SOFR + 6.75%</w:t>
            </w:r>
          </w:p>
        </w:tc>
        <w:tc>
          <w:tcPr>
            <w:tcW w:w="12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11.34%</w:t>
            </w:r>
          </w:p>
        </w:tc>
        <w:tc>
          <w:tcPr>
            <w:tcW w:w="104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107,466</w:t>
            </w:r>
          </w:p>
        </w:tc>
        <w:tc>
          <w:tcPr>
            <w:tcW w:w="124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111,150</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r>
      <w:tr>
        <w:trPr>
          <w:trHeight w:val="164"/>
        </w:trPr>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5/3/2023</w:t>
            </w:r>
          </w:p>
        </w:tc>
        <w:tc>
          <w:tcPr>
            <w:tcW w:w="1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+ 6.75%</w:t>
            </w: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11.30%</w:t>
            </w:r>
          </w:p>
        </w:tc>
        <w:tc>
          <w:tcPr>
            <w:tcW w:w="104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8,675</w:t>
            </w:r>
          </w:p>
        </w:tc>
        <w:tc>
          <w:tcPr>
            <w:tcW w:w="124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9,148</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-434975</wp:posOffset>
            </wp:positionV>
            <wp:extent cx="713232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-177800</wp:posOffset>
            </wp:positionV>
            <wp:extent cx="7132320" cy="85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160" w:space="720"/>
            <w:col w:w="6360"/>
          </w:cols>
          <w:pgMar w:left="320" w:top="1009" w:right="339" w:bottom="144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1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MadCap Software, Inc. </w:t>
            </w:r>
            <w:r>
              <w:rPr>
                <w:rFonts w:ascii="Times New Roman" w:cs="Times New Roman" w:eastAsia="Times New Roman" w:hAnsi="Times New Roman"/>
                <w:sz w:val="15"/>
                <w:szCs w:val="15"/>
                <w:color w:val="auto"/>
                <w:vertAlign w:val="superscript"/>
              </w:rPr>
              <w:t>(3)(5)</w:t>
            </w:r>
          </w:p>
        </w:tc>
        <w:tc>
          <w:tcPr>
            <w:tcW w:w="26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($2,475 par, due 12/2026)</w:t>
            </w:r>
          </w:p>
        </w:tc>
        <w:tc>
          <w:tcPr>
            <w:tcW w:w="92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12/15/2023</w:t>
            </w:r>
          </w:p>
        </w:tc>
        <w:tc>
          <w:tcPr>
            <w:tcW w:w="1100" w:type="dxa"/>
            <w:vAlign w:val="bottom"/>
            <w:shd w:val="clear" w:color="auto" w:fill="CFF0FC"/>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SOFR + 6.10%</w:t>
            </w:r>
          </w:p>
        </w:tc>
        <w:tc>
          <w:tcPr>
            <w:tcW w:w="1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10.35%</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2,435</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2,475</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20"/>
        </w:trPr>
        <w:tc>
          <w:tcPr>
            <w:tcW w:w="188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28"/>
        </w:trPr>
        <w:tc>
          <w:tcPr>
            <w:tcW w:w="18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255,000</w:t>
            </w: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264,412</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6.6%</w:t>
            </w:r>
          </w:p>
        </w:tc>
      </w:tr>
      <w:tr>
        <w:trPr>
          <w:trHeight w:val="129"/>
        </w:trPr>
        <w:tc>
          <w:tcPr>
            <w:tcW w:w="18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26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Disco Parent, Inc.</w:t>
            </w:r>
            <w:r>
              <w:rPr>
                <w:rFonts w:ascii="Times New Roman" w:cs="Times New Roman" w:eastAsia="Times New Roman" w:hAnsi="Times New Roman"/>
                <w:sz w:val="15"/>
                <w:szCs w:val="15"/>
                <w:color w:val="auto"/>
                <w:vertAlign w:val="superscript"/>
              </w:rPr>
              <w:t>(3)</w:t>
            </w:r>
          </w:p>
        </w:tc>
        <w:tc>
          <w:tcPr>
            <w:tcW w:w="26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($67,583 par, due 3/2029)</w:t>
            </w:r>
          </w:p>
        </w:tc>
        <w:tc>
          <w:tcPr>
            <w:tcW w:w="9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3/30/2023</w:t>
            </w:r>
          </w:p>
        </w:tc>
        <w:tc>
          <w:tcPr>
            <w:tcW w:w="1100" w:type="dxa"/>
            <w:vAlign w:val="bottom"/>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SOFR + 7.50%</w:t>
            </w:r>
          </w:p>
        </w:tc>
        <w:tc>
          <w:tcPr>
            <w:tcW w:w="1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12.01%</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66,272</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68,317</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1.7%</w:t>
            </w: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6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5"/>
                <w:szCs w:val="15"/>
                <w:color w:val="auto"/>
                <w:vertAlign w:val="superscript"/>
              </w:rPr>
              <w:t>(3)</w:t>
            </w:r>
          </w:p>
        </w:tc>
        <w:tc>
          <w:tcPr>
            <w:tcW w:w="26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($128,565 par, due 7/2030)</w:t>
            </w:r>
          </w:p>
        </w:tc>
        <w:tc>
          <w:tcPr>
            <w:tcW w:w="9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6/30/2023</w:t>
            </w:r>
          </w:p>
        </w:tc>
        <w:tc>
          <w:tcPr>
            <w:tcW w:w="1100" w:type="dxa"/>
            <w:vAlign w:val="bottom"/>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10.08%</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125,651</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130,424</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w:t>
            </w: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5"/>
                <w:szCs w:val="15"/>
                <w:color w:val="auto"/>
                <w:vertAlign w:val="superscript"/>
              </w:rPr>
              <w:t>(3)</w:t>
            </w:r>
          </w:p>
        </w:tc>
        <w:tc>
          <w:tcPr>
            <w:tcW w:w="26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($128,925 par, due 2/2030)</w:t>
            </w:r>
          </w:p>
        </w:tc>
        <w:tc>
          <w:tcPr>
            <w:tcW w:w="92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2/27/2023</w:t>
            </w:r>
          </w:p>
        </w:tc>
        <w:tc>
          <w:tcPr>
            <w:tcW w:w="1100" w:type="dxa"/>
            <w:vAlign w:val="bottom"/>
            <w:shd w:val="clear" w:color="auto" w:fill="CFF0FC"/>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9.84%</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126,291</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131,165</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w:t>
            </w: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Flight Intermediate HoldCo, Inc.</w:t>
            </w:r>
          </w:p>
        </w:tc>
        <w:tc>
          <w:tcPr>
            <w:tcW w:w="26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($46,500 par, due 4/2030)</w:t>
            </w:r>
          </w:p>
        </w:tc>
        <w:tc>
          <w:tcPr>
            <w:tcW w:w="9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10/3/2024</w:t>
            </w:r>
          </w:p>
        </w:tc>
        <w:tc>
          <w:tcPr>
            <w:tcW w:w="110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11.50%</w:t>
            </w:r>
          </w:p>
        </w:tc>
        <w:tc>
          <w:tcPr>
            <w:tcW w:w="1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11.50%</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45,164</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45,221</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w:t>
            </w: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Hippo XPA Bidco AB </w:t>
            </w:r>
            <w:r>
              <w:rPr>
                <w:rFonts w:ascii="Times New Roman" w:cs="Times New Roman" w:eastAsia="Times New Roman" w:hAnsi="Times New Roman"/>
                <w:sz w:val="13"/>
                <w:szCs w:val="13"/>
                <w:color w:val="auto"/>
                <w:vertAlign w:val="superscript"/>
              </w:rPr>
              <w:t>(3)(4)</w:t>
            </w:r>
          </w:p>
        </w:tc>
        <w:tc>
          <w:tcPr>
            <w:tcW w:w="26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(SEK 80,225 par, due 2/2031)</w:t>
            </w:r>
          </w:p>
        </w:tc>
        <w:tc>
          <w:tcPr>
            <w:tcW w:w="92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2/20/2024</w:t>
            </w:r>
          </w:p>
        </w:tc>
        <w:tc>
          <w:tcPr>
            <w:tcW w:w="110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STIBOR +</w:t>
            </w:r>
          </w:p>
        </w:tc>
        <w:tc>
          <w:tcPr>
            <w:tcW w:w="14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9.16% (incl. 3.50%</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7,557</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7,238</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880" w:type="dxa"/>
            <w:vAlign w:val="bottom"/>
            <w:shd w:val="clear" w:color="auto" w:fill="CFF0FC"/>
          </w:tcPr>
          <w:p>
            <w:pPr>
              <w:spacing w:after="0"/>
              <w:rPr>
                <w:sz w:val="13"/>
                <w:szCs w:val="13"/>
                <w:color w:val="auto"/>
              </w:rPr>
            </w:pPr>
          </w:p>
        </w:tc>
        <w:tc>
          <w:tcPr>
            <w:tcW w:w="26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6.50%</w:t>
            </w:r>
          </w:p>
        </w:tc>
        <w:tc>
          <w:tcPr>
            <w:tcW w:w="142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(SEK 79,977)</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80" w:type="dxa"/>
            <w:vAlign w:val="bottom"/>
          </w:tcPr>
          <w:p>
            <w:pPr>
              <w:spacing w:after="0"/>
              <w:rPr>
                <w:sz w:val="10"/>
                <w:szCs w:val="10"/>
                <w:color w:val="auto"/>
              </w:rPr>
            </w:pPr>
          </w:p>
        </w:tc>
        <w:tc>
          <w:tcPr>
            <w:tcW w:w="26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2,472 par, due 2/2031)</w:t>
            </w:r>
          </w:p>
        </w:tc>
        <w:tc>
          <w:tcPr>
            <w:tcW w:w="92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2/20/2024</w:t>
            </w:r>
          </w:p>
        </w:tc>
        <w:tc>
          <w:tcPr>
            <w:tcW w:w="1100" w:type="dxa"/>
            <w:vAlign w:val="bottom"/>
          </w:tcPr>
          <w:p>
            <w:pPr>
              <w:jc w:val="right"/>
              <w:ind w:right="158"/>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4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9.87% (incl. 3.50%</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2,636</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2,554</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18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2,466)</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Kryptona BidCo US, LLC </w:t>
            </w:r>
            <w:r>
              <w:rPr>
                <w:rFonts w:ascii="Times New Roman" w:cs="Times New Roman" w:eastAsia="Times New Roman" w:hAnsi="Times New Roman"/>
                <w:sz w:val="15"/>
                <w:szCs w:val="15"/>
                <w:color w:val="auto"/>
                <w:vertAlign w:val="superscript"/>
              </w:rPr>
              <w:t>(3)</w:t>
            </w:r>
          </w:p>
        </w:tc>
        <w:tc>
          <w:tcPr>
            <w:tcW w:w="26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($134,959 par, due 12/2031)</w:t>
            </w:r>
          </w:p>
        </w:tc>
        <w:tc>
          <w:tcPr>
            <w:tcW w:w="92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12/18/2024</w:t>
            </w:r>
          </w:p>
        </w:tc>
        <w:tc>
          <w:tcPr>
            <w:tcW w:w="1100" w:type="dxa"/>
            <w:vAlign w:val="bottom"/>
            <w:shd w:val="clear" w:color="auto" w:fill="CFF0FC"/>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10.10%</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131,979</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132,340</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w:t>
            </w:r>
          </w:p>
        </w:tc>
      </w:tr>
      <w:tr>
        <w:trPr>
          <w:trHeight w:val="117"/>
        </w:trPr>
        <w:tc>
          <w:tcPr>
            <w:tcW w:w="1880" w:type="dxa"/>
            <w:vAlign w:val="bottom"/>
          </w:tcPr>
          <w:p>
            <w:pPr>
              <w:spacing w:after="0"/>
              <w:rPr>
                <w:sz w:val="10"/>
                <w:szCs w:val="10"/>
                <w:color w:val="auto"/>
              </w:rPr>
            </w:pPr>
          </w:p>
        </w:tc>
        <w:tc>
          <w:tcPr>
            <w:tcW w:w="26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31,233 par, due 12/2031)</w:t>
            </w:r>
          </w:p>
        </w:tc>
        <w:tc>
          <w:tcPr>
            <w:tcW w:w="92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12/18/2024</w:t>
            </w:r>
          </w:p>
        </w:tc>
        <w:tc>
          <w:tcPr>
            <w:tcW w:w="1100" w:type="dxa"/>
            <w:vAlign w:val="bottom"/>
          </w:tcPr>
          <w:p>
            <w:pPr>
              <w:jc w:val="right"/>
              <w:ind w:right="158"/>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20" w:type="dxa"/>
            <w:vAlign w:val="bottom"/>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8.61%</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32,055</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31,775</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0.8%</w:t>
            </w:r>
          </w:p>
        </w:tc>
      </w:tr>
      <w:tr>
        <w:trPr>
          <w:trHeight w:val="153"/>
        </w:trPr>
        <w:tc>
          <w:tcPr>
            <w:tcW w:w="18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30,686)</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Merit Software Finance Holdings,</w:t>
            </w:r>
          </w:p>
        </w:tc>
        <w:tc>
          <w:tcPr>
            <w:tcW w:w="268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($11,786 par, due 6/2029)</w:t>
            </w:r>
          </w:p>
        </w:tc>
        <w:tc>
          <w:tcPr>
            <w:tcW w:w="920" w:type="dxa"/>
            <w:vAlign w:val="bottom"/>
            <w:shd w:val="clear" w:color="auto" w:fill="CFF0FC"/>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6/20/2024</w:t>
            </w:r>
          </w:p>
        </w:tc>
        <w:tc>
          <w:tcPr>
            <w:tcW w:w="1100" w:type="dxa"/>
            <w:vAlign w:val="bottom"/>
            <w:shd w:val="clear" w:color="auto" w:fill="CFF0FC"/>
          </w:tcPr>
          <w:p>
            <w:pPr>
              <w:jc w:val="right"/>
              <w:ind w:right="158"/>
              <w:spacing w:after="0" w:line="108" w:lineRule="exact"/>
              <w:rPr>
                <w:sz w:val="20"/>
                <w:szCs w:val="20"/>
                <w:color w:val="auto"/>
              </w:rPr>
            </w:pPr>
            <w:r>
              <w:rPr>
                <w:rFonts w:ascii="Times New Roman" w:cs="Times New Roman" w:eastAsia="Times New Roman" w:hAnsi="Times New Roman"/>
                <w:sz w:val="12"/>
                <w:szCs w:val="12"/>
                <w:color w:val="auto"/>
              </w:rPr>
              <w:t>SOFR + 7.50%</w:t>
            </w:r>
          </w:p>
        </w:tc>
        <w:tc>
          <w:tcPr>
            <w:tcW w:w="1420" w:type="dxa"/>
            <w:vAlign w:val="bottom"/>
            <w:shd w:val="clear" w:color="auto" w:fill="CFF0FC"/>
          </w:tcPr>
          <w:p>
            <w:pPr>
              <w:jc w:val="right"/>
              <w:ind w:right="58"/>
              <w:spacing w:after="0" w:line="108" w:lineRule="exact"/>
              <w:rPr>
                <w:sz w:val="20"/>
                <w:szCs w:val="20"/>
                <w:color w:val="auto"/>
              </w:rPr>
            </w:pPr>
            <w:r>
              <w:rPr>
                <w:rFonts w:ascii="Times New Roman" w:cs="Times New Roman" w:eastAsia="Times New Roman" w:hAnsi="Times New Roman"/>
                <w:sz w:val="12"/>
                <w:szCs w:val="12"/>
                <w:color w:val="auto"/>
              </w:rPr>
              <w:t>11.85%</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11,438</w:t>
            </w:r>
          </w:p>
        </w:tc>
        <w:tc>
          <w:tcPr>
            <w:tcW w:w="11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11,561</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0.3%</w:t>
            </w:r>
          </w:p>
        </w:tc>
      </w:tr>
      <w:tr>
        <w:trPr>
          <w:trHeight w:val="162"/>
        </w:trPr>
        <w:tc>
          <w:tcPr>
            <w:tcW w:w="1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w:t>
            </w:r>
          </w:p>
        </w:tc>
        <w:tc>
          <w:tcPr>
            <w:tcW w:w="26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SMA Technologies Holdings, LLC</w:t>
            </w:r>
          </w:p>
        </w:tc>
        <w:tc>
          <w:tcPr>
            <w:tcW w:w="268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($31,009 par, due 10/2028)</w:t>
            </w:r>
          </w:p>
        </w:tc>
        <w:tc>
          <w:tcPr>
            <w:tcW w:w="920" w:type="dxa"/>
            <w:vAlign w:val="bottom"/>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10/31/2022</w:t>
            </w:r>
          </w:p>
        </w:tc>
        <w:tc>
          <w:tcPr>
            <w:tcW w:w="1100" w:type="dxa"/>
            <w:vAlign w:val="bottom"/>
          </w:tcPr>
          <w:p>
            <w:pPr>
              <w:jc w:val="right"/>
              <w:ind w:right="158"/>
              <w:spacing w:after="0" w:line="108" w:lineRule="exact"/>
              <w:rPr>
                <w:sz w:val="20"/>
                <w:szCs w:val="20"/>
                <w:color w:val="auto"/>
              </w:rPr>
            </w:pPr>
            <w:r>
              <w:rPr>
                <w:rFonts w:ascii="Times New Roman" w:cs="Times New Roman" w:eastAsia="Times New Roman" w:hAnsi="Times New Roman"/>
                <w:sz w:val="12"/>
                <w:szCs w:val="12"/>
                <w:color w:val="auto"/>
              </w:rPr>
              <w:t>SOFR + 6.50%</w:t>
            </w:r>
          </w:p>
        </w:tc>
        <w:tc>
          <w:tcPr>
            <w:tcW w:w="1420" w:type="dxa"/>
            <w:vAlign w:val="bottom"/>
          </w:tcPr>
          <w:p>
            <w:pPr>
              <w:jc w:val="right"/>
              <w:ind w:right="58"/>
              <w:spacing w:after="0" w:line="108" w:lineRule="exact"/>
              <w:rPr>
                <w:sz w:val="20"/>
                <w:szCs w:val="20"/>
                <w:color w:val="auto"/>
              </w:rPr>
            </w:pPr>
            <w:r>
              <w:rPr>
                <w:rFonts w:ascii="Times New Roman" w:cs="Times New Roman" w:eastAsia="Times New Roman" w:hAnsi="Times New Roman"/>
                <w:sz w:val="12"/>
                <w:szCs w:val="12"/>
                <w:color w:val="auto"/>
              </w:rPr>
              <w:t>11.01%</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30,371</w:t>
            </w:r>
          </w:p>
        </w:tc>
        <w:tc>
          <w:tcPr>
            <w:tcW w:w="110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31,447</w:t>
            </w:r>
          </w:p>
        </w:tc>
        <w:tc>
          <w:tcPr>
            <w:tcW w:w="126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0.8%</w:t>
            </w:r>
          </w:p>
        </w:tc>
      </w:tr>
      <w:tr>
        <w:trPr>
          <w:trHeight w:val="108"/>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(3)(5)</w:t>
            </w:r>
          </w:p>
        </w:tc>
        <w:tc>
          <w:tcPr>
            <w:tcW w:w="2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29"/>
        </w:trPr>
        <w:tc>
          <w:tcPr>
            <w:tcW w:w="1880" w:type="dxa"/>
            <w:vAlign w:val="bottom"/>
            <w:shd w:val="clear" w:color="auto" w:fill="CFF0FC"/>
          </w:tcPr>
          <w:p>
            <w:pPr>
              <w:spacing w:after="0"/>
              <w:rPr>
                <w:sz w:val="11"/>
                <w:szCs w:val="11"/>
                <w:color w:val="auto"/>
              </w:rPr>
            </w:pPr>
          </w:p>
        </w:tc>
        <w:tc>
          <w:tcPr>
            <w:tcW w:w="26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513,142</w:t>
            </w:r>
          </w:p>
        </w:tc>
        <w:tc>
          <w:tcPr>
            <w:tcW w:w="11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523,725</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13.0%</w:t>
            </w:r>
          </w:p>
        </w:tc>
      </w:tr>
      <w:tr>
        <w:trPr>
          <w:trHeight w:val="128"/>
        </w:trPr>
        <w:tc>
          <w:tcPr>
            <w:tcW w:w="18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2680" w:type="dxa"/>
            <w:vAlign w:val="bottom"/>
            <w:tcBorders>
              <w:top w:val="single" w:sz="8" w:color="CFF0FC"/>
            </w:tcBorders>
          </w:tcPr>
          <w:p>
            <w:pPr>
              <w:spacing w:after="0"/>
              <w:rPr>
                <w:sz w:val="11"/>
                <w:szCs w:val="11"/>
                <w:color w:val="auto"/>
              </w:rPr>
            </w:pPr>
          </w:p>
        </w:tc>
        <w:tc>
          <w:tcPr>
            <w:tcW w:w="920" w:type="dxa"/>
            <w:vAlign w:val="bottom"/>
            <w:tcBorders>
              <w:top w:val="single" w:sz="8" w:color="CFF0FC"/>
            </w:tcBorders>
          </w:tcPr>
          <w:p>
            <w:pPr>
              <w:spacing w:after="0"/>
              <w:rPr>
                <w:sz w:val="11"/>
                <w:szCs w:val="11"/>
                <w:color w:val="auto"/>
              </w:rPr>
            </w:pPr>
          </w:p>
        </w:tc>
        <w:tc>
          <w:tcPr>
            <w:tcW w:w="1100" w:type="dxa"/>
            <w:vAlign w:val="bottom"/>
            <w:tcBorders>
              <w:top w:val="single" w:sz="8" w:color="CFF0FC"/>
            </w:tcBorders>
          </w:tcPr>
          <w:p>
            <w:pPr>
              <w:spacing w:after="0"/>
              <w:rPr>
                <w:sz w:val="11"/>
                <w:szCs w:val="11"/>
                <w:color w:val="auto"/>
              </w:rPr>
            </w:pPr>
          </w:p>
        </w:tc>
        <w:tc>
          <w:tcPr>
            <w:tcW w:w="14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Aptean, Inc. </w:t>
            </w:r>
            <w:r>
              <w:rPr>
                <w:rFonts w:ascii="Times New Roman" w:cs="Times New Roman" w:eastAsia="Times New Roman" w:hAnsi="Times New Roman"/>
                <w:sz w:val="15"/>
                <w:szCs w:val="15"/>
                <w:color w:val="auto"/>
                <w:vertAlign w:val="superscript"/>
              </w:rPr>
              <w:t>(3)</w:t>
            </w:r>
          </w:p>
        </w:tc>
        <w:tc>
          <w:tcPr>
            <w:tcW w:w="26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($123,688 par, due 1/2031)</w:t>
            </w:r>
          </w:p>
        </w:tc>
        <w:tc>
          <w:tcPr>
            <w:tcW w:w="92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1/30/2024</w:t>
            </w:r>
          </w:p>
        </w:tc>
        <w:tc>
          <w:tcPr>
            <w:tcW w:w="1100" w:type="dxa"/>
            <w:vAlign w:val="bottom"/>
            <w:shd w:val="clear" w:color="auto" w:fill="CFF0FC"/>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9.58%</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122,468</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124,037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w:t>
            </w: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ASP Unifrax Holdings, Inc. </w:t>
            </w:r>
            <w:r>
              <w:rPr>
                <w:rFonts w:ascii="Times New Roman" w:cs="Times New Roman" w:eastAsia="Times New Roman" w:hAnsi="Times New Roman"/>
                <w:sz w:val="13"/>
                <w:szCs w:val="13"/>
                <w:color w:val="auto"/>
                <w:vertAlign w:val="superscript"/>
              </w:rPr>
              <w:t>(12)</w:t>
            </w:r>
          </w:p>
        </w:tc>
        <w:tc>
          <w:tcPr>
            <w:tcW w:w="2680" w:type="dxa"/>
            <w:vAlign w:val="bottom"/>
          </w:tcPr>
          <w:p>
            <w:pPr>
              <w:ind w:left="80"/>
              <w:spacing w:after="0" w:line="117" w:lineRule="exact"/>
              <w:rPr>
                <w:sz w:val="20"/>
                <w:szCs w:val="20"/>
                <w:color w:val="auto"/>
              </w:rPr>
            </w:pPr>
            <w:r>
              <w:rPr>
                <w:rFonts w:ascii="Times New Roman" w:cs="Times New Roman" w:eastAsia="Times New Roman" w:hAnsi="Times New Roman"/>
                <w:sz w:val="10"/>
                <w:szCs w:val="10"/>
                <w:color w:val="auto"/>
              </w:rPr>
              <w:t xml:space="preserve">First-lien loan ($3,449 par, due 9/2029) </w:t>
            </w:r>
            <w:r>
              <w:rPr>
                <w:rFonts w:ascii="Times New Roman" w:cs="Times New Roman" w:eastAsia="Times New Roman" w:hAnsi="Times New Roman"/>
                <w:sz w:val="13"/>
                <w:szCs w:val="13"/>
                <w:color w:val="auto"/>
                <w:vertAlign w:val="superscript"/>
              </w:rPr>
              <w:t>(3)</w:t>
            </w:r>
          </w:p>
        </w:tc>
        <w:tc>
          <w:tcPr>
            <w:tcW w:w="92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1100" w:type="dxa"/>
            <w:vAlign w:val="bottom"/>
          </w:tcPr>
          <w:p>
            <w:pPr>
              <w:jc w:val="right"/>
              <w:ind w:right="158"/>
              <w:spacing w:after="0" w:line="117" w:lineRule="exact"/>
              <w:rPr>
                <w:sz w:val="20"/>
                <w:szCs w:val="20"/>
                <w:color w:val="auto"/>
              </w:rPr>
            </w:pPr>
            <w:r>
              <w:rPr>
                <w:rFonts w:ascii="Times New Roman" w:cs="Times New Roman" w:eastAsia="Times New Roman" w:hAnsi="Times New Roman"/>
                <w:sz w:val="13"/>
                <w:szCs w:val="13"/>
                <w:color w:val="auto"/>
              </w:rPr>
              <w:t>SOFR + 7.75%</w:t>
            </w:r>
          </w:p>
        </w:tc>
        <w:tc>
          <w:tcPr>
            <w:tcW w:w="14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12.08% (incl. 4.75%</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3,376</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3,484</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18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80" w:type="dxa"/>
            <w:vAlign w:val="bottom"/>
            <w:shd w:val="clear" w:color="auto" w:fill="CFF0FC"/>
          </w:tcPr>
          <w:p>
            <w:pPr>
              <w:spacing w:after="0"/>
              <w:rPr>
                <w:sz w:val="10"/>
                <w:szCs w:val="10"/>
                <w:color w:val="auto"/>
              </w:rPr>
            </w:pPr>
          </w:p>
        </w:tc>
        <w:tc>
          <w:tcPr>
            <w:tcW w:w="26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Second-lien note ($1,999 par, due 9/2029)</w:t>
            </w:r>
          </w:p>
        </w:tc>
        <w:tc>
          <w:tcPr>
            <w:tcW w:w="92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8/31/2023</w:t>
            </w:r>
          </w:p>
        </w:tc>
        <w:tc>
          <w:tcPr>
            <w:tcW w:w="110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7.10%</w:t>
            </w:r>
          </w:p>
        </w:tc>
        <w:tc>
          <w:tcPr>
            <w:tcW w:w="14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7.10% (incl. 1.25%</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1,513</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1,309</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880" w:type="dxa"/>
            <w:vAlign w:val="bottom"/>
            <w:shd w:val="clear" w:color="auto" w:fill="CFF0FC"/>
          </w:tcPr>
          <w:p>
            <w:pPr>
              <w:spacing w:after="0"/>
              <w:rPr>
                <w:sz w:val="13"/>
                <w:szCs w:val="13"/>
                <w:color w:val="auto"/>
              </w:rPr>
            </w:pPr>
          </w:p>
        </w:tc>
        <w:tc>
          <w:tcPr>
            <w:tcW w:w="26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-2142490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-2142490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-2142490</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-521970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-521970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-521970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3"/>
          <w:szCs w:val="13"/>
          <w:color w:val="auto"/>
        </w:rPr>
        <w:t xml:space="preserve">Avalara, Inc. </w:t>
      </w:r>
      <w:r>
        <w:rPr>
          <w:rFonts w:ascii="Times New Roman" w:cs="Times New Roman" w:eastAsia="Times New Roman" w:hAnsi="Times New Roman"/>
          <w:sz w:val="16"/>
          <w:szCs w:val="16"/>
          <w:color w:val="auto"/>
          <w:vertAlign w:val="superscript"/>
        </w:rPr>
        <w:t>(3)</w:t>
      </w:r>
    </w:p>
    <w:p>
      <w:pPr>
        <w:spacing w:after="0" w:line="189" w:lineRule="auto"/>
        <w:rPr>
          <w:sz w:val="20"/>
          <w:szCs w:val="20"/>
          <w:color w:val="auto"/>
        </w:rPr>
      </w:pPr>
      <w:r>
        <w:rPr>
          <w:rFonts w:ascii="Times New Roman" w:cs="Times New Roman" w:eastAsia="Times New Roman" w:hAnsi="Times New Roman"/>
          <w:sz w:val="13"/>
          <w:szCs w:val="13"/>
          <w:color w:val="auto"/>
        </w:rPr>
        <w:t>Heritage Environmental Services,</w:t>
      </w:r>
    </w:p>
    <w:p>
      <w:pPr>
        <w:spacing w:after="0"/>
        <w:rPr>
          <w:sz w:val="20"/>
          <w:szCs w:val="20"/>
          <w:color w:val="auto"/>
        </w:rPr>
      </w:pPr>
      <w:r>
        <w:rPr>
          <w:rFonts w:ascii="Times New Roman" w:cs="Times New Roman" w:eastAsia="Times New Roman" w:hAnsi="Times New Roman"/>
          <w:sz w:val="13"/>
          <w:szCs w:val="13"/>
          <w:color w:val="auto"/>
        </w:rPr>
        <w:t xml:space="preserve">Inc. </w:t>
      </w:r>
      <w:r>
        <w:rPr>
          <w:rFonts w:ascii="Times New Roman" w:cs="Times New Roman" w:eastAsia="Times New Roman" w:hAnsi="Times New Roman"/>
          <w:sz w:val="16"/>
          <w:szCs w:val="16"/>
          <w:color w:val="auto"/>
          <w:vertAlign w:val="superscript"/>
        </w:rPr>
        <w:t>(3)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Skylark UK DebtCo Limited </w:t>
      </w:r>
      <w:r>
        <w:rPr>
          <w:rFonts w:ascii="Times New Roman" w:cs="Times New Roman" w:eastAsia="Times New Roman" w:hAnsi="Times New Roman"/>
          <w:sz w:val="15"/>
          <w:szCs w:val="15"/>
          <w:color w:val="auto"/>
          <w:vertAlign w:val="superscript"/>
        </w:rPr>
        <w:t>(3)(4)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Varinem German BidCo GmbH </w:t>
      </w:r>
      <w:r>
        <w:rPr>
          <w:rFonts w:ascii="Times New Roman" w:cs="Times New Roman" w:eastAsia="Times New Roman" w:hAnsi="Times New Roman"/>
          <w:sz w:val="15"/>
          <w:szCs w:val="15"/>
          <w:color w:val="auto"/>
          <w:vertAlign w:val="superscript"/>
        </w:rPr>
        <w:t>(3)</w:t>
      </w:r>
    </w:p>
    <w:p>
      <w:pPr>
        <w:spacing w:after="0"/>
        <w:rPr>
          <w:sz w:val="20"/>
          <w:szCs w:val="20"/>
          <w:color w:val="auto"/>
        </w:rPr>
      </w:pPr>
      <w:r>
        <w:rPr>
          <w:rFonts w:ascii="Times New Roman" w:cs="Times New Roman" w:eastAsia="Times New Roman" w:hAnsi="Times New Roman"/>
          <w:sz w:val="8"/>
          <w:szCs w:val="8"/>
          <w:color w:val="auto"/>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($136,364 par, due 10/2028)</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10/19/2022</w:t>
            </w: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SOFR + 6.25%</w:t>
            </w: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10.58%</w:t>
            </w: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133,991</w:t>
            </w:r>
          </w:p>
        </w:tc>
        <w:tc>
          <w:tcPr>
            <w:tcW w:w="138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137,489</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4"/>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($131,681 par, due 1/2031)</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1/31/2024</w:t>
            </w: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SOFR + 5.25%</w:t>
            </w: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9.84%</w:t>
            </w: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130,976</w:t>
            </w:r>
          </w:p>
        </w:tc>
        <w:tc>
          <w:tcPr>
            <w:tcW w:w="138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133,195</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41"/>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($16,608 par, due 1/2031)</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1/31/2024</w:t>
            </w: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SOFR + 5.00%</w:t>
            </w: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9.33%</w:t>
            </w: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16,529</w:t>
            </w:r>
          </w:p>
        </w:tc>
        <w:tc>
          <w:tcPr>
            <w:tcW w:w="138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16,608</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35"/>
        </w:trPr>
        <w:tc>
          <w:tcPr>
            <w:tcW w:w="2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($56,651 par, due 9/2030)</w:t>
            </w: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9/7/2023</w:t>
            </w:r>
          </w:p>
        </w:tc>
        <w:tc>
          <w:tcPr>
            <w:tcW w:w="144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SOFR + 5.66%</w:t>
            </w:r>
          </w:p>
        </w:tc>
        <w:tc>
          <w:tcPr>
            <w:tcW w:w="12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9.99%</w:t>
            </w:r>
          </w:p>
        </w:tc>
        <w:tc>
          <w:tcPr>
            <w:tcW w:w="9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55,303</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57,217</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r>
      <w:tr>
        <w:trPr>
          <w:trHeight w:val="135"/>
        </w:trPr>
        <w:tc>
          <w:tcPr>
            <w:tcW w:w="2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(GBP 57,691 par, due 9/2030)</w:t>
            </w: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9/7/2023</w:t>
            </w:r>
          </w:p>
        </w:tc>
        <w:tc>
          <w:tcPr>
            <w:tcW w:w="144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S + 5.66%</w:t>
            </w:r>
          </w:p>
        </w:tc>
        <w:tc>
          <w:tcPr>
            <w:tcW w:w="12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10.36%</w:t>
            </w:r>
          </w:p>
        </w:tc>
        <w:tc>
          <w:tcPr>
            <w:tcW w:w="9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69,740</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73,215</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r>
      <w:tr>
        <w:trPr>
          <w:trHeight w:val="135"/>
        </w:trPr>
        <w:tc>
          <w:tcPr>
            <w:tcW w:w="2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(GBP 58,460)</w:t>
            </w:r>
          </w:p>
        </w:tc>
        <w:tc>
          <w:tcPr>
            <w:tcW w:w="780" w:type="dxa"/>
            <w:vAlign w:val="bottom"/>
          </w:tcPr>
          <w:p>
            <w:pPr>
              <w:spacing w:after="0"/>
              <w:rPr>
                <w:sz w:val="11"/>
                <w:szCs w:val="11"/>
                <w:color w:val="auto"/>
              </w:rPr>
            </w:pPr>
          </w:p>
        </w:tc>
      </w:tr>
      <w:tr>
        <w:trPr>
          <w:trHeight w:val="135"/>
        </w:trPr>
        <w:tc>
          <w:tcPr>
            <w:tcW w:w="2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(EUR 16,819 par, due 9/2030)</w:t>
            </w: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9/7/2023</w:t>
            </w:r>
          </w:p>
        </w:tc>
        <w:tc>
          <w:tcPr>
            <w:tcW w:w="144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E + 5.66%</w:t>
            </w:r>
          </w:p>
        </w:tc>
        <w:tc>
          <w:tcPr>
            <w:tcW w:w="12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8.35%</w:t>
            </w:r>
          </w:p>
        </w:tc>
        <w:tc>
          <w:tcPr>
            <w:tcW w:w="9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17,580</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17,590</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r>
      <w:tr>
        <w:trPr>
          <w:trHeight w:val="135"/>
        </w:trPr>
        <w:tc>
          <w:tcPr>
            <w:tcW w:w="2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(EUR 16,987)</w:t>
            </w:r>
          </w:p>
        </w:tc>
        <w:tc>
          <w:tcPr>
            <w:tcW w:w="780" w:type="dxa"/>
            <w:vAlign w:val="bottom"/>
          </w:tcPr>
          <w:p>
            <w:pPr>
              <w:spacing w:after="0"/>
              <w:rPr>
                <w:sz w:val="11"/>
                <w:szCs w:val="11"/>
                <w:color w:val="auto"/>
              </w:rPr>
            </w:pPr>
          </w:p>
        </w:tc>
      </w:tr>
      <w:tr>
        <w:trPr>
          <w:trHeight w:val="135"/>
        </w:trPr>
        <w:tc>
          <w:tcPr>
            <w:tcW w:w="2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(EUR 12,696 par, due 7/2031)</w:t>
            </w: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7/11/2024</w:t>
            </w:r>
          </w:p>
        </w:tc>
        <w:tc>
          <w:tcPr>
            <w:tcW w:w="144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E + 5.75%</w:t>
            </w:r>
          </w:p>
        </w:tc>
        <w:tc>
          <w:tcPr>
            <w:tcW w:w="12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9.42%</w:t>
            </w:r>
          </w:p>
        </w:tc>
        <w:tc>
          <w:tcPr>
            <w:tcW w:w="9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13,681</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13,105</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r>
      <w:tr>
        <w:trPr>
          <w:trHeight w:val="153"/>
        </w:trPr>
        <w:tc>
          <w:tcPr>
            <w:tcW w:w="2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(EUR 12,656)</w:t>
            </w:r>
          </w:p>
        </w:tc>
        <w:tc>
          <w:tcPr>
            <w:tcW w:w="7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-856615</wp:posOffset>
            </wp:positionV>
            <wp:extent cx="713232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-599440</wp:posOffset>
            </wp:positionV>
            <wp:extent cx="7132320"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-342265</wp:posOffset>
            </wp:positionV>
            <wp:extent cx="713232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760" w:space="200"/>
            <w:col w:w="9280"/>
          </w:cols>
          <w:pgMar w:left="320" w:top="977"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1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9"/>
        </w:trPr>
        <w:tc>
          <w:tcPr>
            <w:tcW w:w="18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565,157</w:t>
            </w:r>
          </w:p>
        </w:tc>
        <w:tc>
          <w:tcPr>
            <w:tcW w:w="22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577,249</w:t>
            </w:r>
          </w:p>
        </w:tc>
        <w:tc>
          <w:tcPr>
            <w:tcW w:w="20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2"/>
                <w:szCs w:val="12"/>
                <w:color w:val="auto"/>
              </w:rPr>
              <w:t>14.3%</w:t>
            </w:r>
          </w:p>
        </w:tc>
      </w:tr>
      <w:tr>
        <w:trPr>
          <w:trHeight w:val="128"/>
        </w:trPr>
        <w:tc>
          <w:tcPr>
            <w:tcW w:w="18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720" w:type="dxa"/>
            <w:vAlign w:val="bottom"/>
            <w:tcBorders>
              <w:top w:val="single" w:sz="8" w:color="CFF0FC"/>
            </w:tcBorders>
          </w:tcPr>
          <w:p>
            <w:pPr>
              <w:spacing w:after="0"/>
              <w:rPr>
                <w:sz w:val="11"/>
                <w:szCs w:val="11"/>
                <w:color w:val="auto"/>
              </w:rPr>
            </w:pPr>
          </w:p>
        </w:tc>
        <w:tc>
          <w:tcPr>
            <w:tcW w:w="920" w:type="dxa"/>
            <w:vAlign w:val="bottom"/>
            <w:tcBorders>
              <w:top w:val="single" w:sz="8" w:color="CFF0FC"/>
            </w:tcBorders>
          </w:tcPr>
          <w:p>
            <w:pPr>
              <w:spacing w:after="0"/>
              <w:rPr>
                <w:sz w:val="11"/>
                <w:szCs w:val="11"/>
                <w:color w:val="auto"/>
              </w:rPr>
            </w:pPr>
          </w:p>
        </w:tc>
        <w:tc>
          <w:tcPr>
            <w:tcW w:w="144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35"/>
        </w:trPr>
        <w:tc>
          <w:tcPr>
            <w:tcW w:w="18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5"/>
                <w:szCs w:val="15"/>
                <w:color w:val="auto"/>
                <w:vertAlign w:val="superscript"/>
              </w:rPr>
              <w:t>(3)</w:t>
            </w:r>
          </w:p>
        </w:tc>
        <w:tc>
          <w:tcPr>
            <w:tcW w:w="272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($97,561 par, due 2/2027)</w:t>
            </w:r>
          </w:p>
        </w:tc>
        <w:tc>
          <w:tcPr>
            <w:tcW w:w="9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2/21/2023</w:t>
            </w:r>
          </w:p>
        </w:tc>
        <w:tc>
          <w:tcPr>
            <w:tcW w:w="1440" w:type="dxa"/>
            <w:vAlign w:val="bottom"/>
            <w:shd w:val="clear" w:color="auto" w:fill="CFF0FC"/>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SOFR + 7.10%</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11.46%</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96,519</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98,537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w:t>
            </w:r>
          </w:p>
        </w:tc>
      </w:tr>
      <w:tr>
        <w:trPr>
          <w:trHeight w:val="135"/>
        </w:trPr>
        <w:tc>
          <w:tcPr>
            <w:tcW w:w="18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Mach Natural Resources LP </w:t>
            </w:r>
            <w:r>
              <w:rPr>
                <w:rFonts w:ascii="Times New Roman" w:cs="Times New Roman" w:eastAsia="Times New Roman" w:hAnsi="Times New Roman"/>
                <w:sz w:val="15"/>
                <w:szCs w:val="15"/>
                <w:color w:val="auto"/>
                <w:vertAlign w:val="superscript"/>
              </w:rPr>
              <w:t>(3)(4)</w:t>
            </w:r>
          </w:p>
        </w:tc>
        <w:tc>
          <w:tcPr>
            <w:tcW w:w="27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($115,625 par, due 12/2026)</w:t>
            </w:r>
          </w:p>
        </w:tc>
        <w:tc>
          <w:tcPr>
            <w:tcW w:w="9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12/28/2023</w:t>
            </w:r>
          </w:p>
        </w:tc>
        <w:tc>
          <w:tcPr>
            <w:tcW w:w="144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SOFR + 6.65%</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10.98%</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114,031</w:t>
            </w:r>
          </w:p>
        </w:tc>
        <w:tc>
          <w:tcPr>
            <w:tcW w:w="2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116,492</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3.0%</w:t>
            </w:r>
          </w:p>
        </w:tc>
      </w:tr>
      <w:tr>
        <w:trPr>
          <w:trHeight w:val="20"/>
        </w:trPr>
        <w:tc>
          <w:tcPr>
            <w:tcW w:w="1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184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210,550</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215,029</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5.4%</w:t>
            </w:r>
          </w:p>
        </w:tc>
      </w:tr>
      <w:tr>
        <w:trPr>
          <w:trHeight w:val="128"/>
        </w:trPr>
        <w:tc>
          <w:tcPr>
            <w:tcW w:w="18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Other</w:t>
            </w:r>
          </w:p>
        </w:tc>
        <w:tc>
          <w:tcPr>
            <w:tcW w:w="2720" w:type="dxa"/>
            <w:vAlign w:val="bottom"/>
            <w:tcBorders>
              <w:top w:val="single" w:sz="8" w:color="CFF0FC"/>
            </w:tcBorders>
          </w:tcPr>
          <w:p>
            <w:pPr>
              <w:spacing w:after="0"/>
              <w:rPr>
                <w:sz w:val="11"/>
                <w:szCs w:val="11"/>
                <w:color w:val="auto"/>
              </w:rPr>
            </w:pPr>
          </w:p>
        </w:tc>
        <w:tc>
          <w:tcPr>
            <w:tcW w:w="920" w:type="dxa"/>
            <w:vAlign w:val="bottom"/>
            <w:tcBorders>
              <w:top w:val="single" w:sz="8" w:color="CFF0FC"/>
            </w:tcBorders>
          </w:tcPr>
          <w:p>
            <w:pPr>
              <w:spacing w:after="0"/>
              <w:rPr>
                <w:sz w:val="11"/>
                <w:szCs w:val="11"/>
                <w:color w:val="auto"/>
              </w:rPr>
            </w:pPr>
          </w:p>
        </w:tc>
        <w:tc>
          <w:tcPr>
            <w:tcW w:w="144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17"/>
        </w:trPr>
        <w:tc>
          <w:tcPr>
            <w:tcW w:w="18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Scorpio Bidco </w:t>
            </w:r>
            <w:r>
              <w:rPr>
                <w:rFonts w:ascii="Times New Roman" w:cs="Times New Roman" w:eastAsia="Times New Roman" w:hAnsi="Times New Roman"/>
                <w:sz w:val="13"/>
                <w:szCs w:val="13"/>
                <w:color w:val="auto"/>
                <w:vertAlign w:val="superscript"/>
              </w:rPr>
              <w:t>(3)(4)</w:t>
            </w:r>
          </w:p>
        </w:tc>
        <w:tc>
          <w:tcPr>
            <w:tcW w:w="27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(EUR 75,326 par, due 4/2031)</w:t>
            </w:r>
          </w:p>
        </w:tc>
        <w:tc>
          <w:tcPr>
            <w:tcW w:w="920" w:type="dxa"/>
            <w:vAlign w:val="bottom"/>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4/4/2024</w:t>
            </w:r>
          </w:p>
        </w:tc>
        <w:tc>
          <w:tcPr>
            <w:tcW w:w="1440" w:type="dxa"/>
            <w:vAlign w:val="bottom"/>
            <w:shd w:val="clear" w:color="auto" w:fill="CFF0FC"/>
          </w:tcPr>
          <w:p>
            <w:pPr>
              <w:jc w:val="right"/>
              <w:ind w:right="49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08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8.43%</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80,131</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77,534</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1.9%</w:t>
            </w:r>
          </w:p>
        </w:tc>
      </w:tr>
      <w:tr>
        <w:trPr>
          <w:trHeight w:val="153"/>
        </w:trPr>
        <w:tc>
          <w:tcPr>
            <w:tcW w:w="184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74,876)</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4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Sky Bidco S.p.A. </w:t>
            </w:r>
            <w:r>
              <w:rPr>
                <w:rFonts w:ascii="Times New Roman" w:cs="Times New Roman" w:eastAsia="Times New Roman" w:hAnsi="Times New Roman"/>
                <w:sz w:val="13"/>
                <w:szCs w:val="13"/>
                <w:color w:val="auto"/>
                <w:vertAlign w:val="superscript"/>
              </w:rPr>
              <w:t>(3)(4)</w:t>
            </w:r>
          </w:p>
        </w:tc>
        <w:tc>
          <w:tcPr>
            <w:tcW w:w="27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note (EUR 52,053 par, due 10/2031)</w:t>
            </w:r>
          </w:p>
        </w:tc>
        <w:tc>
          <w:tcPr>
            <w:tcW w:w="92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10/29/2024</w:t>
            </w:r>
          </w:p>
        </w:tc>
        <w:tc>
          <w:tcPr>
            <w:tcW w:w="1440" w:type="dxa"/>
            <w:vAlign w:val="bottom"/>
          </w:tcPr>
          <w:p>
            <w:pPr>
              <w:jc w:val="right"/>
              <w:ind w:right="49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08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8.20%</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54,529</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52,439</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1.3%</w:t>
            </w:r>
          </w:p>
        </w:tc>
      </w:tr>
      <w:tr>
        <w:trPr>
          <w:trHeight w:val="153"/>
        </w:trPr>
        <w:tc>
          <w:tcPr>
            <w:tcW w:w="1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50,641)</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40" w:type="dxa"/>
            <w:vAlign w:val="bottom"/>
            <w:shd w:val="clear" w:color="auto" w:fill="CFF0FC"/>
          </w:tcPr>
          <w:p>
            <w:pPr>
              <w:spacing w:after="0"/>
              <w:rPr>
                <w:sz w:val="10"/>
                <w:szCs w:val="10"/>
                <w:color w:val="auto"/>
              </w:rPr>
            </w:pPr>
          </w:p>
        </w:tc>
        <w:tc>
          <w:tcPr>
            <w:tcW w:w="27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note ($115,131 par, due 10/2031)</w:t>
            </w:r>
          </w:p>
        </w:tc>
        <w:tc>
          <w:tcPr>
            <w:tcW w:w="920" w:type="dxa"/>
            <w:vAlign w:val="bottom"/>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10/29/2024</w:t>
            </w:r>
          </w:p>
        </w:tc>
        <w:tc>
          <w:tcPr>
            <w:tcW w:w="1440" w:type="dxa"/>
            <w:vAlign w:val="bottom"/>
            <w:shd w:val="clear" w:color="auto" w:fill="CFF0FC"/>
          </w:tcPr>
          <w:p>
            <w:pPr>
              <w:jc w:val="right"/>
              <w:ind w:right="5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08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10.51%</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112,884</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113,116</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2.8%</w:t>
            </w:r>
          </w:p>
        </w:tc>
      </w:tr>
      <w:tr>
        <w:trPr>
          <w:trHeight w:val="140"/>
        </w:trPr>
        <w:tc>
          <w:tcPr>
            <w:tcW w:w="1840" w:type="dxa"/>
            <w:vAlign w:val="bottom"/>
            <w:tcBorders>
              <w:bottom w:val="single" w:sz="8" w:color="CFF0FC"/>
            </w:tcBorders>
            <w:shd w:val="clear" w:color="auto" w:fill="CFF0FC"/>
          </w:tcPr>
          <w:p>
            <w:pPr>
              <w:spacing w:after="0"/>
              <w:rPr>
                <w:sz w:val="12"/>
                <w:szCs w:val="12"/>
                <w:color w:val="auto"/>
              </w:rPr>
            </w:pPr>
          </w:p>
        </w:tc>
        <w:tc>
          <w:tcPr>
            <w:tcW w:w="27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CFF0FC"/>
            </w:tcBorders>
            <w:shd w:val="clear" w:color="auto" w:fill="CFF0FC"/>
          </w:tcPr>
          <w:p>
            <w:pPr>
              <w:jc w:val="right"/>
              <w:ind w:right="497"/>
              <w:spacing w:after="0" w:line="140" w:lineRule="exact"/>
              <w:rPr>
                <w:sz w:val="20"/>
                <w:szCs w:val="20"/>
                <w:color w:val="auto"/>
              </w:rPr>
            </w:pPr>
            <w:r>
              <w:rPr>
                <w:rFonts w:ascii="Times New Roman" w:cs="Times New Roman" w:eastAsia="Times New Roman" w:hAnsi="Times New Roman"/>
                <w:sz w:val="13"/>
                <w:szCs w:val="13"/>
                <w:color w:val="auto"/>
              </w:rPr>
              <w:t>5.25%</w:t>
            </w:r>
          </w:p>
        </w:tc>
        <w:tc>
          <w:tcPr>
            <w:tcW w:w="10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r>
      <w:tr>
        <w:trPr>
          <w:trHeight w:val="138"/>
        </w:trPr>
        <w:tc>
          <w:tcPr>
            <w:tcW w:w="18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247,544</w:t>
            </w:r>
          </w:p>
        </w:tc>
        <w:tc>
          <w:tcPr>
            <w:tcW w:w="11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243,089</w:t>
            </w:r>
          </w:p>
        </w:tc>
        <w:tc>
          <w:tcPr>
            <w:tcW w:w="126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-1059815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-1059815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-1059815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-699770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-699770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-699770</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-99695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-99695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-99695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-5080</wp:posOffset>
            </wp:positionV>
            <wp:extent cx="19716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p>
      <w:pPr>
        <w:spacing w:after="0" w:line="189" w:lineRule="auto"/>
        <w:rPr>
          <w:sz w:val="20"/>
          <w:szCs w:val="20"/>
          <w:color w:val="auto"/>
        </w:rPr>
      </w:pPr>
      <w:r>
        <w:rPr>
          <w:rFonts w:ascii="Times New Roman" w:cs="Times New Roman" w:eastAsia="Times New Roman" w:hAnsi="Times New Roman"/>
          <w:sz w:val="13"/>
          <w:szCs w:val="13"/>
          <w:b w:val="1"/>
          <w:bCs w:val="1"/>
          <w:color w:val="auto"/>
        </w:rPr>
        <w:t>Pharmaceuticals</w:t>
      </w:r>
    </w:p>
    <w:p>
      <w:pPr>
        <w:spacing w:after="0"/>
        <w:rPr>
          <w:sz w:val="20"/>
          <w:szCs w:val="20"/>
          <w:color w:val="auto"/>
        </w:rPr>
      </w:pPr>
      <w:r>
        <w:rPr>
          <w:rFonts w:ascii="Times New Roman" w:cs="Times New Roman" w:eastAsia="Times New Roman" w:hAnsi="Times New Roman"/>
          <w:sz w:val="13"/>
          <w:szCs w:val="13"/>
          <w:color w:val="auto"/>
        </w:rPr>
        <w:t xml:space="preserve">Apellis Pharmaceuticals, Inc. </w:t>
      </w:r>
      <w:r>
        <w:rPr>
          <w:rFonts w:ascii="Times New Roman" w:cs="Times New Roman" w:eastAsia="Times New Roman" w:hAnsi="Times New Roman"/>
          <w:sz w:val="16"/>
          <w:szCs w:val="16"/>
          <w:color w:val="auto"/>
          <w:vertAlign w:val="superscript"/>
        </w:rPr>
        <w:t>(3)(4)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Arrowhead Pharmaceuticals, Inc. </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3"/>
          <w:szCs w:val="13"/>
          <w:color w:val="auto"/>
        </w:rPr>
        <w:t xml:space="preserve">Elysium BidCo Limited </w:t>
      </w:r>
      <w:r>
        <w:rPr>
          <w:rFonts w:ascii="Times New Roman" w:cs="Times New Roman" w:eastAsia="Times New Roman" w:hAnsi="Times New Roman"/>
          <w:sz w:val="16"/>
          <w:szCs w:val="16"/>
          <w:color w:val="auto"/>
          <w:vertAlign w:val="superscript"/>
        </w:rPr>
        <w:t>(3)(4)</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($157,895 par, due 5/2030)</w:t>
            </w: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5/13/2024</w:t>
            </w:r>
          </w:p>
        </w:tc>
        <w:tc>
          <w:tcPr>
            <w:tcW w:w="1380" w:type="dxa"/>
            <w:vAlign w:val="bottom"/>
          </w:tcPr>
          <w:p>
            <w:pPr>
              <w:jc w:val="right"/>
              <w:ind w:right="597"/>
              <w:spacing w:after="0"/>
              <w:rPr>
                <w:sz w:val="20"/>
                <w:szCs w:val="20"/>
                <w:color w:val="auto"/>
              </w:rPr>
            </w:pPr>
            <w:r>
              <w:rPr>
                <w:rFonts w:ascii="Times New Roman" w:cs="Times New Roman" w:eastAsia="Times New Roman" w:hAnsi="Times New Roman"/>
                <w:sz w:val="13"/>
                <w:szCs w:val="13"/>
                <w:color w:val="auto"/>
              </w:rPr>
              <w:t>SOFR +</w:t>
            </w:r>
          </w:p>
        </w:tc>
        <w:tc>
          <w:tcPr>
            <w:tcW w:w="118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10.08%</w:t>
            </w: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157,895</w:t>
            </w:r>
          </w:p>
        </w:tc>
        <w:tc>
          <w:tcPr>
            <w:tcW w:w="14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159,395</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35"/>
        </w:trPr>
        <w:tc>
          <w:tcPr>
            <w:tcW w:w="2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tcPr>
          <w:p>
            <w:pPr>
              <w:jc w:val="right"/>
              <w:ind w:right="557"/>
              <w:spacing w:after="0" w:line="135" w:lineRule="exact"/>
              <w:rPr>
                <w:sz w:val="20"/>
                <w:szCs w:val="20"/>
                <w:color w:val="auto"/>
              </w:rPr>
            </w:pPr>
            <w:r>
              <w:rPr>
                <w:rFonts w:ascii="Times New Roman" w:cs="Times New Roman" w:eastAsia="Times New Roman" w:hAnsi="Times New Roman"/>
                <w:sz w:val="13"/>
                <w:szCs w:val="13"/>
                <w:color w:val="auto"/>
              </w:rPr>
              <w:t>5.75%</w:t>
            </w: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($139,864 par, due 8/2031)</w:t>
            </w:r>
          </w:p>
        </w:tc>
        <w:tc>
          <w:tcPr>
            <w:tcW w:w="10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8/7/2024</w:t>
            </w:r>
          </w:p>
        </w:tc>
        <w:tc>
          <w:tcPr>
            <w:tcW w:w="1380" w:type="dxa"/>
            <w:vAlign w:val="bottom"/>
          </w:tcPr>
          <w:p>
            <w:pPr>
              <w:jc w:val="right"/>
              <w:ind w:right="437"/>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118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86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138,589</w:t>
            </w:r>
          </w:p>
        </w:tc>
        <w:tc>
          <w:tcPr>
            <w:tcW w:w="142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186,719</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r>
      <w:tr>
        <w:trPr>
          <w:trHeight w:val="135"/>
        </w:trPr>
        <w:tc>
          <w:tcPr>
            <w:tcW w:w="2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(EUR 139,148 par, due 12/2030)</w:t>
            </w:r>
          </w:p>
        </w:tc>
        <w:tc>
          <w:tcPr>
            <w:tcW w:w="10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12/11/2024</w:t>
            </w:r>
          </w:p>
        </w:tc>
        <w:tc>
          <w:tcPr>
            <w:tcW w:w="1380" w:type="dxa"/>
            <w:vAlign w:val="bottom"/>
          </w:tcPr>
          <w:p>
            <w:pPr>
              <w:jc w:val="right"/>
              <w:ind w:right="557"/>
              <w:spacing w:after="0" w:line="135" w:lineRule="exact"/>
              <w:rPr>
                <w:sz w:val="20"/>
                <w:szCs w:val="20"/>
                <w:color w:val="auto"/>
              </w:rPr>
            </w:pPr>
            <w:r>
              <w:rPr>
                <w:rFonts w:ascii="Times New Roman" w:cs="Times New Roman" w:eastAsia="Times New Roman" w:hAnsi="Times New Roman"/>
                <w:sz w:val="13"/>
                <w:szCs w:val="13"/>
                <w:color w:val="auto"/>
              </w:rPr>
              <w:t>E + 7.25%</w:t>
            </w:r>
          </w:p>
        </w:tc>
        <w:tc>
          <w:tcPr>
            <w:tcW w:w="118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10.07%</w:t>
            </w:r>
          </w:p>
        </w:tc>
        <w:tc>
          <w:tcPr>
            <w:tcW w:w="86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142,331</w:t>
            </w:r>
          </w:p>
        </w:tc>
        <w:tc>
          <w:tcPr>
            <w:tcW w:w="142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140,846</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r>
      <w:tr>
        <w:trPr>
          <w:trHeight w:val="149"/>
        </w:trPr>
        <w:tc>
          <w:tcPr>
            <w:tcW w:w="2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(EUR 136,017)</w:t>
            </w:r>
          </w:p>
        </w:tc>
        <w:tc>
          <w:tcPr>
            <w:tcW w:w="7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-511175</wp:posOffset>
            </wp:positionV>
            <wp:extent cx="713232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-254000</wp:posOffset>
            </wp:positionV>
            <wp:extent cx="7132320"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820" w:space="140"/>
            <w:col w:w="9280"/>
          </w:cols>
          <w:pgMar w:left="320" w:top="977" w:right="3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1820" w:type="dxa"/>
            <w:vAlign w:val="bottom"/>
            <w:shd w:val="clear" w:color="auto" w:fill="CFF0FC"/>
          </w:tcPr>
          <w:p>
            <w:pPr>
              <w:spacing w:after="0"/>
              <w:rPr>
                <w:sz w:val="10"/>
                <w:szCs w:val="10"/>
                <w:color w:val="auto"/>
              </w:rPr>
            </w:pPr>
          </w:p>
        </w:tc>
        <w:tc>
          <w:tcPr>
            <w:tcW w:w="2780" w:type="dxa"/>
            <w:vAlign w:val="bottom"/>
            <w:shd w:val="clear" w:color="auto" w:fill="CFF0FC"/>
          </w:tcPr>
          <w:p>
            <w:pPr>
              <w:ind w:left="140"/>
              <w:spacing w:after="0" w:line="121" w:lineRule="exact"/>
              <w:rPr>
                <w:sz w:val="20"/>
                <w:szCs w:val="20"/>
                <w:color w:val="auto"/>
              </w:rPr>
            </w:pPr>
            <w:r>
              <w:rPr>
                <w:rFonts w:ascii="Times New Roman" w:cs="Times New Roman" w:eastAsia="Times New Roman" w:hAnsi="Times New Roman"/>
                <w:sz w:val="13"/>
                <w:szCs w:val="13"/>
                <w:color w:val="auto"/>
              </w:rPr>
              <w:t>First-lien loan (GBP 77,006 par, due 12/2030)</w:t>
            </w:r>
          </w:p>
        </w:tc>
        <w:tc>
          <w:tcPr>
            <w:tcW w:w="1000" w:type="dxa"/>
            <w:vAlign w:val="bottom"/>
            <w:shd w:val="clear" w:color="auto" w:fill="CFF0FC"/>
          </w:tcPr>
          <w:p>
            <w:pPr>
              <w:jc w:val="right"/>
              <w:ind w:right="137"/>
              <w:spacing w:after="0" w:line="121" w:lineRule="exact"/>
              <w:rPr>
                <w:sz w:val="20"/>
                <w:szCs w:val="20"/>
                <w:color w:val="auto"/>
              </w:rPr>
            </w:pPr>
            <w:r>
              <w:rPr>
                <w:rFonts w:ascii="Times New Roman" w:cs="Times New Roman" w:eastAsia="Times New Roman" w:hAnsi="Times New Roman"/>
                <w:sz w:val="13"/>
                <w:szCs w:val="13"/>
                <w:color w:val="auto"/>
              </w:rPr>
              <w:t>12/11/2024</w:t>
            </w:r>
          </w:p>
        </w:tc>
        <w:tc>
          <w:tcPr>
            <w:tcW w:w="920" w:type="dxa"/>
            <w:vAlign w:val="bottom"/>
            <w:shd w:val="clear" w:color="auto" w:fill="CFF0FC"/>
          </w:tcPr>
          <w:p>
            <w:pPr>
              <w:jc w:val="right"/>
              <w:ind w:right="97"/>
              <w:spacing w:after="0" w:line="121" w:lineRule="exact"/>
              <w:rPr>
                <w:sz w:val="20"/>
                <w:szCs w:val="20"/>
                <w:color w:val="auto"/>
              </w:rPr>
            </w:pPr>
            <w:r>
              <w:rPr>
                <w:rFonts w:ascii="Times New Roman" w:cs="Times New Roman" w:eastAsia="Times New Roman" w:hAnsi="Times New Roman"/>
                <w:sz w:val="13"/>
                <w:szCs w:val="13"/>
                <w:color w:val="auto"/>
              </w:rPr>
              <w:t>S + 7.25%</w:t>
            </w:r>
          </w:p>
        </w:tc>
        <w:tc>
          <w:tcPr>
            <w:tcW w:w="1480" w:type="dxa"/>
            <w:vAlign w:val="bottom"/>
            <w:shd w:val="clear" w:color="auto" w:fill="CFF0FC"/>
          </w:tcPr>
          <w:p>
            <w:pPr>
              <w:jc w:val="right"/>
              <w:ind w:right="57"/>
              <w:spacing w:after="0" w:line="121" w:lineRule="exact"/>
              <w:rPr>
                <w:sz w:val="20"/>
                <w:szCs w:val="20"/>
                <w:color w:val="auto"/>
              </w:rPr>
            </w:pPr>
            <w:r>
              <w:rPr>
                <w:rFonts w:ascii="Times New Roman" w:cs="Times New Roman" w:eastAsia="Times New Roman" w:hAnsi="Times New Roman"/>
                <w:sz w:val="13"/>
                <w:szCs w:val="13"/>
                <w:color w:val="auto"/>
              </w:rPr>
              <w:t>11.95%</w:t>
            </w:r>
          </w:p>
        </w:tc>
        <w:tc>
          <w:tcPr>
            <w:tcW w:w="8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3"/>
                <w:szCs w:val="13"/>
                <w:color w:val="auto"/>
              </w:rPr>
              <w:t>95,685</w:t>
            </w:r>
          </w:p>
        </w:tc>
        <w:tc>
          <w:tcPr>
            <w:tcW w:w="1100" w:type="dxa"/>
            <w:vAlign w:val="bottom"/>
            <w:gridSpan w:val="2"/>
            <w:shd w:val="clear" w:color="auto" w:fill="CFF0FC"/>
          </w:tcPr>
          <w:p>
            <w:pPr>
              <w:jc w:val="right"/>
              <w:spacing w:after="0" w:line="121" w:lineRule="exact"/>
              <w:rPr>
                <w:sz w:val="20"/>
                <w:szCs w:val="20"/>
                <w:color w:val="auto"/>
              </w:rPr>
            </w:pPr>
            <w:r>
              <w:rPr>
                <w:rFonts w:ascii="Times New Roman" w:cs="Times New Roman" w:eastAsia="Times New Roman" w:hAnsi="Times New Roman"/>
                <w:sz w:val="13"/>
                <w:szCs w:val="13"/>
                <w:color w:val="auto"/>
              </w:rPr>
              <w:t>93,839</w:t>
            </w:r>
          </w:p>
        </w:tc>
        <w:tc>
          <w:tcPr>
            <w:tcW w:w="12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3"/>
                <w:szCs w:val="13"/>
                <w:color w:val="auto"/>
              </w:rPr>
              <w:t>2.3%</w:t>
            </w:r>
          </w:p>
        </w:tc>
      </w:tr>
      <w:tr>
        <w:trPr>
          <w:trHeight w:val="153"/>
        </w:trPr>
        <w:tc>
          <w:tcPr>
            <w:tcW w:w="1820" w:type="dxa"/>
            <w:vAlign w:val="bottom"/>
            <w:tcBorders>
              <w:bottom w:val="single" w:sz="8" w:color="CFF0FC"/>
            </w:tcBorders>
            <w:shd w:val="clear" w:color="auto" w:fill="CFF0FC"/>
          </w:tcPr>
          <w:p>
            <w:pPr>
              <w:spacing w:after="0"/>
              <w:rPr>
                <w:sz w:val="13"/>
                <w:szCs w:val="13"/>
                <w:color w:val="auto"/>
              </w:rPr>
            </w:pPr>
          </w:p>
        </w:tc>
        <w:tc>
          <w:tcPr>
            <w:tcW w:w="278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4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74,927)</w:t>
            </w: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r>
      <w:tr>
        <w:trPr>
          <w:trHeight w:val="128"/>
        </w:trPr>
        <w:tc>
          <w:tcPr>
            <w:tcW w:w="18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534,500</w:t>
            </w:r>
          </w:p>
        </w:tc>
        <w:tc>
          <w:tcPr>
            <w:tcW w:w="1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580,799</w:t>
            </w:r>
          </w:p>
        </w:tc>
        <w:tc>
          <w:tcPr>
            <w:tcW w:w="12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14.3%</w:t>
            </w:r>
          </w:p>
        </w:tc>
      </w:tr>
      <w:tr>
        <w:trPr>
          <w:trHeight w:val="129"/>
        </w:trPr>
        <w:tc>
          <w:tcPr>
            <w:tcW w:w="18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27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8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Cirrus (BidCo) Limited </w:t>
            </w:r>
            <w:r>
              <w:rPr>
                <w:rFonts w:ascii="Times New Roman" w:cs="Times New Roman" w:eastAsia="Times New Roman" w:hAnsi="Times New Roman"/>
                <w:sz w:val="13"/>
                <w:szCs w:val="13"/>
                <w:color w:val="auto"/>
                <w:vertAlign w:val="superscript"/>
              </w:rPr>
              <w:t>(3)(4)(5)</w:t>
            </w:r>
          </w:p>
        </w:tc>
        <w:tc>
          <w:tcPr>
            <w:tcW w:w="278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(GBP 675 par, due 8/2030)</w:t>
            </w:r>
          </w:p>
        </w:tc>
        <w:tc>
          <w:tcPr>
            <w:tcW w:w="100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8/9/2024</w:t>
            </w:r>
          </w:p>
        </w:tc>
        <w:tc>
          <w:tcPr>
            <w:tcW w:w="920" w:type="dxa"/>
            <w:vAlign w:val="bottom"/>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S + 6.25%</w:t>
            </w:r>
          </w:p>
        </w:tc>
        <w:tc>
          <w:tcPr>
            <w:tcW w:w="1480" w:type="dxa"/>
            <w:vAlign w:val="bottom"/>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10.95% (incl. 3.00%</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836</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836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8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667)</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7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8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vertAlign w:val="subscript"/>
              </w:rPr>
              <w:t>Acosta</w:t>
            </w:r>
            <w:r>
              <w:rPr>
                <w:rFonts w:ascii="Times New Roman" w:cs="Times New Roman" w:eastAsia="Times New Roman" w:hAnsi="Times New Roman"/>
                <w:sz w:val="6"/>
                <w:szCs w:val="6"/>
                <w:color w:val="auto"/>
              </w:rPr>
              <w:t xml:space="preserve"> (3)(12)</w:t>
            </w:r>
          </w:p>
        </w:tc>
        <w:tc>
          <w:tcPr>
            <w:tcW w:w="278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($140,000 par, due 8/2031)</w:t>
            </w:r>
          </w:p>
        </w:tc>
        <w:tc>
          <w:tcPr>
            <w:tcW w:w="100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8/20/2024</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10.12%</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137,318</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138,950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3.4%</w:t>
            </w:r>
          </w:p>
        </w:tc>
      </w:tr>
      <w:tr>
        <w:trPr>
          <w:trHeight w:val="153"/>
        </w:trPr>
        <w:tc>
          <w:tcPr>
            <w:tcW w:w="18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5.60%</w:t>
            </w: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Bed Bath and Beyond Inc. </w:t>
            </w:r>
            <w:r>
              <w:rPr>
                <w:rFonts w:ascii="Times New Roman" w:cs="Times New Roman" w:eastAsia="Times New Roman" w:hAnsi="Times New Roman"/>
                <w:sz w:val="13"/>
                <w:szCs w:val="13"/>
                <w:color w:val="auto"/>
                <w:vertAlign w:val="superscript"/>
              </w:rPr>
              <w:t>(3)(11)</w:t>
            </w:r>
          </w:p>
        </w:tc>
        <w:tc>
          <w:tcPr>
            <w:tcW w:w="278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ABL FILO term loan ($16,352 par, due 8/2027)</w:t>
            </w:r>
          </w:p>
        </w:tc>
        <w:tc>
          <w:tcPr>
            <w:tcW w:w="100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9/2/2022</w:t>
            </w:r>
          </w:p>
        </w:tc>
        <w:tc>
          <w:tcPr>
            <w:tcW w:w="92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14.26%</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16,104</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14,962</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0.4%</w:t>
            </w:r>
          </w:p>
        </w:tc>
      </w:tr>
      <w:tr>
        <w:trPr>
          <w:trHeight w:val="153"/>
        </w:trPr>
        <w:tc>
          <w:tcPr>
            <w:tcW w:w="1820" w:type="dxa"/>
            <w:vAlign w:val="bottom"/>
            <w:shd w:val="clear" w:color="auto" w:fill="CFF0FC"/>
          </w:tcPr>
          <w:p>
            <w:pPr>
              <w:spacing w:after="0"/>
              <w:rPr>
                <w:sz w:val="13"/>
                <w:szCs w:val="13"/>
                <w:color w:val="auto"/>
              </w:rPr>
            </w:pPr>
          </w:p>
        </w:tc>
        <w:tc>
          <w:tcPr>
            <w:tcW w:w="27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9.90%</w:t>
            </w: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20" w:type="dxa"/>
            <w:vAlign w:val="bottom"/>
          </w:tcPr>
          <w:p>
            <w:pPr>
              <w:spacing w:after="0"/>
              <w:rPr>
                <w:sz w:val="10"/>
                <w:szCs w:val="10"/>
                <w:color w:val="auto"/>
              </w:rPr>
            </w:pPr>
          </w:p>
        </w:tc>
        <w:tc>
          <w:tcPr>
            <w:tcW w:w="278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Roll Up DIP term loan ($45,317 par)</w:t>
            </w:r>
          </w:p>
        </w:tc>
        <w:tc>
          <w:tcPr>
            <w:tcW w:w="100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4/24/2023</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12.26% PIK</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45,317</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41,465</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w:t>
            </w:r>
          </w:p>
        </w:tc>
      </w:tr>
      <w:tr>
        <w:trPr>
          <w:trHeight w:val="153"/>
        </w:trPr>
        <w:tc>
          <w:tcPr>
            <w:tcW w:w="18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7.90%</w:t>
            </w: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20" w:type="dxa"/>
            <w:vAlign w:val="bottom"/>
            <w:shd w:val="clear" w:color="auto" w:fill="CFF0FC"/>
          </w:tcPr>
          <w:p>
            <w:pPr>
              <w:spacing w:after="0"/>
              <w:rPr>
                <w:sz w:val="10"/>
                <w:szCs w:val="10"/>
                <w:color w:val="auto"/>
              </w:rPr>
            </w:pPr>
          </w:p>
        </w:tc>
        <w:tc>
          <w:tcPr>
            <w:tcW w:w="278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Super-Priority DIP term loan ($7,251 par)</w:t>
            </w:r>
          </w:p>
        </w:tc>
        <w:tc>
          <w:tcPr>
            <w:tcW w:w="100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4/24/2023</w:t>
            </w:r>
          </w:p>
        </w:tc>
        <w:tc>
          <w:tcPr>
            <w:tcW w:w="92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12.26%</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7,251</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6,635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r>
      <w:tr>
        <w:trPr>
          <w:trHeight w:val="153"/>
        </w:trPr>
        <w:tc>
          <w:tcPr>
            <w:tcW w:w="1820" w:type="dxa"/>
            <w:vAlign w:val="bottom"/>
            <w:shd w:val="clear" w:color="auto" w:fill="CFF0FC"/>
          </w:tcPr>
          <w:p>
            <w:pPr>
              <w:spacing w:after="0"/>
              <w:rPr>
                <w:sz w:val="13"/>
                <w:szCs w:val="13"/>
                <w:color w:val="auto"/>
              </w:rPr>
            </w:pPr>
          </w:p>
        </w:tc>
        <w:tc>
          <w:tcPr>
            <w:tcW w:w="27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7.90%</w:t>
            </w: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Belk, Inc. </w:t>
            </w:r>
            <w:r>
              <w:rPr>
                <w:rFonts w:ascii="Times New Roman" w:cs="Times New Roman" w:eastAsia="Times New Roman" w:hAnsi="Times New Roman"/>
                <w:sz w:val="13"/>
                <w:szCs w:val="13"/>
                <w:color w:val="auto"/>
                <w:vertAlign w:val="superscript"/>
              </w:rPr>
              <w:t>(3)</w:t>
            </w:r>
          </w:p>
        </w:tc>
        <w:tc>
          <w:tcPr>
            <w:tcW w:w="278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($192,563 par, due 7/2029)</w:t>
            </w:r>
          </w:p>
        </w:tc>
        <w:tc>
          <w:tcPr>
            <w:tcW w:w="100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7/22/2024</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11.51%</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189,683</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191,118</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4.7%</w:t>
            </w:r>
          </w:p>
        </w:tc>
      </w:tr>
      <w:tr>
        <w:trPr>
          <w:trHeight w:val="153"/>
        </w:trPr>
        <w:tc>
          <w:tcPr>
            <w:tcW w:w="18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7.00%</w:t>
            </w: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Commercehub, Inc. </w:t>
            </w:r>
            <w:r>
              <w:rPr>
                <w:rFonts w:ascii="Times New Roman" w:cs="Times New Roman" w:eastAsia="Times New Roman" w:hAnsi="Times New Roman"/>
                <w:sz w:val="13"/>
                <w:szCs w:val="13"/>
                <w:color w:val="auto"/>
                <w:vertAlign w:val="superscript"/>
              </w:rPr>
              <w:t>(3)</w:t>
            </w:r>
          </w:p>
        </w:tc>
        <w:tc>
          <w:tcPr>
            <w:tcW w:w="278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($147,000 par, due 12/2027)</w:t>
            </w:r>
          </w:p>
        </w:tc>
        <w:tc>
          <w:tcPr>
            <w:tcW w:w="100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11/15/2022</w:t>
            </w:r>
          </w:p>
        </w:tc>
        <w:tc>
          <w:tcPr>
            <w:tcW w:w="92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10.90%</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140,246</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143,325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3.6%</w:t>
            </w:r>
          </w:p>
        </w:tc>
      </w:tr>
      <w:tr>
        <w:trPr>
          <w:trHeight w:val="153"/>
        </w:trPr>
        <w:tc>
          <w:tcPr>
            <w:tcW w:w="1820" w:type="dxa"/>
            <w:vAlign w:val="bottom"/>
            <w:shd w:val="clear" w:color="auto" w:fill="CFF0FC"/>
          </w:tcPr>
          <w:p>
            <w:pPr>
              <w:spacing w:after="0"/>
              <w:rPr>
                <w:sz w:val="13"/>
                <w:szCs w:val="13"/>
                <w:color w:val="auto"/>
              </w:rPr>
            </w:pPr>
          </w:p>
        </w:tc>
        <w:tc>
          <w:tcPr>
            <w:tcW w:w="27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6.25%</w:t>
            </w: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PDI TA Holdings, Inc. </w:t>
            </w:r>
            <w:r>
              <w:rPr>
                <w:rFonts w:ascii="Times New Roman" w:cs="Times New Roman" w:eastAsia="Times New Roman" w:hAnsi="Times New Roman"/>
                <w:sz w:val="13"/>
                <w:szCs w:val="13"/>
                <w:color w:val="auto"/>
                <w:vertAlign w:val="superscript"/>
              </w:rPr>
              <w:t>(3)</w:t>
            </w:r>
          </w:p>
        </w:tc>
        <w:tc>
          <w:tcPr>
            <w:tcW w:w="278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($146,333 par, due 2/2031)</w:t>
            </w:r>
          </w:p>
        </w:tc>
        <w:tc>
          <w:tcPr>
            <w:tcW w:w="100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2/1/2024</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10.09%</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144,076</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147,197</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3.6%</w:t>
            </w:r>
          </w:p>
        </w:tc>
      </w:tr>
      <w:tr>
        <w:trPr>
          <w:trHeight w:val="153"/>
        </w:trPr>
        <w:tc>
          <w:tcPr>
            <w:tcW w:w="18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5.50%</w:t>
            </w: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08"/>
        </w:trPr>
        <w:tc>
          <w:tcPr>
            <w:tcW w:w="18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Rapid Data GmbH</w:t>
            </w:r>
          </w:p>
        </w:tc>
        <w:tc>
          <w:tcPr>
            <w:tcW w:w="2780" w:type="dxa"/>
            <w:vAlign w:val="bottom"/>
            <w:shd w:val="clear" w:color="auto" w:fill="CFF0FC"/>
          </w:tcPr>
          <w:p>
            <w:pPr>
              <w:ind w:left="140"/>
              <w:spacing w:after="0" w:line="108" w:lineRule="exact"/>
              <w:rPr>
                <w:sz w:val="20"/>
                <w:szCs w:val="20"/>
                <w:color w:val="auto"/>
              </w:rPr>
            </w:pPr>
            <w:r>
              <w:rPr>
                <w:rFonts w:ascii="Times New Roman" w:cs="Times New Roman" w:eastAsia="Times New Roman" w:hAnsi="Times New Roman"/>
                <w:sz w:val="12"/>
                <w:szCs w:val="12"/>
                <w:color w:val="auto"/>
              </w:rPr>
              <w:t>First-lien loan (EUR 7,378 par, due 7/2029)</w:t>
            </w:r>
          </w:p>
        </w:tc>
        <w:tc>
          <w:tcPr>
            <w:tcW w:w="1000" w:type="dxa"/>
            <w:vAlign w:val="bottom"/>
            <w:shd w:val="clear" w:color="auto" w:fill="CFF0FC"/>
          </w:tcPr>
          <w:p>
            <w:pPr>
              <w:jc w:val="right"/>
              <w:ind w:right="137"/>
              <w:spacing w:after="0" w:line="108" w:lineRule="exact"/>
              <w:rPr>
                <w:sz w:val="20"/>
                <w:szCs w:val="20"/>
                <w:color w:val="auto"/>
              </w:rPr>
            </w:pPr>
            <w:r>
              <w:rPr>
                <w:rFonts w:ascii="Times New Roman" w:cs="Times New Roman" w:eastAsia="Times New Roman" w:hAnsi="Times New Roman"/>
                <w:sz w:val="12"/>
                <w:szCs w:val="12"/>
                <w:color w:val="auto"/>
              </w:rPr>
              <w:t>7/11/2023</w:t>
            </w:r>
          </w:p>
        </w:tc>
        <w:tc>
          <w:tcPr>
            <w:tcW w:w="920" w:type="dxa"/>
            <w:vAlign w:val="bottom"/>
            <w:shd w:val="clear" w:color="auto" w:fill="CFF0FC"/>
          </w:tcPr>
          <w:p>
            <w:pPr>
              <w:jc w:val="right"/>
              <w:ind w:right="97"/>
              <w:spacing w:after="0" w:line="108" w:lineRule="exact"/>
              <w:rPr>
                <w:sz w:val="20"/>
                <w:szCs w:val="20"/>
                <w:color w:val="auto"/>
              </w:rPr>
            </w:pPr>
            <w:r>
              <w:rPr>
                <w:rFonts w:ascii="Times New Roman" w:cs="Times New Roman" w:eastAsia="Times New Roman" w:hAnsi="Times New Roman"/>
                <w:sz w:val="12"/>
                <w:szCs w:val="12"/>
                <w:color w:val="auto"/>
              </w:rPr>
              <w:t>E + 6.25%</w:t>
            </w:r>
          </w:p>
        </w:tc>
        <w:tc>
          <w:tcPr>
            <w:tcW w:w="1480" w:type="dxa"/>
            <w:vAlign w:val="bottom"/>
            <w:shd w:val="clear" w:color="auto" w:fill="CFF0FC"/>
          </w:tcPr>
          <w:p>
            <w:pPr>
              <w:jc w:val="right"/>
              <w:ind w:right="217"/>
              <w:spacing w:after="0" w:line="108" w:lineRule="exact"/>
              <w:rPr>
                <w:sz w:val="20"/>
                <w:szCs w:val="20"/>
                <w:color w:val="auto"/>
              </w:rPr>
            </w:pPr>
            <w:r>
              <w:rPr>
                <w:rFonts w:ascii="Times New Roman" w:cs="Times New Roman" w:eastAsia="Times New Roman" w:hAnsi="Times New Roman"/>
                <w:sz w:val="12"/>
                <w:szCs w:val="12"/>
                <w:color w:val="auto"/>
              </w:rPr>
              <w:t>9.47% (incl. 3.00%</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7,885</w:t>
            </w:r>
          </w:p>
        </w:tc>
        <w:tc>
          <w:tcPr>
            <w:tcW w:w="11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7,685</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0.2%</w:t>
            </w:r>
          </w:p>
        </w:tc>
      </w:tr>
      <w:tr>
        <w:trPr>
          <w:trHeight w:val="162"/>
        </w:trPr>
        <w:tc>
          <w:tcPr>
            <w:tcW w:w="18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 xml:space="preserve">Unternehmensberatung </w:t>
            </w:r>
            <w:r>
              <w:rPr>
                <w:rFonts w:ascii="Times New Roman" w:cs="Times New Roman" w:eastAsia="Times New Roman" w:hAnsi="Times New Roman"/>
                <w:sz w:val="16"/>
                <w:szCs w:val="16"/>
                <w:color w:val="auto"/>
                <w:vertAlign w:val="superscript"/>
              </w:rPr>
              <w:t>(3)(4)</w:t>
            </w:r>
          </w:p>
        </w:tc>
        <w:tc>
          <w:tcPr>
            <w:tcW w:w="278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CFF0FC"/>
            </w:tcBorders>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7,422)</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r>
      <w:tr>
        <w:trPr>
          <w:trHeight w:val="128"/>
        </w:trPr>
        <w:tc>
          <w:tcPr>
            <w:tcW w:w="18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687,880</w:t>
            </w:r>
          </w:p>
        </w:tc>
        <w:tc>
          <w:tcPr>
            <w:tcW w:w="1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691,337</w:t>
            </w:r>
          </w:p>
        </w:tc>
        <w:tc>
          <w:tcPr>
            <w:tcW w:w="12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17.1%</w:t>
            </w:r>
          </w:p>
        </w:tc>
      </w:tr>
      <w:tr>
        <w:trPr>
          <w:trHeight w:val="128"/>
        </w:trPr>
        <w:tc>
          <w:tcPr>
            <w:tcW w:w="18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27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82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Ben Nevis Midco Limited </w:t>
            </w:r>
            <w:r>
              <w:rPr>
                <w:rFonts w:ascii="Times New Roman" w:cs="Times New Roman" w:eastAsia="Times New Roman" w:hAnsi="Times New Roman"/>
                <w:sz w:val="13"/>
                <w:szCs w:val="13"/>
                <w:color w:val="auto"/>
                <w:vertAlign w:val="superscript"/>
              </w:rPr>
              <w:t>(3)(4)</w:t>
            </w:r>
          </w:p>
        </w:tc>
        <w:tc>
          <w:tcPr>
            <w:tcW w:w="278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($72,693 par, due 3/2028)</w:t>
            </w:r>
          </w:p>
        </w:tc>
        <w:tc>
          <w:tcPr>
            <w:tcW w:w="100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3/26/2024</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9.81%</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71,599</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72,193</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1.8%</w:t>
            </w:r>
          </w:p>
        </w:tc>
      </w:tr>
      <w:tr>
        <w:trPr>
          <w:trHeight w:val="153"/>
        </w:trPr>
        <w:tc>
          <w:tcPr>
            <w:tcW w:w="18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5.25%</w:t>
            </w: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Shiftmove GmbH </w:t>
            </w:r>
            <w:r>
              <w:rPr>
                <w:rFonts w:ascii="Times New Roman" w:cs="Times New Roman" w:eastAsia="Times New Roman" w:hAnsi="Times New Roman"/>
                <w:sz w:val="13"/>
                <w:szCs w:val="13"/>
                <w:color w:val="auto"/>
                <w:vertAlign w:val="superscript"/>
              </w:rPr>
              <w:t>(3)(4)(5)</w:t>
            </w:r>
          </w:p>
        </w:tc>
        <w:tc>
          <w:tcPr>
            <w:tcW w:w="278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(EUR 14,167 par, due 9/2030)</w:t>
            </w:r>
          </w:p>
        </w:tc>
        <w:tc>
          <w:tcPr>
            <w:tcW w:w="100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920" w:type="dxa"/>
            <w:vAlign w:val="bottom"/>
            <w:shd w:val="clear" w:color="auto" w:fill="CFF0FC"/>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E + 6.00%</w:t>
            </w:r>
          </w:p>
        </w:tc>
        <w:tc>
          <w:tcPr>
            <w:tcW w:w="148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8.68%</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15,337</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14,307</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0.4%</w:t>
            </w:r>
          </w:p>
        </w:tc>
      </w:tr>
      <w:tr>
        <w:trPr>
          <w:trHeight w:val="153"/>
        </w:trPr>
        <w:tc>
          <w:tcPr>
            <w:tcW w:w="1820" w:type="dxa"/>
            <w:vAlign w:val="bottom"/>
            <w:tcBorders>
              <w:bottom w:val="single" w:sz="8" w:color="CFF0FC"/>
            </w:tcBorders>
            <w:shd w:val="clear" w:color="auto" w:fill="CFF0FC"/>
          </w:tcPr>
          <w:p>
            <w:pPr>
              <w:spacing w:after="0"/>
              <w:rPr>
                <w:sz w:val="13"/>
                <w:szCs w:val="13"/>
                <w:color w:val="auto"/>
              </w:rPr>
            </w:pPr>
          </w:p>
        </w:tc>
        <w:tc>
          <w:tcPr>
            <w:tcW w:w="278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4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13,817)</w:t>
            </w: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r>
      <w:tr>
        <w:trPr>
          <w:trHeight w:val="129"/>
        </w:trPr>
        <w:tc>
          <w:tcPr>
            <w:tcW w:w="18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86,936</w:t>
            </w:r>
          </w:p>
        </w:tc>
        <w:tc>
          <w:tcPr>
            <w:tcW w:w="1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86,500</w:t>
            </w:r>
          </w:p>
        </w:tc>
        <w:tc>
          <w:tcPr>
            <w:tcW w:w="12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2.2%</w:t>
            </w:r>
          </w:p>
        </w:tc>
      </w:tr>
      <w:tr>
        <w:trPr>
          <w:trHeight w:val="128"/>
        </w:trPr>
        <w:tc>
          <w:tcPr>
            <w:tcW w:w="1820" w:type="dxa"/>
            <w:vAlign w:val="bottom"/>
            <w:tcBorders>
              <w:bottom w:val="single" w:sz="8" w:color="CFF0FC"/>
            </w:tcBorders>
            <w:shd w:val="clear" w:color="auto" w:fill="CFF0FC"/>
          </w:tcPr>
          <w:p>
            <w:pPr>
              <w:spacing w:after="0"/>
              <w:rPr>
                <w:sz w:val="11"/>
                <w:szCs w:val="11"/>
                <w:color w:val="auto"/>
              </w:rPr>
            </w:pPr>
          </w:p>
        </w:tc>
        <w:tc>
          <w:tcPr>
            <w:tcW w:w="278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shd w:val="clear" w:color="auto" w:fill="CFF0FC"/>
          </w:tcPr>
          <w:p>
            <w:pPr>
              <w:spacing w:after="0"/>
              <w:rPr>
                <w:sz w:val="11"/>
                <w:szCs w:val="11"/>
                <w:color w:val="auto"/>
              </w:rPr>
            </w:pPr>
          </w:p>
        </w:tc>
        <w:tc>
          <w:tcPr>
            <w:tcW w:w="148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r>
      <w:tr>
        <w:trPr>
          <w:trHeight w:val="128"/>
        </w:trPr>
        <w:tc>
          <w:tcPr>
            <w:tcW w:w="18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6,939,967</w:t>
            </w:r>
          </w:p>
        </w:tc>
        <w:tc>
          <w:tcPr>
            <w:tcW w:w="1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7,089,771</w:t>
            </w:r>
          </w:p>
        </w:tc>
        <w:tc>
          <w:tcPr>
            <w:tcW w:w="12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175.7%</w:t>
            </w:r>
          </w:p>
        </w:tc>
      </w:tr>
      <w:tr>
        <w:trPr>
          <w:trHeight w:val="129"/>
        </w:trPr>
        <w:tc>
          <w:tcPr>
            <w:tcW w:w="1820" w:type="dxa"/>
            <w:vAlign w:val="bottom"/>
            <w:shd w:val="clear" w:color="auto" w:fill="CFF0FC"/>
          </w:tcPr>
          <w:p>
            <w:pPr>
              <w:spacing w:after="0"/>
              <w:rPr>
                <w:sz w:val="11"/>
                <w:szCs w:val="11"/>
                <w:color w:val="auto"/>
              </w:rPr>
            </w:pPr>
          </w:p>
        </w:tc>
        <w:tc>
          <w:tcPr>
            <w:tcW w:w="27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-2725420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-2725420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-2725420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-908050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-908050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-908050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-376555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-376555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-376555</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-187960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55"/>
        </w:trPr>
        <w:tc>
          <w:tcPr>
            <w:tcW w:w="1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Equity and Other Investments</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8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 xml:space="preserve">Clarience Technologies, LLC </w:t>
            </w:r>
            <w:r>
              <w:rPr>
                <w:rFonts w:ascii="Times New Roman" w:cs="Times New Roman" w:eastAsia="Times New Roman" w:hAnsi="Times New Roman"/>
                <w:sz w:val="15"/>
                <w:szCs w:val="15"/>
                <w:color w:val="auto"/>
                <w:vertAlign w:val="superscript"/>
              </w:rPr>
              <w:t>(8)(10)</w:t>
            </w:r>
          </w:p>
        </w:tc>
        <w:tc>
          <w:tcPr>
            <w:tcW w:w="17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rPr>
              <w:t>Class A Units (2,666 units)</w:t>
            </w:r>
          </w:p>
        </w:tc>
        <w:tc>
          <w:tcPr>
            <w:tcW w:w="1000" w:type="dxa"/>
            <w:vAlign w:val="bottom"/>
          </w:tcPr>
          <w:p>
            <w:pPr>
              <w:spacing w:after="0"/>
              <w:rPr>
                <w:sz w:val="11"/>
                <w:szCs w:val="11"/>
                <w:color w:val="auto"/>
              </w:rPr>
            </w:pPr>
          </w:p>
        </w:tc>
        <w:tc>
          <w:tcPr>
            <w:tcW w:w="880" w:type="dxa"/>
            <w:vAlign w:val="bottom"/>
            <w:gridSpan w:val="2"/>
          </w:tcPr>
          <w:p>
            <w:pPr>
              <w:jc w:val="right"/>
              <w:ind w:right="69"/>
              <w:spacing w:after="0" w:line="135" w:lineRule="exact"/>
              <w:rPr>
                <w:sz w:val="20"/>
                <w:szCs w:val="20"/>
                <w:color w:val="auto"/>
              </w:rPr>
            </w:pPr>
            <w:r>
              <w:rPr>
                <w:rFonts w:ascii="Times New Roman" w:cs="Times New Roman" w:eastAsia="Times New Roman" w:hAnsi="Times New Roman"/>
                <w:sz w:val="13"/>
                <w:szCs w:val="13"/>
                <w:color w:val="auto"/>
              </w:rPr>
              <w:t>2/12/2024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6,557</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6,557</w:t>
            </w:r>
          </w:p>
        </w:tc>
        <w:tc>
          <w:tcPr>
            <w:tcW w:w="12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35"/>
        </w:trPr>
        <w:tc>
          <w:tcPr>
            <w:tcW w:w="10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5"/>
                <w:szCs w:val="15"/>
                <w:color w:val="auto"/>
                <w:vertAlign w:val="superscript"/>
              </w:rPr>
              <w:t>(8)</w:t>
            </w:r>
          </w:p>
        </w:tc>
        <w:tc>
          <w:tcPr>
            <w:tcW w:w="860" w:type="dxa"/>
            <w:vAlign w:val="bottom"/>
            <w:shd w:val="clear" w:color="auto" w:fill="CFF0FC"/>
          </w:tcPr>
          <w:p>
            <w:pPr>
              <w:spacing w:after="0"/>
              <w:rPr>
                <w:sz w:val="11"/>
                <w:szCs w:val="11"/>
                <w:color w:val="auto"/>
              </w:rPr>
            </w:pPr>
          </w:p>
        </w:tc>
        <w:tc>
          <w:tcPr>
            <w:tcW w:w="2760" w:type="dxa"/>
            <w:vAlign w:val="bottom"/>
            <w:gridSpan w:val="5"/>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Class A Preferred Units (7,882,736 units)</w:t>
            </w:r>
          </w:p>
        </w:tc>
        <w:tc>
          <w:tcPr>
            <w:tcW w:w="880" w:type="dxa"/>
            <w:vAlign w:val="bottom"/>
            <w:gridSpan w:val="2"/>
            <w:shd w:val="clear" w:color="auto" w:fill="CFF0FC"/>
          </w:tcPr>
          <w:p>
            <w:pPr>
              <w:jc w:val="right"/>
              <w:ind w:right="69"/>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7,883</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tcBorders>
              <w:right w:val="single" w:sz="8" w:color="CFF0FC"/>
            </w:tcBorders>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6,602</w:t>
            </w:r>
          </w:p>
        </w:tc>
        <w:tc>
          <w:tcPr>
            <w:tcW w:w="128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Insight Hideaway Aggregator, L.P.</w:t>
            </w:r>
          </w:p>
        </w:tc>
        <w:tc>
          <w:tcPr>
            <w:tcW w:w="2760" w:type="dxa"/>
            <w:vAlign w:val="bottom"/>
            <w:gridSpan w:val="5"/>
          </w:tcPr>
          <w:p>
            <w:pPr>
              <w:ind w:left="60"/>
              <w:spacing w:after="0" w:line="108" w:lineRule="exact"/>
              <w:rPr>
                <w:sz w:val="20"/>
                <w:szCs w:val="20"/>
                <w:color w:val="auto"/>
              </w:rPr>
            </w:pPr>
            <w:r>
              <w:rPr>
                <w:rFonts w:ascii="Times New Roman" w:cs="Times New Roman" w:eastAsia="Times New Roman" w:hAnsi="Times New Roman"/>
                <w:sz w:val="12"/>
                <w:szCs w:val="12"/>
                <w:color w:val="auto"/>
              </w:rPr>
              <w:t>Partnership Interest (2,170,139 units)</w:t>
            </w:r>
          </w:p>
        </w:tc>
        <w:tc>
          <w:tcPr>
            <w:tcW w:w="880" w:type="dxa"/>
            <w:vAlign w:val="bottom"/>
            <w:gridSpan w:val="2"/>
          </w:tcPr>
          <w:p>
            <w:pPr>
              <w:jc w:val="right"/>
              <w:ind w:right="69"/>
              <w:spacing w:after="0" w:line="108" w:lineRule="exact"/>
              <w:rPr>
                <w:sz w:val="20"/>
                <w:szCs w:val="20"/>
                <w:color w:val="auto"/>
              </w:rPr>
            </w:pPr>
            <w:r>
              <w:rPr>
                <w:rFonts w:ascii="Times New Roman" w:cs="Times New Roman" w:eastAsia="Times New Roman" w:hAnsi="Times New Roman"/>
                <w:sz w:val="12"/>
                <w:szCs w:val="12"/>
                <w:color w:val="auto"/>
              </w:rPr>
              <w:t>3/19/2024</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21,701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21,702</w:t>
            </w:r>
          </w:p>
        </w:tc>
        <w:tc>
          <w:tcPr>
            <w:tcW w:w="1280" w:type="dxa"/>
            <w:vAlign w:val="bottom"/>
            <w:gridSpan w:val="3"/>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14"/>
        </w:trPr>
        <w:tc>
          <w:tcPr>
            <w:tcW w:w="1040" w:type="dxa"/>
            <w:vAlign w:val="bottom"/>
          </w:tcPr>
          <w:p>
            <w:pPr>
              <w:spacing w:after="0"/>
              <w:rPr>
                <w:sz w:val="20"/>
                <w:szCs w:val="20"/>
                <w:color w:val="auto"/>
              </w:rPr>
            </w:pPr>
            <w:r>
              <w:rPr>
                <w:rFonts w:ascii="Times New Roman" w:cs="Times New Roman" w:eastAsia="Times New Roman" w:hAnsi="Times New Roman"/>
                <w:sz w:val="8"/>
                <w:szCs w:val="8"/>
                <w:color w:val="auto"/>
              </w:rPr>
              <w:t>(8)(10)</w:t>
            </w: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 xml:space="preserve">Newark FP Co-Invest, L.P. </w:t>
            </w:r>
            <w:r>
              <w:rPr>
                <w:rFonts w:ascii="Times New Roman" w:cs="Times New Roman" w:eastAsia="Times New Roman" w:hAnsi="Times New Roman"/>
                <w:sz w:val="16"/>
                <w:szCs w:val="16"/>
                <w:color w:val="auto"/>
                <w:vertAlign w:val="superscript"/>
              </w:rPr>
              <w:t>(8)</w:t>
            </w:r>
          </w:p>
        </w:tc>
        <w:tc>
          <w:tcPr>
            <w:tcW w:w="1760" w:type="dxa"/>
            <w:vAlign w:val="bottom"/>
            <w:gridSpan w:val="4"/>
            <w:shd w:val="clear" w:color="auto" w:fill="CFF0FC"/>
          </w:tcPr>
          <w:p>
            <w:pPr>
              <w:ind w:left="60"/>
              <w:spacing w:after="0" w:line="143" w:lineRule="exact"/>
              <w:rPr>
                <w:sz w:val="20"/>
                <w:szCs w:val="20"/>
                <w:color w:val="auto"/>
              </w:rPr>
            </w:pPr>
            <w:r>
              <w:rPr>
                <w:rFonts w:ascii="Times New Roman" w:cs="Times New Roman" w:eastAsia="Times New Roman" w:hAnsi="Times New Roman"/>
                <w:sz w:val="13"/>
                <w:szCs w:val="13"/>
                <w:color w:val="auto"/>
              </w:rPr>
              <w:t>Partnership (8,555,356 units)</w:t>
            </w:r>
          </w:p>
        </w:tc>
        <w:tc>
          <w:tcPr>
            <w:tcW w:w="10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9"/>
              <w:spacing w:after="0" w:line="143" w:lineRule="exact"/>
              <w:rPr>
                <w:sz w:val="20"/>
                <w:szCs w:val="20"/>
                <w:color w:val="auto"/>
              </w:rPr>
            </w:pPr>
            <w:r>
              <w:rPr>
                <w:rFonts w:ascii="Times New Roman" w:cs="Times New Roman" w:eastAsia="Times New Roman" w:hAnsi="Times New Roman"/>
                <w:sz w:val="13"/>
                <w:szCs w:val="13"/>
                <w:color w:val="auto"/>
              </w:rPr>
              <w:t>11/8/2023</w:t>
            </w: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8,572</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tcBorders>
              <w:right w:val="single" w:sz="8" w:color="CFF0FC"/>
            </w:tcBorders>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7,629</w:t>
            </w:r>
          </w:p>
        </w:tc>
        <w:tc>
          <w:tcPr>
            <w:tcW w:w="1280" w:type="dxa"/>
            <w:vAlign w:val="bottom"/>
            <w:gridSpan w:val="3"/>
            <w:shd w:val="clear" w:color="auto" w:fill="CFF0FC"/>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35"/>
        </w:trPr>
        <w:tc>
          <w:tcPr>
            <w:tcW w:w="1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Warrior TopCo LP</w:t>
            </w:r>
          </w:p>
        </w:tc>
        <w:tc>
          <w:tcPr>
            <w:tcW w:w="860" w:type="dxa"/>
            <w:vAlign w:val="bottom"/>
          </w:tcPr>
          <w:p>
            <w:pPr>
              <w:spacing w:after="0"/>
              <w:rPr>
                <w:sz w:val="11"/>
                <w:szCs w:val="11"/>
                <w:color w:val="auto"/>
              </w:rPr>
            </w:pPr>
          </w:p>
        </w:tc>
        <w:tc>
          <w:tcPr>
            <w:tcW w:w="17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rPr>
              <w:t>Class A Units (9,576,271 units)</w:t>
            </w:r>
          </w:p>
        </w:tc>
        <w:tc>
          <w:tcPr>
            <w:tcW w:w="1000" w:type="dxa"/>
            <w:vAlign w:val="bottom"/>
          </w:tcPr>
          <w:p>
            <w:pPr>
              <w:spacing w:after="0"/>
              <w:rPr>
                <w:sz w:val="11"/>
                <w:szCs w:val="11"/>
                <w:color w:val="auto"/>
              </w:rPr>
            </w:pPr>
          </w:p>
        </w:tc>
        <w:tc>
          <w:tcPr>
            <w:tcW w:w="880" w:type="dxa"/>
            <w:vAlign w:val="bottom"/>
            <w:gridSpan w:val="2"/>
          </w:tcPr>
          <w:p>
            <w:pPr>
              <w:jc w:val="right"/>
              <w:ind w:right="69"/>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9,576</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13,646</w:t>
            </w:r>
          </w:p>
        </w:tc>
        <w:tc>
          <w:tcPr>
            <w:tcW w:w="22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47,732</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tcBorders>
              <w:right w:val="single" w:sz="8" w:color="CFF0FC"/>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49,579</w:t>
            </w:r>
          </w:p>
        </w:tc>
        <w:tc>
          <w:tcPr>
            <w:tcW w:w="2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28"/>
        </w:trPr>
        <w:tc>
          <w:tcPr>
            <w:tcW w:w="10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860" w:type="dxa"/>
            <w:vAlign w:val="bottom"/>
            <w:tcBorders>
              <w:top w:val="single" w:sz="8" w:color="CFF0FC"/>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6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5"/>
                <w:szCs w:val="15"/>
                <w:color w:val="auto"/>
                <w:vertAlign w:val="superscript"/>
              </w:rPr>
              <w:t>(8)</w:t>
            </w:r>
          </w:p>
        </w:tc>
        <w:tc>
          <w:tcPr>
            <w:tcW w:w="1760" w:type="dxa"/>
            <w:vAlign w:val="bottom"/>
            <w:gridSpan w:val="4"/>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w w:val="96"/>
              </w:rPr>
              <w:t>Partnership Units (337,024 units)</w:t>
            </w:r>
          </w:p>
        </w:tc>
        <w:tc>
          <w:tcPr>
            <w:tcW w:w="10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9"/>
              <w:spacing w:after="0" w:line="135" w:lineRule="exact"/>
              <w:rPr>
                <w:sz w:val="20"/>
                <w:szCs w:val="20"/>
                <w:color w:val="auto"/>
              </w:rPr>
            </w:pPr>
            <w:r>
              <w:rPr>
                <w:rFonts w:ascii="Times New Roman" w:cs="Times New Roman" w:eastAsia="Times New Roman" w:hAnsi="Times New Roman"/>
                <w:sz w:val="13"/>
                <w:szCs w:val="13"/>
                <w:color w:val="auto"/>
              </w:rPr>
              <w:t>11/27/2023</w:t>
            </w: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11,364</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tcBorders>
              <w:right w:val="single" w:sz="8" w:color="CFF0FC"/>
            </w:tcBorders>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13,011</w:t>
            </w:r>
          </w:p>
        </w:tc>
        <w:tc>
          <w:tcPr>
            <w:tcW w:w="128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 xml:space="preserve">CLGF Holdings, L.P. </w:t>
            </w:r>
            <w:r>
              <w:rPr>
                <w:rFonts w:ascii="Times New Roman" w:cs="Times New Roman" w:eastAsia="Times New Roman" w:hAnsi="Times New Roman"/>
                <w:sz w:val="15"/>
                <w:szCs w:val="15"/>
                <w:color w:val="auto"/>
                <w:vertAlign w:val="superscript"/>
              </w:rPr>
              <w:t>(4)(8)</w:t>
            </w:r>
          </w:p>
        </w:tc>
        <w:tc>
          <w:tcPr>
            <w:tcW w:w="17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rPr>
              <w:t>Warrants (8,358,075 warrants)</w:t>
            </w:r>
          </w:p>
        </w:tc>
        <w:tc>
          <w:tcPr>
            <w:tcW w:w="1000" w:type="dxa"/>
            <w:vAlign w:val="bottom"/>
          </w:tcPr>
          <w:p>
            <w:pPr>
              <w:spacing w:after="0"/>
              <w:rPr>
                <w:sz w:val="11"/>
                <w:szCs w:val="11"/>
                <w:color w:val="auto"/>
              </w:rPr>
            </w:pPr>
          </w:p>
        </w:tc>
        <w:tc>
          <w:tcPr>
            <w:tcW w:w="880" w:type="dxa"/>
            <w:vAlign w:val="bottom"/>
            <w:gridSpan w:val="2"/>
          </w:tcPr>
          <w:p>
            <w:pPr>
              <w:jc w:val="right"/>
              <w:ind w:right="69"/>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4,575</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8,257</w:t>
            </w:r>
          </w:p>
        </w:tc>
        <w:tc>
          <w:tcPr>
            <w:tcW w:w="22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15,939</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tcBorders>
              <w:right w:val="single" w:sz="8" w:color="CFF0FC"/>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21,268</w:t>
            </w:r>
          </w:p>
        </w:tc>
        <w:tc>
          <w:tcPr>
            <w:tcW w:w="2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29"/>
        </w:trPr>
        <w:tc>
          <w:tcPr>
            <w:tcW w:w="10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860" w:type="dxa"/>
            <w:vAlign w:val="bottom"/>
            <w:tcBorders>
              <w:top w:val="single" w:sz="8" w:color="CFF0FC"/>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6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Raptor US Buyer II Corp.</w:t>
            </w:r>
            <w:r>
              <w:rPr>
                <w:rFonts w:ascii="Times New Roman" w:cs="Times New Roman" w:eastAsia="Times New Roman" w:hAnsi="Times New Roman"/>
                <w:sz w:val="15"/>
                <w:szCs w:val="15"/>
                <w:color w:val="auto"/>
                <w:vertAlign w:val="superscript"/>
              </w:rPr>
              <w:t>(8)</w:t>
            </w:r>
          </w:p>
        </w:tc>
        <w:tc>
          <w:tcPr>
            <w:tcW w:w="1760" w:type="dxa"/>
            <w:vAlign w:val="bottom"/>
            <w:gridSpan w:val="4"/>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w w:val="99"/>
              </w:rPr>
              <w:t>Ordinary Shares (83,408 shares)</w:t>
            </w:r>
          </w:p>
        </w:tc>
        <w:tc>
          <w:tcPr>
            <w:tcW w:w="10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9"/>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12,876</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tcBorders>
              <w:right w:val="single" w:sz="8" w:color="CFF0FC"/>
            </w:tcBorders>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11,588</w:t>
            </w:r>
          </w:p>
        </w:tc>
        <w:tc>
          <w:tcPr>
            <w:tcW w:w="128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0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4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8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(8)</w:t>
            </w:r>
          </w:p>
        </w:tc>
        <w:tc>
          <w:tcPr>
            <w:tcW w:w="860" w:type="dxa"/>
            <w:vAlign w:val="bottom"/>
          </w:tcPr>
          <w:p>
            <w:pPr>
              <w:spacing w:after="0"/>
              <w:rPr>
                <w:sz w:val="11"/>
                <w:szCs w:val="11"/>
                <w:color w:val="auto"/>
              </w:rPr>
            </w:pPr>
          </w:p>
        </w:tc>
        <w:tc>
          <w:tcPr>
            <w:tcW w:w="17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w w:val="95"/>
              </w:rPr>
              <w:t>Class A-1 Units (7,606,491 units)</w:t>
            </w:r>
          </w:p>
        </w:tc>
        <w:tc>
          <w:tcPr>
            <w:tcW w:w="1000" w:type="dxa"/>
            <w:vAlign w:val="bottom"/>
          </w:tcPr>
          <w:p>
            <w:pPr>
              <w:spacing w:after="0"/>
              <w:rPr>
                <w:sz w:val="11"/>
                <w:szCs w:val="11"/>
                <w:color w:val="auto"/>
              </w:rPr>
            </w:pPr>
          </w:p>
        </w:tc>
        <w:tc>
          <w:tcPr>
            <w:tcW w:w="880" w:type="dxa"/>
            <w:vAlign w:val="bottom"/>
            <w:gridSpan w:val="2"/>
          </w:tcPr>
          <w:p>
            <w:pPr>
              <w:jc w:val="right"/>
              <w:ind w:right="69"/>
              <w:spacing w:after="0" w:line="135" w:lineRule="exact"/>
              <w:rPr>
                <w:sz w:val="20"/>
                <w:szCs w:val="20"/>
                <w:color w:val="auto"/>
              </w:rPr>
            </w:pPr>
            <w:r>
              <w:rPr>
                <w:rFonts w:ascii="Times New Roman" w:cs="Times New Roman" w:eastAsia="Times New Roman" w:hAnsi="Times New Roman"/>
                <w:sz w:val="13"/>
                <w:szCs w:val="13"/>
                <w:color w:val="auto"/>
              </w:rPr>
              <w:t>11/7/2022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7,606</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16,088</w:t>
            </w:r>
          </w:p>
        </w:tc>
        <w:tc>
          <w:tcPr>
            <w:tcW w:w="12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10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SMA Technologies Holdings,</w:t>
            </w:r>
          </w:p>
        </w:tc>
        <w:tc>
          <w:tcPr>
            <w:tcW w:w="1760" w:type="dxa"/>
            <w:vAlign w:val="bottom"/>
            <w:gridSpan w:val="4"/>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Class A Units (244 units)</w:t>
            </w:r>
          </w:p>
        </w:tc>
        <w:tc>
          <w:tcPr>
            <w:tcW w:w="10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69"/>
              <w:spacing w:after="0" w:line="108" w:lineRule="exact"/>
              <w:rPr>
                <w:sz w:val="20"/>
                <w:szCs w:val="20"/>
                <w:color w:val="auto"/>
              </w:rPr>
            </w:pPr>
            <w:r>
              <w:rPr>
                <w:rFonts w:ascii="Times New Roman" w:cs="Times New Roman" w:eastAsia="Times New Roman" w:hAnsi="Times New Roman"/>
                <w:sz w:val="12"/>
                <w:szCs w:val="12"/>
                <w:color w:val="auto"/>
              </w:rPr>
              <w:t>11/21/2022</w:t>
            </w:r>
          </w:p>
        </w:tc>
        <w:tc>
          <w:tcPr>
            <w:tcW w:w="1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244</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20" w:type="dxa"/>
            <w:vAlign w:val="bottom"/>
            <w:tcBorders>
              <w:right w:val="single" w:sz="8" w:color="CFF0FC"/>
            </w:tcBorders>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353</w:t>
            </w:r>
          </w:p>
        </w:tc>
        <w:tc>
          <w:tcPr>
            <w:tcW w:w="1280" w:type="dxa"/>
            <w:vAlign w:val="bottom"/>
            <w:gridSpan w:val="3"/>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62"/>
        </w:trPr>
        <w:tc>
          <w:tcPr>
            <w:tcW w:w="10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(8)(10)</w:t>
            </w:r>
          </w:p>
        </w:tc>
        <w:tc>
          <w:tcPr>
            <w:tcW w:w="8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rPr>
              <w:t>Class B Units (173,048 units)</w:t>
            </w:r>
          </w:p>
        </w:tc>
        <w:tc>
          <w:tcPr>
            <w:tcW w:w="1000" w:type="dxa"/>
            <w:vAlign w:val="bottom"/>
          </w:tcPr>
          <w:p>
            <w:pPr>
              <w:spacing w:after="0"/>
              <w:rPr>
                <w:sz w:val="11"/>
                <w:szCs w:val="11"/>
                <w:color w:val="auto"/>
              </w:rPr>
            </w:pPr>
          </w:p>
        </w:tc>
        <w:tc>
          <w:tcPr>
            <w:tcW w:w="880" w:type="dxa"/>
            <w:vAlign w:val="bottom"/>
            <w:gridSpan w:val="2"/>
          </w:tcPr>
          <w:p>
            <w:pPr>
              <w:jc w:val="right"/>
              <w:ind w:right="69"/>
              <w:spacing w:after="0" w:line="135" w:lineRule="exact"/>
              <w:rPr>
                <w:sz w:val="20"/>
                <w:szCs w:val="20"/>
                <w:color w:val="auto"/>
              </w:rPr>
            </w:pPr>
            <w:r>
              <w:rPr>
                <w:rFonts w:ascii="Times New Roman" w:cs="Times New Roman" w:eastAsia="Times New Roman" w:hAnsi="Times New Roman"/>
                <w:sz w:val="13"/>
                <w:szCs w:val="13"/>
                <w:color w:val="auto"/>
              </w:rPr>
              <w:t>11/21/2022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254</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tcBorders>
              <w:right w:val="single" w:sz="8" w:color="CFF0FC"/>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368</w:t>
            </w:r>
          </w:p>
        </w:tc>
        <w:tc>
          <w:tcPr>
            <w:tcW w:w="2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28"/>
        </w:trPr>
        <w:tc>
          <w:tcPr>
            <w:tcW w:w="10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860" w:type="dxa"/>
            <w:vAlign w:val="bottom"/>
            <w:tcBorders>
              <w:top w:val="single" w:sz="8" w:color="CFF0FC"/>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6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0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(4)(8)(10)</w:t>
            </w:r>
          </w:p>
        </w:tc>
        <w:tc>
          <w:tcPr>
            <w:tcW w:w="1760" w:type="dxa"/>
            <w:vAlign w:val="bottom"/>
            <w:gridSpan w:val="4"/>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Convertible Preference Shares</w:t>
            </w:r>
          </w:p>
        </w:tc>
        <w:tc>
          <w:tcPr>
            <w:tcW w:w="10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9"/>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49,063</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20" w:type="dxa"/>
            <w:vAlign w:val="bottom"/>
            <w:tcBorders>
              <w:right w:val="single" w:sz="8" w:color="CFF0FC"/>
            </w:tcBorders>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49,063</w:t>
            </w:r>
          </w:p>
        </w:tc>
        <w:tc>
          <w:tcPr>
            <w:tcW w:w="1280" w:type="dxa"/>
            <w:vAlign w:val="bottom"/>
            <w:gridSpan w:val="3"/>
            <w:shd w:val="clear" w:color="auto" w:fill="CFF0FC"/>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3"/>
        </w:trPr>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76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(38,503,125 units)</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39,175)</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Equity and Other</w:t>
            </w:r>
          </w:p>
        </w:tc>
        <w:tc>
          <w:tcPr>
            <w:tcW w:w="4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140,027</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20" w:type="dxa"/>
            <w:vAlign w:val="bottom"/>
            <w:tcBorders>
              <w:right w:val="single" w:sz="8" w:color="CFF0FC"/>
            </w:tcBorders>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w w:val="97"/>
              </w:rPr>
              <w:t>154,511</w:t>
            </w:r>
          </w:p>
        </w:tc>
        <w:tc>
          <w:tcPr>
            <w:tcW w:w="1280" w:type="dxa"/>
            <w:vAlign w:val="bottom"/>
            <w:gridSpan w:val="3"/>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42"/>
        </w:trPr>
        <w:tc>
          <w:tcPr>
            <w:tcW w:w="104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86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right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left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8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7,079,994</w:t>
            </w:r>
          </w:p>
        </w:tc>
        <w:tc>
          <w:tcPr>
            <w:tcW w:w="500" w:type="dxa"/>
            <w:vAlign w:val="bottom"/>
            <w:gridSpan w:val="2"/>
            <w:shd w:val="clear" w:color="auto" w:fill="CFF0FC"/>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CFF0FC"/>
            </w:tcBorders>
            <w:gridSpan w:val="3"/>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7,244,282</w:t>
            </w:r>
          </w:p>
        </w:tc>
        <w:tc>
          <w:tcPr>
            <w:tcW w:w="128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179.5%</w:t>
            </w:r>
          </w:p>
        </w:tc>
        <w:tc>
          <w:tcPr>
            <w:tcW w:w="0" w:type="dxa"/>
            <w:vAlign w:val="bottom"/>
          </w:tcPr>
          <w:p>
            <w:pPr>
              <w:spacing w:after="0"/>
              <w:rPr>
                <w:sz w:val="1"/>
                <w:szCs w:val="1"/>
                <w:color w:val="auto"/>
              </w:rPr>
            </w:pPr>
          </w:p>
        </w:tc>
      </w:tr>
      <w:tr>
        <w:trPr>
          <w:trHeight w:val="20"/>
        </w:trPr>
        <w:tc>
          <w:tcPr>
            <w:tcW w:w="10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2024</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0"/>
                <w:szCs w:val="10"/>
                <w:color w:val="auto"/>
              </w:rPr>
            </w:pPr>
          </w:p>
        </w:tc>
        <w:tc>
          <w:tcPr>
            <w:tcW w:w="1060" w:type="dxa"/>
            <w:vAlign w:val="bottom"/>
            <w:gridSpan w:val="3"/>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c>
          <w:tcPr>
            <w:tcW w:w="940" w:type="dxa"/>
            <w:vAlign w:val="bottom"/>
            <w:gridSpan w:val="3"/>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Upfront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2"/>
                <w:szCs w:val="12"/>
                <w:color w:val="auto"/>
              </w:rPr>
            </w:pPr>
          </w:p>
        </w:tc>
        <w:tc>
          <w:tcPr>
            <w:tcW w:w="940" w:type="dxa"/>
            <w:vAlign w:val="bottom"/>
            <w:gridSpan w:val="3"/>
          </w:tcPr>
          <w:p>
            <w:pPr>
              <w:jc w:val="center"/>
              <w:ind w:left="91"/>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(a)(b)</w:t>
            </w:r>
          </w:p>
        </w:tc>
        <w:tc>
          <w:tcPr>
            <w:tcW w:w="420" w:type="dxa"/>
            <w:vAlign w:val="bottom"/>
          </w:tcPr>
          <w:p>
            <w:pPr>
              <w:spacing w:after="0"/>
              <w:rPr>
                <w:sz w:val="15"/>
                <w:szCs w:val="15"/>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Pays</w:t>
            </w:r>
          </w:p>
        </w:tc>
        <w:tc>
          <w:tcPr>
            <w:tcW w:w="120" w:type="dxa"/>
            <w:vAlign w:val="bottom"/>
          </w:tcPr>
          <w:p>
            <w:pPr>
              <w:spacing w:after="0"/>
              <w:rPr>
                <w:sz w:val="15"/>
                <w:szCs w:val="15"/>
                <w:color w:val="auto"/>
              </w:rPr>
            </w:pPr>
          </w:p>
        </w:tc>
        <w:tc>
          <w:tcPr>
            <w:tcW w:w="1060" w:type="dxa"/>
            <w:vAlign w:val="bottom"/>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Date</w:t>
            </w: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94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0" w:type="dxa"/>
            <w:vAlign w:val="bottom"/>
          </w:tcPr>
          <w:p>
            <w:pPr>
              <w:spacing w:after="0"/>
              <w:rPr>
                <w:sz w:val="1"/>
                <w:szCs w:val="1"/>
                <w:color w:val="auto"/>
              </w:rPr>
            </w:pPr>
          </w:p>
        </w:tc>
      </w:tr>
      <w:tr>
        <w:trPr>
          <w:trHeight w:val="115"/>
        </w:trPr>
        <w:tc>
          <w:tcPr>
            <w:tcW w:w="10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6.50%</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9"/>
              <w:spacing w:after="0" w:line="115" w:lineRule="exact"/>
              <w:rPr>
                <w:sz w:val="20"/>
                <w:szCs w:val="20"/>
                <w:color w:val="auto"/>
              </w:rPr>
            </w:pPr>
            <w:r>
              <w:rPr>
                <w:rFonts w:ascii="Times New Roman" w:cs="Times New Roman" w:eastAsia="Times New Roman" w:hAnsi="Times New Roman"/>
                <w:sz w:val="13"/>
                <w:szCs w:val="13"/>
                <w:color w:val="auto"/>
              </w:rPr>
              <w:t>SOFR + 2.51%</w:t>
            </w:r>
          </w:p>
        </w:tc>
        <w:tc>
          <w:tcPr>
            <w:tcW w:w="120" w:type="dxa"/>
            <w:vAlign w:val="bottom"/>
          </w:tcPr>
          <w:p>
            <w:pPr>
              <w:spacing w:after="0"/>
              <w:rPr>
                <w:sz w:val="10"/>
                <w:szCs w:val="10"/>
                <w:color w:val="auto"/>
              </w:rPr>
            </w:pPr>
          </w:p>
        </w:tc>
        <w:tc>
          <w:tcPr>
            <w:tcW w:w="7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3/11/2029</w:t>
            </w:r>
          </w:p>
        </w:tc>
        <w:tc>
          <w:tcPr>
            <w:tcW w:w="140" w:type="dxa"/>
            <w:vAlign w:val="bottom"/>
          </w:tcPr>
          <w:p>
            <w:pPr>
              <w:spacing w:after="0"/>
              <w:rPr>
                <w:sz w:val="10"/>
                <w:szCs w:val="10"/>
                <w:color w:val="auto"/>
              </w:rPr>
            </w:pPr>
          </w:p>
        </w:tc>
        <w:tc>
          <w:tcPr>
            <w:tcW w:w="160" w:type="dxa"/>
            <w:vAlign w:val="bottom"/>
            <w:tcBorders>
              <w:top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600,000</w:t>
            </w:r>
          </w:p>
        </w:tc>
        <w:tc>
          <w:tcPr>
            <w:tcW w:w="200" w:type="dxa"/>
            <w:vAlign w:val="bottom"/>
          </w:tcPr>
          <w:p>
            <w:pPr>
              <w:spacing w:after="0"/>
              <w:rPr>
                <w:sz w:val="10"/>
                <w:szCs w:val="10"/>
                <w:color w:val="auto"/>
              </w:rPr>
            </w:pPr>
          </w:p>
        </w:tc>
        <w:tc>
          <w:tcPr>
            <w:tcW w:w="240" w:type="dxa"/>
            <w:vAlign w:val="bottom"/>
            <w:tcBorders>
              <w:top w:val="single" w:sz="8" w:color="auto"/>
            </w:tcBorders>
          </w:tcPr>
          <w:p>
            <w:pPr>
              <w:jc w:val="right"/>
              <w:ind w:right="9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rPr>
              <w:t>(2,208)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auto"/>
            </w:tcBorders>
          </w:tcPr>
          <w:p>
            <w:pPr>
              <w:jc w:val="right"/>
              <w:ind w:right="291"/>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200" w:type="dxa"/>
            <w:vAlign w:val="bottom"/>
            <w:tcBorders>
              <w:top w:val="single" w:sz="8" w:color="auto"/>
            </w:tcBorders>
          </w:tcPr>
          <w:p>
            <w:pPr>
              <w:jc w:val="right"/>
              <w:ind w:right="8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rPr>
              <w:t>(2,208)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(a)(b)</w:t>
            </w:r>
          </w:p>
        </w:tc>
        <w:tc>
          <w:tcPr>
            <w:tcW w:w="1540" w:type="dxa"/>
            <w:vAlign w:val="bottom"/>
            <w:gridSpan w:val="2"/>
          </w:tcPr>
          <w:p>
            <w:pPr>
              <w:jc w:val="center"/>
              <w:ind w:left="357"/>
              <w:spacing w:after="0"/>
              <w:rPr>
                <w:sz w:val="20"/>
                <w:szCs w:val="20"/>
                <w:color w:val="auto"/>
              </w:rPr>
            </w:pPr>
            <w:r>
              <w:rPr>
                <w:rFonts w:ascii="Times New Roman" w:cs="Times New Roman" w:eastAsia="Times New Roman" w:hAnsi="Times New Roman"/>
                <w:sz w:val="14"/>
                <w:szCs w:val="14"/>
                <w:color w:val="auto"/>
                <w:w w:val="99"/>
              </w:rPr>
              <w:t>6.50%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SOFR + 2.22%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3/11/2029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7"/>
                <w:szCs w:val="17"/>
                <w:color w:val="auto"/>
                <w:vertAlign w:val="superscript"/>
              </w:rPr>
              <w:t>(a)(b)</w:t>
            </w:r>
          </w:p>
        </w:tc>
        <w:tc>
          <w:tcPr>
            <w:tcW w:w="1540" w:type="dxa"/>
            <w:vAlign w:val="bottom"/>
            <w:gridSpan w:val="2"/>
            <w:shd w:val="clear" w:color="auto" w:fill="CFF0FC"/>
          </w:tcPr>
          <w:p>
            <w:pPr>
              <w:jc w:val="center"/>
              <w:ind w:left="357"/>
              <w:spacing w:after="0" w:line="149" w:lineRule="exact"/>
              <w:rPr>
                <w:sz w:val="20"/>
                <w:szCs w:val="20"/>
                <w:color w:val="auto"/>
              </w:rPr>
            </w:pPr>
            <w:r>
              <w:rPr>
                <w:rFonts w:ascii="Times New Roman" w:cs="Times New Roman" w:eastAsia="Times New Roman" w:hAnsi="Times New Roman"/>
                <w:sz w:val="14"/>
                <w:szCs w:val="14"/>
                <w:color w:val="auto"/>
                <w:w w:val="99"/>
              </w:rPr>
              <w:t>5.75%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center"/>
              <w:ind w:right="49"/>
              <w:spacing w:after="0" w:line="149" w:lineRule="exact"/>
              <w:rPr>
                <w:sz w:val="20"/>
                <w:szCs w:val="20"/>
                <w:color w:val="auto"/>
              </w:rPr>
            </w:pPr>
            <w:r>
              <w:rPr>
                <w:rFonts w:ascii="Times New Roman" w:cs="Times New Roman" w:eastAsia="Times New Roman" w:hAnsi="Times New Roman"/>
                <w:sz w:val="14"/>
                <w:szCs w:val="14"/>
                <w:color w:val="auto"/>
              </w:rPr>
              <w:t>SOFR + 2.55%</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1/15/2030</w:t>
            </w: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(24,135)</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28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(24,135)</w:t>
            </w:r>
          </w:p>
        </w:tc>
        <w:tc>
          <w:tcPr>
            <w:tcW w:w="0" w:type="dxa"/>
            <w:vAlign w:val="bottom"/>
          </w:tcPr>
          <w:p>
            <w:pPr>
              <w:spacing w:after="0"/>
              <w:rPr>
                <w:sz w:val="1"/>
                <w:szCs w:val="1"/>
                <w:color w:val="auto"/>
              </w:rPr>
            </w:pPr>
          </w:p>
        </w:tc>
      </w:tr>
      <w:tr>
        <w:trPr>
          <w:trHeight w:val="20"/>
        </w:trPr>
        <w:tc>
          <w:tcPr>
            <w:tcW w:w="10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Hedge Accounting Swaps</w:t>
            </w: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1,350,000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(25,214)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(25,214)</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collateral</w:t>
            </w:r>
          </w:p>
        </w:tc>
        <w:tc>
          <w:tcPr>
            <w:tcW w:w="86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68,585</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right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gridSpan w:val="4"/>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1,350,000</w:t>
            </w:r>
          </w:p>
        </w:tc>
        <w:tc>
          <w:tcPr>
            <w:tcW w:w="440" w:type="dxa"/>
            <w:vAlign w:val="bottom"/>
            <w:gridSpan w:val="2"/>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43,371</w:t>
            </w:r>
          </w:p>
        </w:tc>
        <w:tc>
          <w:tcPr>
            <w:tcW w:w="100" w:type="dxa"/>
            <w:vAlign w:val="bottom"/>
          </w:tcPr>
          <w:p>
            <w:pPr>
              <w:spacing w:after="0"/>
              <w:rPr>
                <w:sz w:val="12"/>
                <w:szCs w:val="12"/>
                <w:color w:val="auto"/>
              </w:rPr>
            </w:pPr>
          </w:p>
        </w:tc>
        <w:tc>
          <w:tcPr>
            <w:tcW w:w="560" w:type="dxa"/>
            <w:vAlign w:val="bottom"/>
            <w:gridSpan w:val="2"/>
          </w:tcPr>
          <w:p>
            <w:pPr>
              <w:jc w:val="right"/>
              <w:ind w:right="291"/>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(25,214)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-3299460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-3299460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-3299460</wp:posOffset>
            </wp:positionV>
            <wp:extent cx="93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-2939415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-2939415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-2939415</wp:posOffset>
            </wp:positionV>
            <wp:extent cx="93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-1893570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-1893570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-1893570</wp:posOffset>
            </wp:positionV>
            <wp:extent cx="939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-1370965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-1370965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-1370965</wp:posOffset>
            </wp:positionV>
            <wp:extent cx="939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-1182370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-1165225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-1182370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-1165225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-1182370</wp:posOffset>
            </wp:positionV>
            <wp:extent cx="93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-1165225</wp:posOffset>
            </wp:positionV>
            <wp:extent cx="93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939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-325120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-325120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-325120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-128270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-128270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SOFR.</w:t>
      </w:r>
    </w:p>
    <w:p>
      <w:pPr>
        <w:spacing w:after="0" w:line="27" w:lineRule="exact"/>
        <w:rPr>
          <w:rFonts w:ascii="Times New Roman" w:cs="Times New Roman" w:eastAsia="Times New Roman" w:hAnsi="Times New Roman"/>
          <w:sz w:val="18"/>
          <w:szCs w:val="18"/>
          <w:color w:val="auto"/>
        </w:rPr>
      </w:pPr>
    </w:p>
    <w:p>
      <w:pPr>
        <w:ind w:left="1020" w:right="180" w:hanging="503"/>
        <w:spacing w:after="0" w:line="260"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spacing w:after="0" w:line="181" w:lineRule="exact"/>
        <w:rPr>
          <w:rFonts w:ascii="Times New Roman" w:cs="Times New Roman" w:eastAsia="Times New Roman" w:hAnsi="Times New Roman"/>
          <w:sz w:val="18"/>
          <w:szCs w:val="18"/>
          <w:color w:val="auto"/>
        </w:rPr>
      </w:pPr>
    </w:p>
    <w:p>
      <w:pPr>
        <w:ind w:left="520" w:right="80" w:hanging="512"/>
        <w:spacing w:after="0" w:line="26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jc w:val="both"/>
        <w:ind w:left="520" w:right="15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more than 25% of its outstanding voting securities and/or had the power to exercise control over the management or policies of such portfolio company. As of December 31, 2024, the Company does not “control” any of the portfolio companies. Also under the 1940 Act, the Company would be deemed to be an “Affiliated Person” of a portfolio company if the Company owns more</w:t>
      </w:r>
    </w:p>
    <w:p>
      <w:pPr>
        <w:ind w:left="520" w:right="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5% of the portfolio company's outstanding voting securities. As of December 31, 2024, the Company does not identify any of its portfolio companies as affiliates.</w:t>
      </w:r>
    </w:p>
    <w:p>
      <w:pPr>
        <w:ind w:left="520" w:hanging="512"/>
        <w:spacing w:after="0" w:line="26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6" w:name="page17"/>
    <w:bookmarkEnd w:id="16"/>
    <w:p>
      <w:pPr>
        <w:ind w:left="512" w:right="1440" w:hanging="512"/>
        <w:spacing w:after="0" w:line="257"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w:t>
      </w:r>
    </w:p>
    <w:p>
      <w:pPr>
        <w:spacing w:after="0" w:line="1" w:lineRule="exact"/>
        <w:rPr>
          <w:rFonts w:ascii="Times New Roman" w:cs="Times New Roman" w:eastAsia="Times New Roman" w:hAnsi="Times New Roman"/>
          <w:sz w:val="18"/>
          <w:szCs w:val="18"/>
          <w:color w:val="auto"/>
        </w:rPr>
      </w:pPr>
    </w:p>
    <w:p>
      <w:pPr>
        <w:ind w:left="512"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spacing w:after="0" w:line="1"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27.8% of total assets as of December 31, 2024.</w:t>
      </w:r>
    </w:p>
    <w:p>
      <w:pPr>
        <w:spacing w:after="0" w:line="1" w:lineRule="exact"/>
        <w:rPr>
          <w:rFonts w:ascii="Times New Roman" w:cs="Times New Roman" w:eastAsia="Times New Roman" w:hAnsi="Times New Roman"/>
          <w:sz w:val="18"/>
          <w:szCs w:val="18"/>
          <w:color w:val="auto"/>
        </w:rPr>
      </w:pPr>
    </w:p>
    <w:p>
      <w:pPr>
        <w:ind w:left="512" w:right="20" w:hanging="512"/>
        <w:spacing w:after="0" w:line="250"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12" w:right="2100" w:hanging="512"/>
        <w:spacing w:after="0" w:line="250"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4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660" w:hanging="512"/>
        <w:spacing w:after="0" w:line="250"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estimated cost basis of investments for U.S. federal tax purposes was $7,102,780 resulting in estimated gross unrealized gains and losses of $222,515 and $56,184, respectfully.</w:t>
      </w:r>
    </w:p>
    <w:p>
      <w:pPr>
        <w:ind w:left="512" w:hanging="512"/>
        <w:spacing w:after="0"/>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w:t>
      </w:r>
    </w:p>
    <w:p>
      <w:pPr>
        <w:spacing w:after="0" w:line="9" w:lineRule="exact"/>
        <w:rPr>
          <w:rFonts w:ascii="Times New Roman" w:cs="Times New Roman" w:eastAsia="Times New Roman" w:hAnsi="Times New Roman"/>
          <w:sz w:val="18"/>
          <w:szCs w:val="18"/>
          <w:color w:val="auto"/>
        </w:rPr>
      </w:pPr>
    </w:p>
    <w:p>
      <w:pPr>
        <w:ind w:left="512"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“Securities Act”), and may be deemed to be "restricted securities" under the Securities Act. As of December 31, 2024, the aggregate fair value of these securities is $77,388, or 1.9% of the Company's net assets.</w:t>
      </w:r>
    </w:p>
    <w:p>
      <w:pPr>
        <w:ind w:left="512" w:hanging="512"/>
        <w:spacing w:after="0" w:line="250"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$25.0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8"/>
          <w:szCs w:val="18"/>
          <w:color w:val="auto"/>
        </w:rPr>
      </w:pPr>
    </w:p>
    <w:p>
      <w:pPr>
        <w:ind w:left="512" w:right="80" w:hanging="512"/>
        <w:spacing w:after="0" w:line="260"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4 for further information related to investments at fair value.</w:t>
      </w:r>
    </w:p>
    <w:p>
      <w:pPr>
        <w:spacing w:after="0" w:line="1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12" w:right="35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Paid in Capital in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Distributable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Total Net</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center"/>
              <w:ind w:right="89"/>
              <w:spacing w:after="0" w:line="109" w:lineRule="exact"/>
              <w:rPr>
                <w:sz w:val="20"/>
                <w:szCs w:val="20"/>
                <w:color w:val="auto"/>
              </w:rPr>
            </w:pPr>
            <w:r>
              <w:rPr>
                <w:rFonts w:ascii="Times New Roman" w:cs="Times New Roman" w:eastAsia="Times New Roman" w:hAnsi="Times New Roman"/>
                <w:sz w:val="12"/>
                <w:szCs w:val="12"/>
                <w:b w:val="1"/>
                <w:bCs w:val="1"/>
                <w:color w:val="auto"/>
              </w:rPr>
              <w:t>Par</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2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9"/>
              </w:rPr>
              <w:t>Excess of Par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140,208,028</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3,923,739</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112,591</w:t>
            </w:r>
          </w:p>
        </w:tc>
        <w:tc>
          <w:tcPr>
            <w:tcW w:w="12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4,036,470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152,562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(24,733)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(24,733)</w:t>
            </w: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1,456,909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(94,916)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(94,916)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141,664,937</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3,965,682</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145,782</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4,111,606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147,018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(2,790)</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shares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1,479,035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42,920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(100,200)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(100,200)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143,143,972</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4,008,602</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203,508</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4,212,253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tcPr>
          <w:p>
            <w:pPr>
              <w:spacing w:after="0"/>
              <w:rPr>
                <w:sz w:val="24"/>
                <w:szCs w:val="2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Paid in Capital in</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Distributable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Total Net</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center"/>
              <w:ind w:right="89"/>
              <w:spacing w:after="0" w:line="109" w:lineRule="exact"/>
              <w:rPr>
                <w:sz w:val="20"/>
                <w:szCs w:val="20"/>
                <w:color w:val="auto"/>
              </w:rPr>
            </w:pPr>
            <w:r>
              <w:rPr>
                <w:rFonts w:ascii="Times New Roman" w:cs="Times New Roman" w:eastAsia="Times New Roman" w:hAnsi="Times New Roman"/>
                <w:sz w:val="12"/>
                <w:szCs w:val="12"/>
                <w:b w:val="1"/>
                <w:bCs w:val="1"/>
                <w:color w:val="auto"/>
              </w:rPr>
              <w:t>Par</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2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9"/>
              </w:rPr>
              <w:t>Excess of Par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65,478,775</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1,734,426</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82,576</w:t>
            </w:r>
          </w:p>
        </w:tc>
        <w:tc>
          <w:tcPr>
            <w:tcW w:w="12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1,817,067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22,741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shares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17,348,908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499,718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499,736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795,040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22,061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(56,027)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(56,027)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83,622,723</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2,256,205</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124,274</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2,380,563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86,265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86,265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16,667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shares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10,152,231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299,990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869,766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24,762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24,763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(63,413)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(63,413)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94,644,720</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2,580,957</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168,455</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2,749,507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-4097020</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-4079875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-4097020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-4079875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-4097020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-4079875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-4097020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-4079875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-2931160</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-2914015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-2931160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-2914015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-2931160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-2914015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-2931160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-2914015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-1190625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-1174115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-1190625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-1174115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-1190625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-1174115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-1190625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-1174115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112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type w:val="continuous"/>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42"/>
        </w:trPr>
        <w:tc>
          <w:tcPr>
            <w:tcW w:w="7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Borders>
              <w:top w:val="single" w:sz="8" w:color="auto"/>
            </w:tcBorders>
            <w:shd w:val="clear" w:color="auto" w:fill="CFF0FC"/>
          </w:tcPr>
          <w:p>
            <w:pPr>
              <w:spacing w:after="0"/>
              <w:rPr>
                <w:sz w:val="12"/>
                <w:szCs w:val="12"/>
                <w:color w:val="auto"/>
              </w:rPr>
            </w:pPr>
          </w:p>
        </w:tc>
        <w:tc>
          <w:tcPr>
            <w:tcW w:w="174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operations</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286,033</w:t>
            </w:r>
          </w:p>
        </w:tc>
        <w:tc>
          <w:tcPr>
            <w:tcW w:w="26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205,319</w:t>
            </w:r>
          </w:p>
        </w:tc>
        <w:tc>
          <w:tcPr>
            <w:tcW w:w="120" w:type="dxa"/>
            <w:vAlign w:val="bottom"/>
          </w:tcPr>
          <w:p>
            <w:pPr>
              <w:spacing w:after="0"/>
              <w:rPr>
                <w:sz w:val="12"/>
                <w:szCs w:val="12"/>
                <w:color w:val="auto"/>
              </w:rPr>
            </w:pPr>
          </w:p>
        </w:tc>
      </w:tr>
      <w:tr>
        <w:trPr>
          <w:trHeight w:val="126"/>
        </w:trPr>
        <w:tc>
          <w:tcPr>
            <w:tcW w:w="71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increase (decrease) in net assets resulting from operations</w:t>
            </w:r>
          </w:p>
        </w:tc>
        <w:tc>
          <w:tcPr>
            <w:tcW w:w="240" w:type="dxa"/>
            <w:vAlign w:val="bottom"/>
            <w:shd w:val="clear" w:color="auto" w:fill="CFF0FC"/>
          </w:tcPr>
          <w:p>
            <w:pPr>
              <w:spacing w:after="0"/>
              <w:rPr>
                <w:sz w:val="10"/>
                <w:szCs w:val="10"/>
                <w:color w:val="auto"/>
              </w:rPr>
            </w:pPr>
          </w:p>
        </w:tc>
        <w:tc>
          <w:tcPr>
            <w:tcW w:w="17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71"/>
        </w:trPr>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net cash provided by (used in) operating activities:</w:t>
            </w:r>
          </w:p>
        </w:tc>
        <w:tc>
          <w:tcPr>
            <w:tcW w:w="24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investments</w:t>
            </w:r>
          </w:p>
        </w:tc>
        <w:tc>
          <w:tcPr>
            <w:tcW w:w="240" w:type="dxa"/>
            <w:vAlign w:val="bottom"/>
          </w:tcPr>
          <w:p>
            <w:pPr>
              <w:spacing w:after="0"/>
              <w:rPr>
                <w:sz w:val="12"/>
                <w:szCs w:val="12"/>
                <w:color w:val="auto"/>
              </w:rPr>
            </w:pPr>
          </w:p>
        </w:tc>
        <w:tc>
          <w:tcPr>
            <w:tcW w:w="2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(138,879)</w:t>
            </w:r>
          </w:p>
        </w:tc>
        <w:tc>
          <w:tcPr>
            <w:tcW w:w="180" w:type="dxa"/>
            <w:vAlign w:val="bottom"/>
          </w:tcPr>
          <w:p>
            <w:pPr>
              <w:spacing w:after="0"/>
              <w:rPr>
                <w:sz w:val="12"/>
                <w:szCs w:val="12"/>
                <w:color w:val="auto"/>
              </w:rPr>
            </w:pPr>
          </w:p>
        </w:tc>
        <w:tc>
          <w:tcPr>
            <w:tcW w:w="1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(34,482)</w:t>
            </w:r>
          </w:p>
        </w:tc>
      </w:tr>
      <w:tr>
        <w:trPr>
          <w:trHeight w:val="149"/>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foreign currency transactions</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143,409</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(4,939)</w:t>
            </w: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foreign currency forward contracts</w:t>
            </w: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r>
      <w:tr>
        <w:trPr>
          <w:trHeight w:val="148"/>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realized (gains) losses on investments</w:t>
            </w:r>
          </w:p>
        </w:tc>
        <w:tc>
          <w:tcPr>
            <w:tcW w:w="240" w:type="dxa"/>
            <w:vAlign w:val="bottom"/>
            <w:shd w:val="clear" w:color="auto" w:fill="CFF0FC"/>
          </w:tcPr>
          <w:p>
            <w:pPr>
              <w:spacing w:after="0"/>
              <w:rPr>
                <w:sz w:val="12"/>
                <w:szCs w:val="12"/>
                <w:color w:val="auto"/>
              </w:rPr>
            </w:pPr>
          </w:p>
        </w:tc>
        <w:tc>
          <w:tcPr>
            <w:tcW w:w="2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(8,987)</w:t>
            </w: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(3,609)</w:t>
            </w: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realized (gains) losses on foreign currency transactions</w:t>
            </w:r>
          </w:p>
        </w:tc>
        <w:tc>
          <w:tcPr>
            <w:tcW w:w="240" w:type="dxa"/>
            <w:vAlign w:val="bottom"/>
          </w:tcPr>
          <w:p>
            <w:pPr>
              <w:spacing w:after="0"/>
              <w:rPr>
                <w:sz w:val="12"/>
                <w:szCs w:val="12"/>
                <w:color w:val="auto"/>
              </w:rPr>
            </w:pPr>
          </w:p>
        </w:tc>
        <w:tc>
          <w:tcPr>
            <w:tcW w:w="2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tcPr>
          <w:p>
            <w:pPr>
              <w:spacing w:after="0"/>
              <w:rPr>
                <w:sz w:val="12"/>
                <w:szCs w:val="12"/>
                <w:color w:val="auto"/>
              </w:rPr>
            </w:pPr>
          </w:p>
        </w:tc>
        <w:tc>
          <w:tcPr>
            <w:tcW w:w="1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(3,042)</w:t>
            </w:r>
          </w:p>
        </w:tc>
      </w:tr>
      <w:tr>
        <w:trPr>
          <w:trHeight w:val="148"/>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amortization of discount on investments</w:t>
            </w:r>
          </w:p>
        </w:tc>
        <w:tc>
          <w:tcPr>
            <w:tcW w:w="240" w:type="dxa"/>
            <w:vAlign w:val="bottom"/>
            <w:shd w:val="clear" w:color="auto" w:fill="CFF0FC"/>
          </w:tcPr>
          <w:p>
            <w:pPr>
              <w:spacing w:after="0"/>
              <w:rPr>
                <w:sz w:val="12"/>
                <w:szCs w:val="12"/>
                <w:color w:val="auto"/>
              </w:rPr>
            </w:pPr>
          </w:p>
        </w:tc>
        <w:tc>
          <w:tcPr>
            <w:tcW w:w="2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(32,318)</w:t>
            </w: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(8,951)</w:t>
            </w: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4,118</w:t>
            </w:r>
          </w:p>
        </w:tc>
        <w:tc>
          <w:tcPr>
            <w:tcW w:w="120" w:type="dxa"/>
            <w:vAlign w:val="bottom"/>
          </w:tcPr>
          <w:p>
            <w:pPr>
              <w:spacing w:after="0"/>
              <w:rPr>
                <w:sz w:val="12"/>
                <w:szCs w:val="12"/>
                <w:color w:val="auto"/>
              </w:rPr>
            </w:pPr>
          </w:p>
        </w:tc>
      </w:tr>
      <w:tr>
        <w:trPr>
          <w:trHeight w:val="149"/>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Amortization of discount on debt</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20" w:type="dxa"/>
            <w:vAlign w:val="bottom"/>
            <w:shd w:val="clear" w:color="auto" w:fill="CFF0FC"/>
          </w:tcPr>
          <w:p>
            <w:pPr>
              <w:spacing w:after="0"/>
              <w:rPr>
                <w:sz w:val="12"/>
                <w:szCs w:val="12"/>
                <w:color w:val="auto"/>
              </w:rPr>
            </w:pP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Purchases and originations of investments, net</w:t>
            </w:r>
          </w:p>
        </w:tc>
        <w:tc>
          <w:tcPr>
            <w:tcW w:w="240" w:type="dxa"/>
            <w:vAlign w:val="bottom"/>
          </w:tcPr>
          <w:p>
            <w:pPr>
              <w:spacing w:after="0"/>
              <w:rPr>
                <w:sz w:val="12"/>
                <w:szCs w:val="12"/>
                <w:color w:val="auto"/>
              </w:rPr>
            </w:pPr>
          </w:p>
        </w:tc>
        <w:tc>
          <w:tcPr>
            <w:tcW w:w="2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(1,307,497)</w:t>
            </w:r>
          </w:p>
        </w:tc>
        <w:tc>
          <w:tcPr>
            <w:tcW w:w="180" w:type="dxa"/>
            <w:vAlign w:val="bottom"/>
          </w:tcPr>
          <w:p>
            <w:pPr>
              <w:spacing w:after="0"/>
              <w:rPr>
                <w:sz w:val="12"/>
                <w:szCs w:val="12"/>
                <w:color w:val="auto"/>
              </w:rPr>
            </w:pPr>
          </w:p>
        </w:tc>
        <w:tc>
          <w:tcPr>
            <w:tcW w:w="1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(2,295,581)</w:t>
            </w:r>
          </w:p>
        </w:tc>
      </w:tr>
      <w:tr>
        <w:trPr>
          <w:trHeight w:val="148"/>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Proceeds from investments, net</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155,552</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408,568</w:t>
            </w:r>
          </w:p>
        </w:tc>
        <w:tc>
          <w:tcPr>
            <w:tcW w:w="120" w:type="dxa"/>
            <w:vAlign w:val="bottom"/>
            <w:shd w:val="clear" w:color="auto" w:fill="CFF0FC"/>
          </w:tcPr>
          <w:p>
            <w:pPr>
              <w:spacing w:after="0"/>
              <w:rPr>
                <w:sz w:val="12"/>
                <w:szCs w:val="12"/>
                <w:color w:val="auto"/>
              </w:rPr>
            </w:pP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Repayments on investments</w:t>
            </w: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1,099,912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41,608</w:t>
            </w:r>
          </w:p>
        </w:tc>
        <w:tc>
          <w:tcPr>
            <w:tcW w:w="120" w:type="dxa"/>
            <w:vAlign w:val="bottom"/>
          </w:tcPr>
          <w:p>
            <w:pPr>
              <w:spacing w:after="0"/>
              <w:rPr>
                <w:sz w:val="12"/>
                <w:szCs w:val="12"/>
                <w:color w:val="auto"/>
              </w:rPr>
            </w:pPr>
          </w:p>
        </w:tc>
      </w:tr>
      <w:tr>
        <w:trPr>
          <w:trHeight w:val="148"/>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Paid-in-kind interest</w:t>
            </w:r>
          </w:p>
        </w:tc>
        <w:tc>
          <w:tcPr>
            <w:tcW w:w="240" w:type="dxa"/>
            <w:vAlign w:val="bottom"/>
            <w:shd w:val="clear" w:color="auto" w:fill="CFF0FC"/>
          </w:tcPr>
          <w:p>
            <w:pPr>
              <w:spacing w:after="0"/>
              <w:rPr>
                <w:sz w:val="12"/>
                <w:szCs w:val="12"/>
                <w:color w:val="auto"/>
              </w:rPr>
            </w:pPr>
          </w:p>
        </w:tc>
        <w:tc>
          <w:tcPr>
            <w:tcW w:w="2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(29,981)</w:t>
            </w: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(13,745)</w:t>
            </w:r>
          </w:p>
        </w:tc>
      </w:tr>
      <w:tr>
        <w:trPr>
          <w:trHeight w:val="149"/>
        </w:trPr>
        <w:tc>
          <w:tcPr>
            <w:tcW w:w="71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3,155</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(19,027)</w:t>
            </w: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Interest receivable paid-in-kind</w:t>
            </w:r>
          </w:p>
        </w:tc>
        <w:tc>
          <w:tcPr>
            <w:tcW w:w="240" w:type="dxa"/>
            <w:vAlign w:val="bottom"/>
          </w:tcPr>
          <w:p>
            <w:pPr>
              <w:spacing w:after="0"/>
              <w:rPr>
                <w:sz w:val="12"/>
                <w:szCs w:val="12"/>
                <w:color w:val="auto"/>
              </w:rPr>
            </w:pPr>
          </w:p>
        </w:tc>
        <w:tc>
          <w:tcPr>
            <w:tcW w:w="2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(1,306)</w:t>
            </w:r>
          </w:p>
        </w:tc>
        <w:tc>
          <w:tcPr>
            <w:tcW w:w="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2"/>
                <w:szCs w:val="12"/>
                <w:color w:val="auto"/>
              </w:rPr>
            </w:pPr>
          </w:p>
        </w:tc>
      </w:tr>
      <w:tr>
        <w:trPr>
          <w:trHeight w:val="148"/>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shd w:val="clear" w:color="auto" w:fill="CFF0FC"/>
          </w:tcPr>
          <w:p>
            <w:pPr>
              <w:spacing w:after="0"/>
              <w:rPr>
                <w:sz w:val="12"/>
                <w:szCs w:val="12"/>
                <w:color w:val="auto"/>
              </w:rPr>
            </w:pPr>
          </w:p>
        </w:tc>
        <w:tc>
          <w:tcPr>
            <w:tcW w:w="2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(1,713)</w:t>
            </w: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(1,941)</w:t>
            </w: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2,758</w:t>
            </w:r>
          </w:p>
        </w:tc>
        <w:tc>
          <w:tcPr>
            <w:tcW w:w="120" w:type="dxa"/>
            <w:vAlign w:val="bottom"/>
          </w:tcPr>
          <w:p>
            <w:pPr>
              <w:spacing w:after="0"/>
              <w:rPr>
                <w:sz w:val="12"/>
                <w:szCs w:val="12"/>
                <w:color w:val="auto"/>
              </w:rPr>
            </w:pPr>
          </w:p>
        </w:tc>
      </w:tr>
      <w:tr>
        <w:trPr>
          <w:trHeight w:val="149"/>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4,804</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5,521</w:t>
            </w:r>
          </w:p>
        </w:tc>
        <w:tc>
          <w:tcPr>
            <w:tcW w:w="120" w:type="dxa"/>
            <w:vAlign w:val="bottom"/>
            <w:shd w:val="clear" w:color="auto" w:fill="CFF0FC"/>
          </w:tcPr>
          <w:p>
            <w:pPr>
              <w:spacing w:after="0"/>
              <w:rPr>
                <w:sz w:val="12"/>
                <w:szCs w:val="12"/>
                <w:color w:val="auto"/>
              </w:rPr>
            </w:pP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40" w:type="dxa"/>
            <w:vAlign w:val="bottom"/>
          </w:tcPr>
          <w:p>
            <w:pPr>
              <w:spacing w:after="0"/>
              <w:rPr>
                <w:sz w:val="12"/>
                <w:szCs w:val="12"/>
                <w:color w:val="auto"/>
              </w:rPr>
            </w:pPr>
          </w:p>
        </w:tc>
        <w:tc>
          <w:tcPr>
            <w:tcW w:w="2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(2,835)</w:t>
            </w:r>
          </w:p>
        </w:tc>
        <w:tc>
          <w:tcPr>
            <w:tcW w:w="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5,791</w:t>
            </w:r>
          </w:p>
        </w:tc>
        <w:tc>
          <w:tcPr>
            <w:tcW w:w="120" w:type="dxa"/>
            <w:vAlign w:val="bottom"/>
          </w:tcPr>
          <w:p>
            <w:pPr>
              <w:spacing w:after="0"/>
              <w:rPr>
                <w:sz w:val="12"/>
                <w:szCs w:val="12"/>
                <w:color w:val="auto"/>
              </w:rPr>
            </w:pPr>
          </w:p>
        </w:tc>
      </w:tr>
      <w:tr>
        <w:trPr>
          <w:trHeight w:val="148"/>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Other payables to affiliates</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w:t>
            </w:r>
          </w:p>
        </w:tc>
        <w:tc>
          <w:tcPr>
            <w:tcW w:w="120" w:type="dxa"/>
            <w:vAlign w:val="bottom"/>
            <w:shd w:val="clear" w:color="auto" w:fill="CFF0FC"/>
          </w:tcPr>
          <w:p>
            <w:pPr>
              <w:spacing w:after="0"/>
              <w:rPr>
                <w:sz w:val="12"/>
                <w:szCs w:val="12"/>
                <w:color w:val="auto"/>
              </w:rPr>
            </w:pPr>
          </w:p>
        </w:tc>
      </w:tr>
      <w:tr>
        <w:trPr>
          <w:trHeight w:val="148"/>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69,345</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12,045</w:t>
            </w:r>
          </w:p>
        </w:tc>
        <w:tc>
          <w:tcPr>
            <w:tcW w:w="120" w:type="dxa"/>
            <w:vAlign w:val="bottom"/>
          </w:tcPr>
          <w:p>
            <w:pPr>
              <w:spacing w:after="0"/>
              <w:rPr>
                <w:sz w:val="12"/>
                <w:szCs w:val="12"/>
                <w:color w:val="auto"/>
              </w:rPr>
            </w:pPr>
          </w:p>
        </w:tc>
      </w:tr>
      <w:tr>
        <w:trPr>
          <w:trHeight w:val="142"/>
        </w:trPr>
        <w:tc>
          <w:tcPr>
            <w:tcW w:w="714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256,359</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(1,697,921)</w:t>
            </w:r>
          </w:p>
        </w:tc>
      </w:tr>
      <w:tr>
        <w:trPr>
          <w:trHeight w:val="142"/>
        </w:trPr>
        <w:tc>
          <w:tcPr>
            <w:tcW w:w="71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48"/>
        </w:trPr>
        <w:tc>
          <w:tcPr>
            <w:tcW w:w="7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Borrowings on debt</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1,917,694</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3,255,962</w:t>
            </w:r>
          </w:p>
        </w:tc>
        <w:tc>
          <w:tcPr>
            <w:tcW w:w="120" w:type="dxa"/>
            <w:vAlign w:val="bottom"/>
            <w:shd w:val="clear" w:color="auto" w:fill="CFF0FC"/>
          </w:tcPr>
          <w:p>
            <w:pPr>
              <w:spacing w:after="0"/>
              <w:rPr>
                <w:sz w:val="12"/>
                <w:szCs w:val="12"/>
                <w:color w:val="auto"/>
              </w:rPr>
            </w:pPr>
          </w:p>
        </w:tc>
      </w:tr>
      <w:tr>
        <w:trPr>
          <w:trHeight w:val="148"/>
        </w:trPr>
        <w:tc>
          <w:tcPr>
            <w:tcW w:w="7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on debt</w:t>
            </w:r>
          </w:p>
        </w:tc>
        <w:tc>
          <w:tcPr>
            <w:tcW w:w="240" w:type="dxa"/>
            <w:vAlign w:val="bottom"/>
          </w:tcPr>
          <w:p>
            <w:pPr>
              <w:spacing w:after="0"/>
              <w:rPr>
                <w:sz w:val="12"/>
                <w:szCs w:val="12"/>
                <w:color w:val="auto"/>
              </w:rPr>
            </w:pPr>
          </w:p>
        </w:tc>
        <w:tc>
          <w:tcPr>
            <w:tcW w:w="2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(2,201,893)</w:t>
            </w:r>
          </w:p>
        </w:tc>
        <w:tc>
          <w:tcPr>
            <w:tcW w:w="180" w:type="dxa"/>
            <w:vAlign w:val="bottom"/>
          </w:tcPr>
          <w:p>
            <w:pPr>
              <w:spacing w:after="0"/>
              <w:rPr>
                <w:sz w:val="12"/>
                <w:szCs w:val="12"/>
                <w:color w:val="auto"/>
              </w:rPr>
            </w:pPr>
          </w:p>
        </w:tc>
        <w:tc>
          <w:tcPr>
            <w:tcW w:w="1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(1,872,286)</w:t>
            </w:r>
          </w:p>
        </w:tc>
      </w:tr>
      <w:tr>
        <w:trPr>
          <w:trHeight w:val="149"/>
        </w:trPr>
        <w:tc>
          <w:tcPr>
            <w:tcW w:w="7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w:t>
            </w:r>
          </w:p>
        </w:tc>
        <w:tc>
          <w:tcPr>
            <w:tcW w:w="240" w:type="dxa"/>
            <w:vAlign w:val="bottom"/>
            <w:shd w:val="clear" w:color="auto" w:fill="CFF0FC"/>
          </w:tcPr>
          <w:p>
            <w:pPr>
              <w:spacing w:after="0"/>
              <w:rPr>
                <w:sz w:val="12"/>
                <w:szCs w:val="12"/>
                <w:color w:val="auto"/>
              </w:rPr>
            </w:pPr>
          </w:p>
        </w:tc>
        <w:tc>
          <w:tcPr>
            <w:tcW w:w="2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(17,829)</w:t>
            </w: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(15,616)</w:t>
            </w:r>
          </w:p>
        </w:tc>
      </w:tr>
      <w:tr>
        <w:trPr>
          <w:trHeight w:val="148"/>
        </w:trPr>
        <w:tc>
          <w:tcPr>
            <w:tcW w:w="7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240" w:type="dxa"/>
            <w:vAlign w:val="bottom"/>
          </w:tcPr>
          <w:p>
            <w:pPr>
              <w:spacing w:after="0"/>
              <w:rPr>
                <w:sz w:val="12"/>
                <w:szCs w:val="12"/>
                <w:color w:val="auto"/>
              </w:rPr>
            </w:pPr>
          </w:p>
        </w:tc>
        <w:tc>
          <w:tcPr>
            <w:tcW w:w="2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(103,989)</w:t>
            </w:r>
          </w:p>
        </w:tc>
        <w:tc>
          <w:tcPr>
            <w:tcW w:w="180" w:type="dxa"/>
            <w:vAlign w:val="bottom"/>
          </w:tcPr>
          <w:p>
            <w:pPr>
              <w:spacing w:after="0"/>
              <w:rPr>
                <w:sz w:val="12"/>
                <w:szCs w:val="12"/>
                <w:color w:val="auto"/>
              </w:rPr>
            </w:pPr>
          </w:p>
        </w:tc>
        <w:tc>
          <w:tcPr>
            <w:tcW w:w="1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(53,073)</w:t>
            </w:r>
          </w:p>
        </w:tc>
      </w:tr>
      <w:tr>
        <w:trPr>
          <w:trHeight w:val="149"/>
        </w:trPr>
        <w:tc>
          <w:tcPr>
            <w:tcW w:w="71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Capital calls</w:t>
            </w:r>
          </w:p>
        </w:tc>
        <w:tc>
          <w:tcPr>
            <w:tcW w:w="2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799,736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4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240" w:type="dxa"/>
            <w:vAlign w:val="bottom"/>
          </w:tcPr>
          <w:p>
            <w:pPr>
              <w:spacing w:after="0"/>
              <w:rPr>
                <w:sz w:val="12"/>
                <w:szCs w:val="12"/>
                <w:color w:val="auto"/>
              </w:rPr>
            </w:pPr>
          </w:p>
        </w:tc>
        <w:tc>
          <w:tcPr>
            <w:tcW w:w="20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(406,017)</w:t>
            </w:r>
          </w:p>
        </w:tc>
        <w:tc>
          <w:tcPr>
            <w:tcW w:w="18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2,114,723</w:t>
            </w:r>
          </w:p>
        </w:tc>
        <w:tc>
          <w:tcPr>
            <w:tcW w:w="120" w:type="dxa"/>
            <w:vAlign w:val="bottom"/>
          </w:tcPr>
          <w:p>
            <w:pPr>
              <w:spacing w:after="0"/>
              <w:rPr>
                <w:sz w:val="12"/>
                <w:szCs w:val="12"/>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714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240" w:type="dxa"/>
            <w:vAlign w:val="bottom"/>
            <w:shd w:val="clear" w:color="auto" w:fill="CFF0FC"/>
          </w:tcPr>
          <w:p>
            <w:pPr>
              <w:spacing w:after="0"/>
              <w:rPr>
                <w:sz w:val="12"/>
                <w:szCs w:val="12"/>
                <w:color w:val="auto"/>
              </w:rPr>
            </w:pPr>
          </w:p>
        </w:tc>
        <w:tc>
          <w:tcPr>
            <w:tcW w:w="20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(149,658)</w:t>
            </w:r>
          </w:p>
        </w:tc>
        <w:tc>
          <w:tcPr>
            <w:tcW w:w="1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416,802</w:t>
            </w:r>
          </w:p>
        </w:tc>
        <w:tc>
          <w:tcPr>
            <w:tcW w:w="120" w:type="dxa"/>
            <w:vAlign w:val="bottom"/>
            <w:shd w:val="clear" w:color="auto" w:fill="CFF0FC"/>
          </w:tcPr>
          <w:p>
            <w:pPr>
              <w:spacing w:after="0"/>
              <w:rPr>
                <w:sz w:val="12"/>
                <w:szCs w:val="12"/>
                <w:color w:val="auto"/>
              </w:rPr>
            </w:pPr>
          </w:p>
        </w:tc>
      </w:tr>
      <w:tr>
        <w:trPr>
          <w:trHeight w:val="148"/>
        </w:trPr>
        <w:tc>
          <w:tcPr>
            <w:tcW w:w="7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1,198,013</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8,813</w:t>
            </w:r>
          </w:p>
        </w:tc>
        <w:tc>
          <w:tcPr>
            <w:tcW w:w="120" w:type="dxa"/>
            <w:vAlign w:val="bottom"/>
          </w:tcPr>
          <w:p>
            <w:pPr>
              <w:spacing w:after="0"/>
              <w:rPr>
                <w:sz w:val="12"/>
                <w:szCs w:val="12"/>
                <w:color w:val="auto"/>
              </w:rPr>
            </w:pPr>
          </w:p>
        </w:tc>
      </w:tr>
      <w:tr>
        <w:trPr>
          <w:trHeight w:val="182"/>
        </w:trPr>
        <w:tc>
          <w:tcPr>
            <w:tcW w:w="714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1,048,355</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425,615</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29"/>
        </w:trPr>
        <w:tc>
          <w:tcPr>
            <w:tcW w:w="71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Supplemental Information:</w:t>
            </w:r>
          </w:p>
        </w:tc>
        <w:tc>
          <w:tcPr>
            <w:tcW w:w="2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Interest paid during the period</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87,216</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63,190</w:t>
            </w:r>
          </w:p>
        </w:tc>
        <w:tc>
          <w:tcPr>
            <w:tcW w:w="120" w:type="dxa"/>
            <w:vAlign w:val="bottom"/>
            <w:shd w:val="clear" w:color="auto" w:fill="CFF0FC"/>
          </w:tcPr>
          <w:p>
            <w:pPr>
              <w:spacing w:after="0"/>
              <w:rPr>
                <w:sz w:val="12"/>
                <w:szCs w:val="12"/>
                <w:color w:val="auto"/>
              </w:rPr>
            </w:pPr>
          </w:p>
        </w:tc>
      </w:tr>
      <w:tr>
        <w:trPr>
          <w:trHeight w:val="149"/>
        </w:trPr>
        <w:tc>
          <w:tcPr>
            <w:tcW w:w="7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Excise and other taxes paid during the period</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3,494</w:t>
            </w:r>
          </w:p>
        </w:tc>
        <w:tc>
          <w:tcPr>
            <w:tcW w:w="120" w:type="dxa"/>
            <w:vAlign w:val="bottom"/>
          </w:tcPr>
          <w:p>
            <w:pPr>
              <w:spacing w:after="0"/>
              <w:rPr>
                <w:sz w:val="12"/>
                <w:szCs w:val="12"/>
                <w:color w:val="auto"/>
              </w:rPr>
            </w:pPr>
          </w:p>
        </w:tc>
      </w:tr>
      <w:tr>
        <w:trPr>
          <w:trHeight w:val="148"/>
        </w:trPr>
        <w:tc>
          <w:tcPr>
            <w:tcW w:w="71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Dividends declared during the period</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195,116</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119,440</w:t>
            </w:r>
          </w:p>
        </w:tc>
        <w:tc>
          <w:tcPr>
            <w:tcW w:w="120" w:type="dxa"/>
            <w:vAlign w:val="bottom"/>
            <w:shd w:val="clear" w:color="auto" w:fill="CFF0FC"/>
          </w:tcPr>
          <w:p>
            <w:pPr>
              <w:spacing w:after="0"/>
              <w:rPr>
                <w:sz w:val="12"/>
                <w:szCs w:val="12"/>
                <w:color w:val="auto"/>
              </w:rPr>
            </w:pPr>
          </w:p>
        </w:tc>
      </w:tr>
      <w:tr>
        <w:trPr>
          <w:trHeight w:val="148"/>
        </w:trPr>
        <w:tc>
          <w:tcPr>
            <w:tcW w:w="7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88"/>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Reinvestment of dividends during the period</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84,866</w:t>
            </w:r>
          </w:p>
        </w:tc>
        <w:tc>
          <w:tcPr>
            <w:tcW w:w="260" w:type="dxa"/>
            <w:vAlign w:val="bottom"/>
          </w:tcPr>
          <w:p>
            <w:pPr>
              <w:spacing w:after="0"/>
              <w:rPr>
                <w:sz w:val="16"/>
                <w:szCs w:val="16"/>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46,825</w:t>
            </w: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-1687830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-1687830</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-1113155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-1113155</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-710565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-693420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-710565</wp:posOffset>
            </wp:positionV>
            <wp:extent cx="774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-693420</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 On May 12, 2022, the Company formed a wholly-owned subsidiary, SSLP Lending, LLC, a Delaware limited liability company. On December 8, 2022, the Company formed a wholly-owned subsidiary, Sixth Street LP Holding II, LLC, a Delaware limited liability company. On December 21, 2023, the Company formed a wholly-owned subsidiary, Sixth Street Lending Partners Sub, LLC, a Cayman Islands limited liability company.</w:t>
      </w:r>
    </w:p>
    <w:p>
      <w:pPr>
        <w:spacing w:after="0" w:line="192"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w:t>
      </w:r>
    </w:p>
    <w:p>
      <w:pPr>
        <w:spacing w:after="0" w:line="189"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2024, which was filed with the Securities and Exchange Commission (“SEC”), on February 14, 2025.</w:t>
      </w:r>
    </w:p>
    <w:p>
      <w:pPr>
        <w:spacing w:after="0" w:line="183" w:lineRule="exact"/>
        <w:rPr>
          <w:sz w:val="20"/>
          <w:szCs w:val="20"/>
          <w:color w:val="auto"/>
        </w:rPr>
      </w:pPr>
    </w:p>
    <w:p>
      <w:pPr>
        <w:ind w:right="900" w:firstLine="255"/>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3" w:lineRule="exact"/>
        <w:rPr>
          <w:sz w:val="20"/>
          <w:szCs w:val="20"/>
          <w:color w:val="auto"/>
        </w:rPr>
      </w:pPr>
    </w:p>
    <w:p>
      <w:pPr>
        <w:ind w:right="320"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spacing w:after="0" w:line="183"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40" w:hanging="257"/>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360" w:hanging="257"/>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60" w:hanging="257"/>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June 30, 2025,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8"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22" w:name="page23"/>
    <w:bookmarkEnd w:id="22"/>
    <w:p>
      <w:pPr>
        <w:ind w:right="40"/>
        <w:spacing w:after="0" w:line="266" w:lineRule="auto"/>
        <w:rPr>
          <w:sz w:val="20"/>
          <w:szCs w:val="20"/>
          <w:color w:val="auto"/>
        </w:rPr>
      </w:pPr>
      <w:r>
        <w:rPr>
          <w:rFonts w:ascii="Times New Roman" w:cs="Times New Roman" w:eastAsia="Times New Roman" w:hAnsi="Times New Roman"/>
          <w:sz w:val="18"/>
          <w:szCs w:val="18"/>
          <w:color w:val="auto"/>
        </w:rPr>
        <w:t>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68" w:lineRule="exact"/>
        <w:rPr>
          <w:sz w:val="20"/>
          <w:szCs w:val="20"/>
          <w:color w:val="auto"/>
        </w:rPr>
      </w:pPr>
    </w:p>
    <w:p>
      <w:pPr>
        <w:ind w:left="520" w:hanging="257"/>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580" w:hanging="257"/>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8"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22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92"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Derivatives, including the Company’s interest rate swaps, for which broker quotes are available are typically valued at those broker quotes.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600" w:hanging="257"/>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 and Offering Expenses</w:t>
      </w:r>
    </w:p>
    <w:p>
      <w:pPr>
        <w:spacing w:after="0" w:line="119"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76"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176"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189" w:lineRule="exact"/>
        <w:rPr>
          <w:sz w:val="20"/>
          <w:szCs w:val="20"/>
          <w:color w:val="auto"/>
        </w:rPr>
      </w:pPr>
    </w:p>
    <w:p>
      <w:pPr>
        <w:ind w:right="500" w:firstLine="255"/>
        <w:spacing w:after="0" w:line="266" w:lineRule="auto"/>
        <w:rPr>
          <w:sz w:val="20"/>
          <w:szCs w:val="20"/>
          <w:color w:val="auto"/>
        </w:rPr>
      </w:pPr>
      <w:r>
        <w:rPr>
          <w:rFonts w:ascii="Times New Roman" w:cs="Times New Roman" w:eastAsia="Times New Roman" w:hAnsi="Times New Roman"/>
          <w:sz w:val="18"/>
          <w:szCs w:val="18"/>
          <w:color w:val="auto"/>
        </w:rPr>
        <w:t>As of June 30, 2025 and June 30, 2024,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4" w:name="page25"/>
    <w:bookmarkEnd w:id="24"/>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Company’s earnings per share (“EPS”) amounts have been computed based on the weighted-average number of Common Shares outstanding for the period. Basic EPS is computed by dividing net increase (decrease) in net assets resulting from operations by the weighted average number of Common Shares outstanding during the period. Diluted EPS is computed by dividing net increase (decrease) in net assets resulting from operations by the weighted average number of Common Shares assuming all potential shares had been issued and the additional Common Shares were dilutive. Diluted EPS reflects the potential dilution, using the if-converted method for convertible debt, which could occur if all potentially dilutive securities were exercised.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0"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Including Excise Taxes</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spacing w:after="0" w:line="18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3"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5" w:name="page26"/>
    <w:bookmarkEnd w:id="25"/>
    <w:p>
      <w:pPr>
        <w:ind w:firstLine="255"/>
        <w:spacing w:after="0" w:line="266" w:lineRule="auto"/>
        <w:rPr>
          <w:sz w:val="20"/>
          <w:szCs w:val="20"/>
          <w:color w:val="auto"/>
        </w:rPr>
      </w:pPr>
      <w:r>
        <w:rPr>
          <w:rFonts w:ascii="Times New Roman" w:cs="Times New Roman" w:eastAsia="Times New Roman" w:hAnsi="Times New Roman"/>
          <w:sz w:val="18"/>
          <w:szCs w:val="18"/>
          <w:color w:val="auto"/>
        </w:rPr>
        <w:t>For both the three and six months ended June 30, 2025, the Company recorded a net expense of less than $0.1 million for U.S. federal excise tax and other taxes. For the three and six months ended June 30, 2024, the Company recorded a net expense of less than $0.1 million and $2.2 million, respectively, for U.S. federal excise tax and other taxes.</w:t>
      </w:r>
    </w:p>
    <w:p>
      <w:pPr>
        <w:spacing w:after="0" w:line="176"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For both the three and six months ended June 30, 2025, the Company recorded a deferred tax liability of $0.8 million pertaining to net unrealized gains from one of its investments. As of the three and six months ended June 30, 2024, there was no recorded deferred tax liability.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Shareholders</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11 for further information related to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76"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(the “CODM”) is comprised of the senior executive committee that includes the Chief Executive Officer, Chief Financial Officer, and the Deputy Chief Financial Officer.</w:t>
      </w:r>
    </w:p>
    <w:p>
      <w:pPr>
        <w:spacing w:after="0" w:line="16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76" w:lineRule="exact"/>
        <w:rPr>
          <w:sz w:val="20"/>
          <w:szCs w:val="20"/>
          <w:color w:val="auto"/>
        </w:rPr>
      </w:pPr>
    </w:p>
    <w:p>
      <w:pPr>
        <w:ind w:right="300" w:firstLine="255"/>
        <w:spacing w:after="0" w:line="261" w:lineRule="auto"/>
        <w:rPr>
          <w:sz w:val="20"/>
          <w:szCs w:val="20"/>
          <w:color w:val="auto"/>
        </w:rPr>
      </w:pPr>
      <w:r>
        <w:rPr>
          <w:rFonts w:ascii="Times New Roman" w:cs="Times New Roman" w:eastAsia="Times New Roman" w:hAnsi="Times New Roman"/>
          <w:sz w:val="18"/>
          <w:szCs w:val="18"/>
          <w:color w:val="auto"/>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and Regulatory Updates</w:t>
      </w:r>
    </w:p>
    <w:p>
      <w:pPr>
        <w:spacing w:after="0" w:line="2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does not expect this update to have a material effect to the Company's consolidated financial statements.</w:t>
      </w:r>
    </w:p>
    <w:p>
      <w:pPr>
        <w:spacing w:after="0" w:line="180"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December 2024, the FASB issued ASU No. 2024-04, "Debt with Conversion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our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6" w:name="page27"/>
    <w:bookmarkEnd w:id="26"/>
    <w:p>
      <w:pPr>
        <w:ind w:right="100"/>
        <w:spacing w:after="0" w:line="261" w:lineRule="auto"/>
        <w:rPr>
          <w:sz w:val="20"/>
          <w:szCs w:val="20"/>
          <w:color w:val="auto"/>
        </w:rPr>
      </w:pPr>
      <w:r>
        <w:rPr>
          <w:rFonts w:ascii="Times New Roman" w:cs="Times New Roman" w:eastAsia="Times New Roman" w:hAnsi="Times New Roman"/>
          <w:sz w:val="18"/>
          <w:szCs w:val="18"/>
          <w:color w:val="auto"/>
        </w:rPr>
        <w:t>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80"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 November 2024, the Board renewed the Administration Agreement. Unless earlier terminated as described below, the Administration Agreement will remain in effect until November 2025,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90" w:lineRule="exact"/>
        <w:rPr>
          <w:sz w:val="20"/>
          <w:szCs w:val="20"/>
          <w:color w:val="auto"/>
        </w:rPr>
      </w:pPr>
    </w:p>
    <w:p>
      <w:pPr>
        <w:ind w:right="580" w:firstLine="255"/>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incurred $0.9 million and $2.0 million, respectively, for administrative services payable to the Adviser under the terms of the Administration Agreement, which is included in other general and administrative expenses in the Consolidated Statements of Operations. For the three and six months ended June 30, 2024, the Company incurred $1.0 million and $2.0 million, respectively, for administrative services payable to the Adviser under the terms of the Administration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spacing w:after="0" w:line="183"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In November 2024, the Board renewed the Investment Advisory Agreement. Unless earlier terminated as described below, the Investment Advisory Agreement will remain in effect until November 2025, and may be extended subject to required approvals. The Investment Advisory Agreement may be terminated by either party without penalty on 60 days’ written notice to the other party.</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Management Fees (gross of waivers) were $26.2 million and $51.9 million, respectively. For the three and six months ended June 30, 2024, Management Fees (gross of waivers) were $14.9 million and $26.2 million, respectively.</w:t>
      </w:r>
    </w:p>
    <w:p>
      <w:pPr>
        <w:spacing w:after="0" w:line="162"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and six months ended June 30, 2025, Management Fees of $16.3 million and $32.2 million, respectively, have been waived. For the three and six months ended June 30, 2024, Management Fees of $9.3 million and $16.1 million, respectively, have been waived.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100" w:hanging="257"/>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67" w:lineRule="exact"/>
        <w:rPr>
          <w:rFonts w:ascii="Times New Roman" w:cs="Times New Roman" w:eastAsia="Times New Roman" w:hAnsi="Times New Roman"/>
          <w:sz w:val="18"/>
          <w:szCs w:val="18"/>
          <w:color w:val="auto"/>
        </w:rPr>
      </w:pPr>
    </w:p>
    <w:p>
      <w:pPr>
        <w:ind w:left="52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80" w:lineRule="exact"/>
        <w:rPr>
          <w:rFonts w:ascii="Times New Roman" w:cs="Times New Roman" w:eastAsia="Times New Roman" w:hAnsi="Times New Roman"/>
          <w:sz w:val="18"/>
          <w:szCs w:val="18"/>
          <w:color w:val="auto"/>
        </w:rPr>
      </w:pPr>
    </w:p>
    <w:p>
      <w:pPr>
        <w:ind w:left="520" w:right="20" w:hanging="257"/>
        <w:spacing w:after="0" w:line="253"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In the determination of the second component of the Incentive Fee, any unrealized gains/(losses) specifically related to the foreign currency denominated borrowings of non-US dollar denominated investments is offset against any associated unrealized gains/(losses) related to foreign currency denominated investments.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w:t>
      </w:r>
    </w:p>
    <w:p>
      <w:pPr>
        <w:spacing w:after="0" w:line="194"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162"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spacing w:after="0" w:line="17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Incentive Fees on net investment income were $21.0 million and $42.4 million, respectively. For the three and six months ended June 30, 2025 Incentive Fees on Capital Gains were $0.2 million and $(2.8) million, respectively. For the three and six months ended June 30, 2024, Incentive Fees on net investment income were $12.7 million and $23.5 million, respectively. For the three and six months ended June 30, 2024, Incentive Fees on Capital Gains were $2.7 million and $5.8 million, respectively. As of June 30, 2025, the Capital Gains Fees accrued are not contractually payable to the Adviser.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Support Agreement</w:t>
      </w:r>
    </w:p>
    <w:p>
      <w:pPr>
        <w:spacing w:after="0" w:line="11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ind w:right="620" w:firstLine="255"/>
        <w:spacing w:after="0" w:line="282" w:lineRule="auto"/>
        <w:rPr>
          <w:sz w:val="20"/>
          <w:szCs w:val="20"/>
          <w:color w:val="auto"/>
        </w:rPr>
      </w:pPr>
      <w:r>
        <w:rPr>
          <w:rFonts w:ascii="Times New Roman" w:cs="Times New Roman" w:eastAsia="Times New Roman" w:hAnsi="Times New Roman"/>
          <w:sz w:val="18"/>
          <w:szCs w:val="18"/>
          <w:color w:val="auto"/>
        </w:rPr>
        <w:t>As of June 30, 2025 and 2024, the Adviser had not provided any written commitments for Expense Payments. The Company has not made any Reimbursement Payments to the Adviser. The Company may or may not reimburse remaining expenses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Austin IP, LLC that grants us a non-exclusive, royalty-free license to use the mark “Sixth Street” and any derivative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June 30, 2025 and December 31, 2024:</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right"/>
              <w:ind w:right="454"/>
              <w:spacing w:after="0" w:line="108" w:lineRule="exact"/>
              <w:rPr>
                <w:sz w:val="20"/>
                <w:szCs w:val="20"/>
                <w:color w:val="auto"/>
              </w:rPr>
            </w:pP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right"/>
              <w:ind w:right="154"/>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center"/>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6,828,604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7,103,934</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202,849</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210,092</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159,301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8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7,203,329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7,506,497</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8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5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6,732,065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6,871,809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118,441</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5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7,079,994</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7,244,282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-1182370</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-1165225</wp:posOffset>
            </wp:positionV>
            <wp:extent cx="51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-1182370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-1165225</wp:posOffset>
            </wp:positionV>
            <wp:extent cx="514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-1182370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514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514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51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514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ind w:left="520" w:right="6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June 30, 2025 and December 31, 2024:</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Pr>
          <w:p>
            <w:pPr>
              <w:spacing w:after="0"/>
              <w:rPr>
                <w:sz w:val="15"/>
                <w:szCs w:val="15"/>
                <w:color w:val="auto"/>
              </w:rPr>
            </w:pPr>
          </w:p>
        </w:tc>
        <w:tc>
          <w:tcPr>
            <w:tcW w:w="1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8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24"/>
                <w:szCs w:val="24"/>
                <w:color w:val="auto"/>
                <w:vertAlign w:val="superscript"/>
              </w:rPr>
              <w:t>(1)</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8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21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8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-170815</wp:posOffset>
            </wp:positionV>
            <wp:extent cx="1028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-170815</wp:posOffset>
            </wp:positionV>
            <wp:extent cx="1028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1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Value rounds to less than 0.1%</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June 30, 2025 and December 31, 2024:</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Midwest</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Northeast</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South</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West</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Canada </w:t>
            </w:r>
            <w:r>
              <w:rPr>
                <w:rFonts w:ascii="Times New Roman" w:cs="Times New Roman" w:eastAsia="Times New Roman" w:hAnsi="Times New Roman"/>
                <w:sz w:val="24"/>
                <w:szCs w:val="24"/>
                <w:color w:val="auto"/>
                <w:vertAlign w:val="superscript"/>
              </w:rPr>
              <w:t>(1)</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Finland </w:t>
            </w:r>
            <w:r>
              <w:rPr>
                <w:rFonts w:ascii="Times New Roman" w:cs="Times New Roman" w:eastAsia="Times New Roman" w:hAnsi="Times New Roman"/>
                <w:sz w:val="24"/>
                <w:szCs w:val="24"/>
                <w:color w:val="auto"/>
                <w:vertAlign w:val="superscript"/>
              </w:rPr>
              <w:t>(1)</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56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1111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1111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-25400</wp:posOffset>
            </wp:positionV>
            <wp:extent cx="1117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-8255</wp:posOffset>
            </wp:positionV>
            <wp:extent cx="1117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Value rounds to less than 0.1%</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228" w:right="1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foreign currency forward contracts from time to time to help mitigate its foreign currency risk exposures.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information related to the Company's foreign currency forward derivative instruments as of June 30,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520" w:type="dxa"/>
            <w:vAlign w:val="bottom"/>
          </w:tcPr>
          <w:p>
            <w:pPr>
              <w:spacing w:after="0"/>
              <w:rPr>
                <w:sz w:val="10"/>
                <w:szCs w:val="10"/>
                <w:color w:val="auto"/>
              </w:rPr>
            </w:pPr>
          </w:p>
        </w:tc>
        <w:tc>
          <w:tcPr>
            <w:tcW w:w="1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 to be sold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Gross Amount of Recognized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jc w:val="right"/>
              <w:ind w:right="302"/>
              <w:spacing w:after="0" w:line="123" w:lineRule="exact"/>
              <w:rPr>
                <w:sz w:val="20"/>
                <w:szCs w:val="20"/>
                <w:color w:val="auto"/>
              </w:rPr>
            </w:pPr>
            <w:r>
              <w:rPr>
                <w:rFonts w:ascii="Times New Roman" w:cs="Times New Roman" w:eastAsia="Times New Roman" w:hAnsi="Times New Roman"/>
                <w:sz w:val="14"/>
                <w:szCs w:val="14"/>
                <w:b w:val="1"/>
                <w:bCs w:val="1"/>
                <w:color w:val="auto"/>
              </w:rPr>
              <w:t>Gross Amount of</w:t>
            </w:r>
          </w:p>
        </w:tc>
        <w:tc>
          <w:tcPr>
            <w:tcW w:w="120" w:type="dxa"/>
            <w:vAlign w:val="bottom"/>
          </w:tcPr>
          <w:p>
            <w:pPr>
              <w:spacing w:after="0"/>
              <w:rPr>
                <w:sz w:val="10"/>
                <w:szCs w:val="10"/>
                <w:color w:val="auto"/>
              </w:rPr>
            </w:pPr>
          </w:p>
        </w:tc>
        <w:tc>
          <w:tcPr>
            <w:tcW w:w="21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73"/>
        </w:trPr>
        <w:tc>
          <w:tcPr>
            <w:tcW w:w="27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Recognized Liabilities</w:t>
            </w:r>
          </w:p>
        </w:tc>
        <w:tc>
          <w:tcPr>
            <w:tcW w:w="120" w:type="dxa"/>
            <w:vAlign w:val="bottom"/>
          </w:tcPr>
          <w:p>
            <w:pPr>
              <w:spacing w:after="0"/>
              <w:rPr>
                <w:sz w:val="15"/>
                <w:szCs w:val="15"/>
                <w:color w:val="auto"/>
              </w:rPr>
            </w:pPr>
          </w:p>
        </w:tc>
        <w:tc>
          <w:tcPr>
            <w:tcW w:w="210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Location of Net Amounts</w:t>
            </w:r>
          </w:p>
        </w:tc>
        <w:tc>
          <w:tcPr>
            <w:tcW w:w="0" w:type="dxa"/>
            <w:vAlign w:val="bottom"/>
          </w:tcPr>
          <w:p>
            <w:pPr>
              <w:spacing w:after="0"/>
              <w:rPr>
                <w:sz w:val="1"/>
                <w:szCs w:val="1"/>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1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143,091</w:t>
            </w:r>
          </w:p>
        </w:tc>
        <w:tc>
          <w:tcPr>
            <w:tcW w:w="6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102,568</w:t>
            </w: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105,093</w:t>
            </w:r>
          </w:p>
        </w:tc>
        <w:tc>
          <w:tcPr>
            <w:tcW w:w="120" w:type="dxa"/>
            <w:vAlign w:val="bottom"/>
            <w:shd w:val="clear" w:color="auto" w:fill="CFF0FC"/>
          </w:tcPr>
          <w:p>
            <w:pPr>
              <w:spacing w:after="0"/>
              <w:rPr>
                <w:sz w:val="17"/>
                <w:szCs w:val="17"/>
                <w:color w:val="auto"/>
              </w:rPr>
            </w:pPr>
          </w:p>
        </w:tc>
        <w:tc>
          <w:tcPr>
            <w:tcW w:w="21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Other liabilities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100,680</w:t>
            </w:r>
          </w:p>
        </w:tc>
        <w:tc>
          <w:tcPr>
            <w:tcW w:w="120" w:type="dxa"/>
            <w:vAlign w:val="bottom"/>
          </w:tcPr>
          <w:p>
            <w:pPr>
              <w:spacing w:after="0"/>
              <w:rPr>
                <w:sz w:val="17"/>
                <w:szCs w:val="17"/>
                <w:color w:val="auto"/>
              </w:rPr>
            </w:pPr>
          </w:p>
        </w:tc>
        <w:tc>
          <w:tcPr>
            <w:tcW w:w="2100" w:type="dxa"/>
            <w:vAlign w:val="bottom"/>
          </w:tcPr>
          <w:p>
            <w:pPr>
              <w:ind w:left="1080"/>
              <w:spacing w:after="0"/>
              <w:rPr>
                <w:sz w:val="20"/>
                <w:szCs w:val="20"/>
                <w:color w:val="auto"/>
              </w:rPr>
            </w:pPr>
            <w:r>
              <w:rPr>
                <w:rFonts w:ascii="Times New Roman" w:cs="Times New Roman" w:eastAsia="Times New Roman" w:hAnsi="Times New Roman"/>
                <w:sz w:val="16"/>
                <w:szCs w:val="16"/>
                <w:color w:val="auto"/>
                <w:w w:val="99"/>
              </w:rPr>
              <w:t>Other liabilities</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5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Other liabilities</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200,865</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206,507</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-162560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-162560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realized and unrealized gains and losses on derivative instruments not designated as a qualifying hedge accounting relationship recognized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the three and sixth months ended June 30,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4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Statement Location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6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auto"/>
            </w:tcBorders>
            <w:vMerge w:val="continue"/>
          </w:tcPr>
          <w:p>
            <w:pPr>
              <w:spacing w:after="0"/>
              <w:rPr>
                <w:sz w:val="12"/>
                <w:szCs w:val="12"/>
                <w:color w:val="auto"/>
              </w:rPr>
            </w:pPr>
          </w:p>
        </w:tc>
        <w:tc>
          <w:tcPr>
            <w:tcW w:w="472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foreign currency forward contracts</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(3,140)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(5,659)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4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Realized gains (losses) on foreign currency forward contracts</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(10,224)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(10,222)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The Company may enter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76" w:lineRule="exact"/>
        <w:rPr>
          <w:sz w:val="20"/>
          <w:szCs w:val="20"/>
          <w:color w:val="auto"/>
        </w:rPr>
      </w:pPr>
    </w:p>
    <w:p>
      <w:pPr>
        <w:jc w:val="both"/>
        <w:ind w:right="140" w:firstLine="255"/>
        <w:spacing w:after="0" w:line="266" w:lineRule="auto"/>
        <w:rPr>
          <w:sz w:val="20"/>
          <w:szCs w:val="20"/>
          <w:color w:val="auto"/>
        </w:rPr>
      </w:pPr>
      <w:r>
        <w:rPr>
          <w:rFonts w:ascii="Times New Roman" w:cs="Times New Roman" w:eastAsia="Times New Roman" w:hAnsi="Times New Roman"/>
          <w:sz w:val="18"/>
          <w:szCs w:val="18"/>
          <w:color w:val="auto"/>
        </w:rPr>
        <w:t>Cash flows related to the Company's derivatives are included within operating activities on the Consolidated Statements of Cash Flows. The following table presents the amounts paid and received on the Company’s interest rate swap transactions, excluding upfront fees, for the three and six months ended June 30, 2025 and 2024, respectively:</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tc>
        <w:tc>
          <w:tcPr>
            <w:tcW w:w="100" w:type="dxa"/>
            <w:vAlign w:val="bottom"/>
          </w:tcPr>
          <w:p>
            <w:pPr>
              <w:spacing w:after="0"/>
              <w:rPr>
                <w:sz w:val="15"/>
                <w:szCs w:val="15"/>
                <w:color w:val="auto"/>
              </w:rPr>
            </w:pPr>
          </w:p>
        </w:tc>
      </w:tr>
      <w:tr>
        <w:trPr>
          <w:trHeight w:val="183"/>
        </w:trPr>
        <w:tc>
          <w:tcPr>
            <w:tcW w:w="1580" w:type="dxa"/>
            <w:vAlign w:val="bottom"/>
          </w:tcPr>
          <w:p>
            <w:pPr>
              <w:spacing w:after="0"/>
              <w:rPr>
                <w:sz w:val="15"/>
                <w:szCs w:val="15"/>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Paid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5"/>
                <w:szCs w:val="15"/>
                <w:color w:val="auto"/>
              </w:rPr>
            </w:pPr>
          </w:p>
        </w:tc>
      </w:tr>
      <w:tr>
        <w:trPr>
          <w:trHeight w:val="196"/>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3/11/2029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(10,508)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(758)</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(20,701)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(1,201)</w:t>
            </w: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3/11/2029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(2,517)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w:t>
            </w:r>
          </w:p>
        </w:tc>
        <w:tc>
          <w:tcPr>
            <w:tcW w:w="20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w:t>
            </w:r>
          </w:p>
        </w:tc>
      </w:tr>
      <w:tr>
        <w:trPr>
          <w:trHeight w:val="203"/>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1/15/2030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(10,561)</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(1,936)</w:t>
            </w:r>
          </w:p>
        </w:tc>
        <w:tc>
          <w:tcPr>
            <w:tcW w:w="20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(20,805)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(3,555)</w:t>
            </w: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7/15/2030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(12,168)</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(684)</w:t>
            </w:r>
          </w:p>
        </w:tc>
        <w:tc>
          <w:tcPr>
            <w:tcW w:w="20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(21,568)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(896)</w:t>
            </w:r>
          </w:p>
        </w:tc>
      </w:tr>
      <w:tr>
        <w:trPr>
          <w:trHeight w:val="20"/>
        </w:trPr>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(35,754)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32,297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(3,457)</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(68,034)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62,297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(5,737)</w:t>
            </w: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93"/>
        </w:trPr>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00" w:type="dxa"/>
            <w:vAlign w:val="bottom"/>
          </w:tcPr>
          <w:p>
            <w:pPr>
              <w:spacing w:after="0"/>
              <w:rPr>
                <w:sz w:val="24"/>
                <w:szCs w:val="24"/>
                <w:color w:val="auto"/>
              </w:rPr>
            </w:pPr>
          </w:p>
        </w:tc>
      </w:tr>
      <w:tr>
        <w:trPr>
          <w:trHeight w:val="183"/>
        </w:trPr>
        <w:tc>
          <w:tcPr>
            <w:tcW w:w="1580" w:type="dxa"/>
            <w:vAlign w:val="bottom"/>
          </w:tcPr>
          <w:p>
            <w:pPr>
              <w:spacing w:after="0"/>
              <w:rPr>
                <w:sz w:val="15"/>
                <w:szCs w:val="15"/>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22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5"/>
                <w:szCs w:val="15"/>
                <w:color w:val="auto"/>
              </w:rPr>
            </w:pPr>
          </w:p>
        </w:tc>
      </w:tr>
      <w:tr>
        <w:trPr>
          <w:trHeight w:val="196"/>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3/11/2029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(12,060)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(2,310)</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(13,887)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(2,620)</w:t>
            </w: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3/11/2029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(252)</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(12,312)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(2,345)</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(14,139)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11,484</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(2,655)</w:t>
            </w: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-908050</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-890905</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-908050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-890905</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-908050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-890905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-908050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-890905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-908050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-890905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-908050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-890905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-24765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recognized $22.0 million and $56.8 million, respectively, of unrealized gains on interest rate swaps designated as hedging instruments in the Consolidated Statements of Operations. For the three and six months ended June 30, 2025, this amount was offset by a $6.6 million and $16.8 million, respectively, increase in the carrying value of the 2029 Notes. For the three and six months ended June 30, 2025, this amount was offset by a $7.2 million and $17.6 million, respectively, increase in the carrying value of the January 2030 Notes. For the three and six months ended June 30, 2025, this amount was offset by a $8.2 million and $22.4 million, respectively, increase in the carrying value of the July 2030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1" w:name="page32"/>
    <w:bookmarkEnd w:id="31"/>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recognized $1.4 million and $2.3 million, respectively, of unrealized losses on interest rate swaps designated as hedging instruments in the Consolidated Statements of Operations. For the three and six months ended June 30, 2024, this amount was offset by a $1.4 million and $2.3 million, respectively, decrease in the carrying value of the 2029 Notes.</w:t>
      </w:r>
    </w:p>
    <w:p>
      <w:pPr>
        <w:spacing w:after="0" w:line="68"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As of June 30, 2025, the swap transactions had a fair value of $31.5 million which is netted against cash collateral of $109.5 million. As of December 31, 2024, the swap transactions had a fair value of $(25.2) million which is netted against cash collateral of $68.6 million on the Company's Consolidated Balance Sheet. Cash is pledged as collateral under the Company’s derivative agreements and is included in restricted cash as a component of cash and cash equivalents on the Company's Consolidated Balance Sheet.</w:t>
      </w:r>
    </w:p>
    <w:p>
      <w:pPr>
        <w:spacing w:after="0" w:line="7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June 30, 2025 and December 31, 2024:</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Hierarchy at June 30, 2025</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0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265,225</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6,838,709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7,103,934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33,170</w:t>
            </w: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8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210,092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210,092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159,301</w:t>
            </w:r>
          </w:p>
        </w:tc>
      </w:tr>
      <w:tr>
        <w:trPr>
          <w:trHeight w:val="20"/>
        </w:trPr>
        <w:tc>
          <w:tcPr>
            <w:tcW w:w="3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266,130</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7,240,367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7,506,497</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31,491</w:t>
            </w:r>
          </w:p>
        </w:tc>
      </w:tr>
      <w:tr>
        <w:trPr>
          <w:trHeight w:val="20"/>
        </w:trPr>
        <w:tc>
          <w:tcPr>
            <w:tcW w:w="3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297,621</w:t>
            </w:r>
          </w:p>
        </w:tc>
        <w:tc>
          <w:tcPr>
            <w:tcW w:w="120" w:type="dxa"/>
            <w:vAlign w:val="bottom"/>
            <w:tcBorders>
              <w:right w:val="single" w:sz="8" w:color="CFF0FC"/>
            </w:tcBorders>
            <w:shd w:val="clear" w:color="auto" w:fill="CFF0FC"/>
          </w:tcPr>
          <w:p>
            <w:pPr>
              <w:spacing w:after="0"/>
              <w:rPr>
                <w:sz w:val="19"/>
                <w:szCs w:val="19"/>
                <w:color w:val="auto"/>
              </w:rPr>
            </w:pP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7,240,367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7,537,988</w:t>
            </w: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45"/>
        </w:trPr>
        <w:tc>
          <w:tcPr>
            <w:tcW w:w="3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3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143,398</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6,728,411</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6,871,809</w:t>
            </w:r>
          </w:p>
        </w:tc>
        <w:tc>
          <w:tcPr>
            <w:tcW w:w="80" w:type="dxa"/>
            <w:vAlign w:val="bottom"/>
            <w:shd w:val="clear" w:color="auto" w:fill="CFF0FC"/>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94,778</w:t>
            </w:r>
          </w:p>
        </w:tc>
        <w:tc>
          <w:tcPr>
            <w:tcW w:w="80" w:type="dxa"/>
            <w:vAlign w:val="bottom"/>
          </w:tcPr>
          <w:p>
            <w:pPr>
              <w:spacing w:after="0"/>
              <w:rPr>
                <w:sz w:val="18"/>
                <w:szCs w:val="18"/>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8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80" w:type="dxa"/>
            <w:vAlign w:val="bottom"/>
            <w:shd w:val="clear" w:color="auto" w:fill="CFF0FC"/>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8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80" w:type="dxa"/>
            <w:vAlign w:val="bottom"/>
          </w:tcPr>
          <w:p>
            <w:pPr>
              <w:spacing w:after="0"/>
              <w:rPr>
                <w:sz w:val="18"/>
                <w:szCs w:val="18"/>
                <w:color w:val="auto"/>
              </w:rPr>
            </w:pPr>
          </w:p>
        </w:tc>
      </w:tr>
      <w:tr>
        <w:trPr>
          <w:trHeight w:val="210"/>
        </w:trPr>
        <w:tc>
          <w:tcPr>
            <w:tcW w:w="3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144,707</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7,099,575</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7,244,282</w:t>
            </w:r>
          </w:p>
        </w:tc>
        <w:tc>
          <w:tcPr>
            <w:tcW w:w="80" w:type="dxa"/>
            <w:vAlign w:val="bottom"/>
            <w:shd w:val="clear" w:color="auto" w:fill="CFF0FC"/>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(25,214)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(25,214)</w:t>
            </w:r>
          </w:p>
        </w:tc>
      </w:tr>
      <w:tr>
        <w:trPr>
          <w:trHeight w:val="20"/>
        </w:trPr>
        <w:tc>
          <w:tcPr>
            <w:tcW w:w="3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119,493</w:t>
            </w:r>
          </w:p>
        </w:tc>
        <w:tc>
          <w:tcPr>
            <w:tcW w:w="120" w:type="dxa"/>
            <w:vAlign w:val="bottom"/>
            <w:tcBorders>
              <w:right w:val="single" w:sz="8" w:color="CFF0FC"/>
            </w:tcBorders>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7,099,575</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7,219,068</w:t>
            </w:r>
          </w:p>
        </w:tc>
        <w:tc>
          <w:tcPr>
            <w:tcW w:w="80" w:type="dxa"/>
            <w:vAlign w:val="bottom"/>
            <w:shd w:val="clear" w:color="auto" w:fill="CFF0FC"/>
          </w:tcPr>
          <w:p>
            <w:pPr>
              <w:spacing w:after="0"/>
              <w:rPr>
                <w:sz w:val="19"/>
                <w:szCs w:val="19"/>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-1370965</wp:posOffset>
            </wp:positionV>
            <wp:extent cx="596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-1353820</wp:posOffset>
            </wp:positionV>
            <wp:extent cx="596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-1370965</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-1353820</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-1370965</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-1353820</wp:posOffset>
            </wp:positionV>
            <wp:extent cx="51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-1370965</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-1353820</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11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six months ended June 30, 2025:</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6,686,427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121,036</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164,182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7,176,460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(374,771)</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(83,916)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(458,687)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(11,763)</w:t>
            </w: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(17,422)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8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6,838,709</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210,092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159,301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7,240,367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52"/>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and for the Six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6,728,411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93,469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(1,015,095)</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(83,916)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(1,099,011)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(115,419)</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(11,763)</w:t>
            </w: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(127,182)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8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6,838,709</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210,092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159,301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7,240,367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-2193925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-2176780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-2193925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-2176780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-2339340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-2193925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-2176780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-2339340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-2193925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-2176780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-2339340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-2193925</wp:posOffset>
            </wp:positionV>
            <wp:extent cx="77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-2176780</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-2339340</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-170815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investments for which Level 3 inputs were used to determine the fair value as of and for the three and six months ended June 30,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3,979,498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89,086</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4,274,058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(30,579)</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(30,579)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(265,850)</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(268,010)</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4,702,324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90,299</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115,090</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94,080</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5,001,793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9"/>
              </w:rPr>
              <w:t>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-933450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-916305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-1079500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-933450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-916305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-1079500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-933450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-916305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-1079500</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-933450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-916305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-1079500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33" w:name="page34"/>
    <w:bookmarkEnd w:id="33"/>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As of and for the Six Months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2,848,805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3,096,465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(41,602)</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(41,602)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 proceeds</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(406,408)</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(408,569)</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4,702,324</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90,299</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115,090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94,080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5,001,793</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-170815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-170815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with respect to the net change in unrealized gains or losses on investments for which Level 3 inputs were used in determining fair value that are still held by the Company at June 30, 2025 and June 30, 2024:</w:t>
      </w:r>
    </w:p>
    <w:p>
      <w:pPr>
        <w:spacing w:after="0" w:line="14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48"/>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Gains or (Losses)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Gains or (Losses)</w:t>
            </w: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48"/>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2025 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 on</w:t>
            </w:r>
          </w:p>
        </w:tc>
      </w:tr>
      <w:tr>
        <w:trPr>
          <w:trHeight w:val="148"/>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3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5"/>
                <w:szCs w:val="15"/>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140,705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147,141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00" w:type="dxa"/>
            <w:vAlign w:val="bottom"/>
            <w:shd w:val="clear" w:color="auto" w:fill="CFF0FC"/>
          </w:tcPr>
          <w:p>
            <w:pPr>
              <w:spacing w:after="0"/>
              <w:rPr>
                <w:sz w:val="19"/>
                <w:szCs w:val="19"/>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6032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03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-25400</wp:posOffset>
            </wp:positionV>
            <wp:extent cx="596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596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jc w:val="center"/>
        <w:ind w:left="5960"/>
        <w:spacing w:after="0" w:line="229" w:lineRule="auto"/>
        <w:rPr>
          <w:sz w:val="20"/>
          <w:szCs w:val="20"/>
          <w:color w:val="auto"/>
        </w:rPr>
      </w:pPr>
      <w:r>
        <w:rPr>
          <w:rFonts w:ascii="Times New Roman" w:cs="Times New Roman" w:eastAsia="Times New Roman" w:hAnsi="Times New Roman"/>
          <w:sz w:val="14"/>
          <w:szCs w:val="14"/>
          <w:b w:val="1"/>
          <w:bCs w:val="1"/>
          <w:color w:val="auto"/>
        </w:rPr>
        <w:t>Gains or (Losses)</w:t>
      </w:r>
    </w:p>
    <w:p>
      <w:pPr>
        <w:jc w:val="center"/>
        <w:ind w:left="5960"/>
        <w:spacing w:after="0" w:line="221" w:lineRule="auto"/>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5960"/>
        <w:spacing w:after="0" w:line="222" w:lineRule="auto"/>
        <w:rPr>
          <w:sz w:val="20"/>
          <w:szCs w:val="20"/>
          <w:color w:val="auto"/>
        </w:rPr>
      </w:pPr>
      <w:r>
        <w:rPr>
          <w:rFonts w:ascii="Times New Roman" w:cs="Times New Roman" w:eastAsia="Times New Roman" w:hAnsi="Times New Roman"/>
          <w:sz w:val="14"/>
          <w:szCs w:val="14"/>
          <w:b w:val="1"/>
          <w:bCs w:val="1"/>
          <w:color w:val="auto"/>
        </w:rPr>
        <w:t>June 30, 2025 on</w:t>
      </w:r>
    </w:p>
    <w:p>
      <w:pPr>
        <w:jc w:val="center"/>
        <w:ind w:left="5960"/>
        <w:spacing w:after="0" w:line="221" w:lineRule="auto"/>
        <w:rPr>
          <w:sz w:val="20"/>
          <w:szCs w:val="20"/>
          <w:color w:val="auto"/>
        </w:rPr>
      </w:pPr>
      <w:r>
        <w:rPr>
          <w:rFonts w:ascii="Times New Roman" w:cs="Times New Roman" w:eastAsia="Times New Roman" w:hAnsi="Times New Roman"/>
          <w:sz w:val="14"/>
          <w:szCs w:val="14"/>
          <w:b w:val="1"/>
          <w:bCs w:val="1"/>
          <w:color w:val="auto"/>
        </w:rPr>
        <w:t>Investments Held at</w:t>
      </w:r>
    </w:p>
    <w:p>
      <w:pPr>
        <w:jc w:val="center"/>
        <w:ind w:left="5960"/>
        <w:spacing w:after="0" w:line="232" w:lineRule="auto"/>
        <w:rPr>
          <w:sz w:val="20"/>
          <w:szCs w:val="20"/>
          <w:color w:val="auto"/>
        </w:rPr>
      </w:pPr>
      <w:r>
        <w:rPr>
          <w:rFonts w:ascii="Times New Roman" w:cs="Times New Roman" w:eastAsia="Times New Roman" w:hAnsi="Times New Roman"/>
          <w:sz w:val="14"/>
          <w:szCs w:val="14"/>
          <w:b w:val="1"/>
          <w:bCs w:val="1"/>
          <w:color w:val="auto"/>
        </w:rPr>
        <w:t>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jc w:val="center"/>
        <w:ind w:right="1120"/>
        <w:spacing w:after="0" w:line="229" w:lineRule="auto"/>
        <w:rPr>
          <w:sz w:val="20"/>
          <w:szCs w:val="20"/>
          <w:color w:val="auto"/>
        </w:rPr>
      </w:pPr>
      <w:r>
        <w:rPr>
          <w:rFonts w:ascii="Times New Roman" w:cs="Times New Roman" w:eastAsia="Times New Roman" w:hAnsi="Times New Roman"/>
          <w:sz w:val="14"/>
          <w:szCs w:val="14"/>
          <w:b w:val="1"/>
          <w:bCs w:val="1"/>
          <w:color w:val="auto"/>
        </w:rPr>
        <w:t>Gains or (Losses)</w:t>
      </w:r>
    </w:p>
    <w:p>
      <w:pPr>
        <w:jc w:val="center"/>
        <w:ind w:right="1120"/>
        <w:spacing w:after="0" w:line="221" w:lineRule="auto"/>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right="1120"/>
        <w:spacing w:after="0" w:line="222" w:lineRule="auto"/>
        <w:rPr>
          <w:sz w:val="20"/>
          <w:szCs w:val="20"/>
          <w:color w:val="auto"/>
        </w:rPr>
      </w:pPr>
      <w:r>
        <w:rPr>
          <w:rFonts w:ascii="Times New Roman" w:cs="Times New Roman" w:eastAsia="Times New Roman" w:hAnsi="Times New Roman"/>
          <w:sz w:val="14"/>
          <w:szCs w:val="14"/>
          <w:b w:val="1"/>
          <w:bCs w:val="1"/>
          <w:color w:val="auto"/>
        </w:rPr>
        <w:t>June 30, 2024 on</w:t>
      </w:r>
    </w:p>
    <w:p>
      <w:pPr>
        <w:jc w:val="center"/>
        <w:ind w:right="1120"/>
        <w:spacing w:after="0" w:line="221" w:lineRule="auto"/>
        <w:rPr>
          <w:sz w:val="20"/>
          <w:szCs w:val="20"/>
          <w:color w:val="auto"/>
        </w:rPr>
      </w:pPr>
      <w:r>
        <w:rPr>
          <w:rFonts w:ascii="Times New Roman" w:cs="Times New Roman" w:eastAsia="Times New Roman" w:hAnsi="Times New Roman"/>
          <w:sz w:val="14"/>
          <w:szCs w:val="14"/>
          <w:b w:val="1"/>
          <w:bCs w:val="1"/>
          <w:color w:val="auto"/>
        </w:rPr>
        <w:t>Investments Held at</w:t>
      </w:r>
    </w:p>
    <w:p>
      <w:pPr>
        <w:jc w:val="center"/>
        <w:ind w:right="1120"/>
        <w:spacing w:after="0" w:line="232"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p>
    <w:p>
      <w:pPr>
        <w:sectPr>
          <w:pgSz w:w="11900" w:h="16838" w:orient="portrait"/>
          <w:cols w:equalWidth="0" w:num="2">
            <w:col w:w="7780" w:space="720"/>
            <w:col w:w="2740"/>
          </w:cols>
          <w:pgMar w:left="320" w:top="1440" w:right="339" w:bottom="1440" w:gutter="0" w:footer="0" w:header="0"/>
          <w:type w:val="continuous"/>
        </w:sectPr>
      </w:pPr>
    </w:p>
    <w:tbl>
      <w:tblPr>
        <w:tblLayout w:type="fixed"/>
        <w:tblInd w:w="7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First-lien debt investments</w:t>
            </w:r>
          </w:p>
        </w:tc>
        <w:tc>
          <w:tcPr>
            <w:tcW w:w="2340" w:type="dxa"/>
            <w:vAlign w:val="bottom"/>
            <w:gridSpan w:val="2"/>
            <w:shd w:val="clear" w:color="auto" w:fill="CFF0FC"/>
          </w:tcPr>
          <w:p>
            <w:pPr>
              <w:jc w:val="right"/>
              <w:ind w:right="8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154,408</w:t>
            </w:r>
          </w:p>
        </w:tc>
        <w:tc>
          <w:tcPr>
            <w:tcW w:w="1100" w:type="dxa"/>
            <w:vAlign w:val="bottom"/>
            <w:gridSpan w:val="2"/>
            <w:shd w:val="clear" w:color="auto" w:fill="CFF0FC"/>
          </w:tcPr>
          <w:p>
            <w:pPr>
              <w:jc w:val="right"/>
              <w:ind w:right="8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27,160</w:t>
            </w:r>
          </w:p>
        </w:tc>
        <w:tc>
          <w:tcPr>
            <w:tcW w:w="100" w:type="dxa"/>
            <w:vAlign w:val="bottom"/>
            <w:shd w:val="clear" w:color="auto" w:fill="CFF0F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4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4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166,996</w:t>
            </w:r>
          </w:p>
        </w:tc>
        <w:tc>
          <w:tcPr>
            <w:tcW w:w="110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35,001</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-25400</wp:posOffset>
            </wp:positionV>
            <wp:extent cx="603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03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-25400</wp:posOffset>
            </wp:positionV>
            <wp:extent cx="596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-8255</wp:posOffset>
            </wp:positionV>
            <wp:extent cx="596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4"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at fair value and the significant unobservable inputs used in the valuations as of June 30, 2025 and December 31, 2024. The tables are not intended to be all-inclusive, but instead capture the significant unobservable inputs relevant to the Company’s determination of fair values.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0"/>
                <w:szCs w:val="10"/>
                <w:color w:val="auto"/>
              </w:rPr>
            </w:pPr>
          </w:p>
        </w:tc>
        <w:tc>
          <w:tcPr>
            <w:tcW w:w="1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0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6,838,709</w:t>
            </w:r>
          </w:p>
        </w:tc>
        <w:tc>
          <w:tcPr>
            <w:tcW w:w="1780" w:type="dxa"/>
            <w:vAlign w:val="bottom"/>
            <w:gridSpan w:val="2"/>
            <w:shd w:val="clear" w:color="auto" w:fill="CFF0FC"/>
          </w:tcPr>
          <w:p>
            <w:pPr>
              <w:ind w:left="200"/>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9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6.5% — 14.7% (10.1%)</w:t>
            </w:r>
          </w:p>
        </w:tc>
        <w:tc>
          <w:tcPr>
            <w:tcW w:w="1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32,265</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approach</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 — 14.1% (13.8%)</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210,092</w:t>
            </w:r>
          </w:p>
        </w:tc>
        <w:tc>
          <w:tcPr>
            <w:tcW w:w="1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approach</w:t>
            </w:r>
          </w:p>
        </w:tc>
        <w:tc>
          <w:tcPr>
            <w:tcW w:w="19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11.5% — 11.5% (11.5%)</w:t>
            </w:r>
          </w:p>
        </w:tc>
        <w:tc>
          <w:tcPr>
            <w:tcW w:w="1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159,301</w:t>
            </w:r>
          </w:p>
        </w:tc>
        <w:tc>
          <w:tcPr>
            <w:tcW w:w="1780" w:type="dxa"/>
            <w:vAlign w:val="bottom"/>
            <w:gridSpan w:val="2"/>
          </w:tcPr>
          <w:p>
            <w:pPr>
              <w:ind w:left="200"/>
              <w:spacing w:after="0" w:line="203" w:lineRule="exact"/>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(2)</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Comparable multiple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1.9x — 20.0x (11.2x)</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7,240,367</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-8255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$54.1 million of first-lien debt investments valued using an asset waterfall.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$52.8 million of equity investments valued using a discounted cash flow analysis.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0"/>
                <w:szCs w:val="10"/>
                <w:color w:val="auto"/>
              </w:rPr>
            </w:pPr>
          </w:p>
        </w:tc>
        <w:tc>
          <w:tcPr>
            <w:tcW w:w="19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20" w:type="dxa"/>
            <w:vAlign w:val="bottom"/>
          </w:tcPr>
          <w:p>
            <w:pPr>
              <w:spacing w:after="0"/>
              <w:rPr>
                <w:sz w:val="10"/>
                <w:szCs w:val="10"/>
                <w:color w:val="auto"/>
              </w:rPr>
            </w:pP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5"/>
                <w:szCs w:val="15"/>
                <w:color w:val="auto"/>
              </w:rPr>
            </w:pPr>
          </w:p>
        </w:tc>
        <w:tc>
          <w:tcPr>
            <w:tcW w:w="16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6,728,411</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7"/>
                <w:szCs w:val="17"/>
                <w:color w:val="auto"/>
              </w:rPr>
            </w:pPr>
          </w:p>
        </w:tc>
        <w:tc>
          <w:tcPr>
            <w:tcW w:w="1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0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16"/>
                <w:szCs w:val="16"/>
                <w:color w:val="auto"/>
              </w:rPr>
              <w:t>7.7% — 17.1% (10.6%)</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93,469</w:t>
            </w:r>
          </w:p>
        </w:tc>
        <w:tc>
          <w:tcPr>
            <w:tcW w:w="24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tcPr>
          <w:p>
            <w:pPr>
              <w:spacing w:after="0"/>
              <w:rPr>
                <w:sz w:val="17"/>
                <w:szCs w:val="17"/>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0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rPr>
              <w:t>14.7% — 18.1% (17.8%)</w:t>
            </w:r>
          </w:p>
        </w:tc>
        <w:tc>
          <w:tcPr>
            <w:tcW w:w="1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123,184</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shd w:val="clear" w:color="auto" w:fill="CFF0FC"/>
          </w:tcPr>
          <w:p>
            <w:pPr>
              <w:spacing w:after="0"/>
              <w:rPr>
                <w:sz w:val="17"/>
                <w:szCs w:val="17"/>
                <w:color w:val="auto"/>
              </w:rPr>
            </w:pPr>
          </w:p>
        </w:tc>
        <w:tc>
          <w:tcPr>
            <w:tcW w:w="1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0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16"/>
                <w:szCs w:val="16"/>
                <w:color w:val="auto"/>
              </w:rPr>
              <w:t>12.2% — 12.2% (12.2%)</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154,511</w:t>
            </w:r>
          </w:p>
        </w:tc>
        <w:tc>
          <w:tcPr>
            <w:tcW w:w="240" w:type="dxa"/>
            <w:vAlign w:val="bottom"/>
          </w:tcPr>
          <w:p>
            <w:pPr>
              <w:spacing w:after="0"/>
              <w:rPr>
                <w:sz w:val="17"/>
                <w:szCs w:val="17"/>
                <w:color w:val="auto"/>
              </w:rPr>
            </w:pPr>
          </w:p>
        </w:tc>
        <w:tc>
          <w:tcPr>
            <w:tcW w:w="15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Comparable multiple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color w:val="auto"/>
              </w:rPr>
              <w:t>4.8x — 20.0x (11.0x)</w:t>
            </w:r>
          </w:p>
        </w:tc>
        <w:tc>
          <w:tcPr>
            <w:tcW w:w="120" w:type="dxa"/>
            <w:vAlign w:val="bottom"/>
          </w:tcPr>
          <w:p>
            <w:pPr>
              <w:spacing w:after="0"/>
              <w:rPr>
                <w:sz w:val="17"/>
                <w:szCs w:val="17"/>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7,099,575</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-25400</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-7620</wp:posOffset>
            </wp:positionV>
            <wp:extent cx="76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$226.4 million of first-lien debt investments valued using an asset waterfall.</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 million of equity investments valued using a Black-Scholes model and $49.1 million of equity investments valued using a discounted cash flow analysis.</w:t>
      </w:r>
    </w:p>
    <w:p>
      <w:pPr>
        <w:spacing w:after="0" w:line="162"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3" w:lineRule="exact"/>
        <w:rPr>
          <w:sz w:val="20"/>
          <w:szCs w:val="20"/>
          <w:color w:val="auto"/>
        </w:rPr>
      </w:pPr>
    </w:p>
    <w:p>
      <w:pPr>
        <w:ind w:right="220" w:firstLine="255"/>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fair value of the Company’s Credit Facilities, which are categorized as Level 3 within the fair value hierarchy, as of June 30, 2025 and December 31, 2024, approximates their carrying value as the outstanding balance is callable at carrying value.</w:t>
      </w:r>
    </w:p>
    <w:p>
      <w:pPr>
        <w:spacing w:after="0" w:line="162"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2029 Notes, January 2030 Notes and July 2030 Notes, as of June 30, 2025 and December 31, 2024.</w:t>
      </w: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Outstanding Principal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9"/>
              </w:rPr>
              <w:t xml:space="preserve">Fair Value </w:t>
            </w:r>
            <w:r>
              <w:rPr>
                <w:rFonts w:ascii="Times New Roman" w:cs="Times New Roman" w:eastAsia="Times New Roman" w:hAnsi="Times New Roman"/>
                <w:sz w:val="19"/>
                <w:szCs w:val="19"/>
                <w:b w:val="1"/>
                <w:bCs w:val="1"/>
                <w:color w:val="auto"/>
                <w:w w:val="99"/>
                <w:vertAlign w:val="superscript"/>
              </w:rPr>
              <w:t>(1)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773,355</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1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763,205</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2,137,996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-170815</wp:posOffset>
            </wp:positionV>
            <wp:extent cx="6032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6032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596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is based on broker quotes received by the Company and is categorized as Level 2 within the fair value hierarchy.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800" w:firstLine="255"/>
        <w:spacing w:after="0" w:line="282" w:lineRule="auto"/>
        <w:rPr>
          <w:sz w:val="20"/>
          <w:szCs w:val="20"/>
          <w:color w:val="auto"/>
        </w:rPr>
      </w:pPr>
      <w:r>
        <w:rPr>
          <w:rFonts w:ascii="Times New Roman" w:cs="Times New Roman" w:eastAsia="Times New Roman" w:hAnsi="Times New Roman"/>
          <w:sz w:val="18"/>
          <w:szCs w:val="18"/>
          <w:color w:val="auto"/>
        </w:rPr>
        <w:t>Under the fair value hierarchy, cash and cash equivalents are classified as Level 1 while the Company’s other assets and liabilities, other than investments at fair value and the Credit Facilities, are classified as Level 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the Company entered into a revolving credit agreement (the “Subscription Facility”) with Wells Fargo Bank, National Association, as administrative agent (the “Administrative Agent”), letter of credit issuer, lead arranger, as a lender and aggregate commitments under the Subscription Facility were $400 million.</w:t>
      </w:r>
    </w:p>
    <w:p>
      <w:pPr>
        <w:spacing w:after="0" w:line="68"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w:t>
      </w:r>
    </w:p>
    <w:p>
      <w:pPr>
        <w:spacing w:after="0" w:line="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On July 3, 2024, the Company exercised its option to extend the stated maturity date to August 29, 2025. The Subscription Facility will mature upon the earliest of: (i) August 29, 2025;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w:t>
      </w:r>
    </w:p>
    <w:p>
      <w:pPr>
        <w:spacing w:after="0" w:line="18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92"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June 30, 2025, the Company had outstanding debt denominated in British pounds (GBP) of 10.3 million and Euros (EUR) of 7.3 million on its Subscription Facility, included in the outstanding principal amount in the table below. As of December 31, 2024, the Company had outstanding debt denominated in British pounds (GBP) of 10.3 million, and Euros (EUR) of 7.3 million on its Subscription Facility, included in the outstanding principal amount in the table below.</w:t>
      </w:r>
    </w:p>
    <w:p>
      <w:pPr>
        <w:spacing w:after="0" w:line="180"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Subscription Facility also provides for the issuance of letters of credit up to an aggregate amount of 10% of the Maximum Commitment. As of June 30, 2025 and December 31, 2024, the Company had no outstanding letters of credit issued through the Subscription Facility. The amount available for borrowing under the Subscription Facility is reduced by any letters of credit issued through the Subscription Facility.</w:t>
      </w:r>
    </w:p>
    <w:p>
      <w:pPr>
        <w:spacing w:after="0" w:line="176"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2025 and December 31, 2024, the Company was in compliance with the terms of the Subscription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right="340"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76"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The aggregate commitments under the Revolving Credit Facility were $600 million and included an uncommitted accordion feature that allows the Company, under certain circumstances, to increase the size of the Revolving Credit Facility up to $1 billion. On February 28, 2023, the aggregate commitments under the Revolving Credit Facility were upsized to $700 million. On July 27, 2023, the aggregate commitments under the Revolving Credit Facility were upsized to $725 million. Pursuant to the first amendment to the Revolving Credit Facility dated February 8, 2024, the aggregate commitments under the Revolving Credit Facility were upsized to $1.0 billion and the stated maturity date was extended to February 8, 2029. On April 8, 2024, the aggregate commitments under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p>
      <w:pPr>
        <w:ind w:right="120"/>
        <w:spacing w:after="0" w:line="272" w:lineRule="auto"/>
        <w:rPr>
          <w:sz w:val="20"/>
          <w:szCs w:val="20"/>
          <w:color w:val="auto"/>
        </w:rPr>
      </w:pPr>
      <w:r>
        <w:rPr>
          <w:rFonts w:ascii="Times New Roman" w:cs="Times New Roman" w:eastAsia="Times New Roman" w:hAnsi="Times New Roman"/>
          <w:sz w:val="17"/>
          <w:szCs w:val="17"/>
          <w:color w:val="auto"/>
        </w:rPr>
        <w:t>Revolving Credit Facility were upsized to $1.2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On December 18, 2024, the aggregate commitments under the Revolving Credit Facility were upsized to $1.55 billion, which included a term loan commitment of $50 million, due at the stated maturity. On January 17, 2025, the aggregate commitments under the Revolving Credit Facility were upsized to $1.65 billion, due at the stated maturity. On March 4, 2025, pursuant to the third amendment, the aggregate commitments under the Revolving Credit Facility were upsized to $2.28 billion the stated maturity was extended to March 4, 2030. The Revolving Credit Facility includes an uncommitted accordion feature that allows the Company, under certain circumstances, to increase the size of the Revolving Credit Facility to up to $3.42 billion. The Revolving Credit Facility will mature on March 4, 2030.</w:t>
      </w:r>
    </w:p>
    <w:p>
      <w:pPr>
        <w:spacing w:after="0" w:line="172"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1.525%, 1.65%, or 1.775%, based on certain borrowing base conditions and (b) an alternative base rate plus 0.525%, 0.65% or 0.775%, based on certain borrowing base conditions, (ii) in the case of loans denominated in other permitted currencies at the relevant rate specified plus 0.525%, 0.65% or 1.775%, based on certain borrowing base conditions, plus in the case of amounts denominated in certain other permitted currencies, an adjustment. We also will pay an unused commitment fee of 0.325% per annum on the unused commitments.</w:t>
      </w:r>
    </w:p>
    <w:p>
      <w:pPr>
        <w:spacing w:after="0" w:line="187"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at least $2.4 billion plus 25% of the net proceeds of the sale of equity interests after March 4, 2025; and</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asset coverage ratio of no less than 1.5 to 1 with respect to (i) the consolidated assets of the Company and the subsidiary guarantors (including certain limitations on the contribution of equity in financing subsidiaries) to (ii) the secured debt of the Company and its subsidiary guarantors (the “Obligor Asset Coverage Ratio”).</w:t>
      </w:r>
    </w:p>
    <w:p>
      <w:pPr>
        <w:spacing w:after="0" w:line="176"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June 30, 2025, the Company had outstanding debt denominated in British pounds (GBP) of 300.6 million, Euros (EUR) 899.7 million and Swedish Krona (SEK) 209.7 million on its Revolving Credit Facility, included in the outstanding principal amount in the table below. As of December 31, 2024, the Company had outstanding debt denominated in British pounds (GBP) of 299.2 million, Euros (EUR) 640.1 million and Swedish Krona (SEK) 80.2 million on its Revolving Credit Facility, included in the outstanding principal amount in the table below.</w:t>
      </w:r>
    </w:p>
    <w:p>
      <w:pPr>
        <w:spacing w:after="0" w:line="183"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$100 million. As of June 30, 2025, the Company had $31.5 million in outstanding letters of credit issued through the Revolving Credit Facility. As of December 31, 2024, the Company had $5.9 million in outstanding letters of credit issued through the Revolving Credit Facility. The amount available for borrowing under the Revolving Credit Facility is reduced by any letters of credit issued through the Revolving Credit Facility.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Revolving Credit Facility includes customary events of default (with customary cure and notice provisions).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2025 and December 31, 2024, the Company was in compliance with the terms of the Revolving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119"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In March 2024, the Company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the Company’s option at any time at par plus a “make whole” premium. Total proceeds from the issuance of the 2029 Notes, net of underwriting discounts, offering costs and original issue discount, were $586.0 million. The Company used the net proceeds of the 2029 Notes to repay outstanding indebtedness under the Revolving Credit Facility and Subscription Facility.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7" w:name="page38"/>
    <w:bookmarkEnd w:id="37"/>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June 2024, the Company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The Company used the net proceeds of the 2029 Notes to repay outstanding indebtedness under the Revolving Credit Facility and Subscription Facility.</w:t>
      </w:r>
    </w:p>
    <w:p>
      <w:pPr>
        <w:spacing w:after="0" w:line="183"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Company entered into two interest rate swaps to align the interest rates of its liabilities with the Company’s investment portfolio, which consists of predominately floating rate loans. The notional amount of the two interest rates swaps is $600.0 million and $150.0 million, respectively, each of which matures on March 11, 2029, matching the maturity date of the 2029 Notes. As a result of the swap, the Company’s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the Company’s Consolidated Statements of Operations. As of June 30, 2025 and December 31, 2024, the effective hedge interest rate swaps had a fair value of $15.7 million and $(1.1) million, respectively, which is offset within interest expense by an equal, but opposite, fair value change for the hedged risk on the 2029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2030 Notes</w:t>
      </w:r>
    </w:p>
    <w:p>
      <w:pPr>
        <w:spacing w:after="0" w:line="227" w:lineRule="exact"/>
        <w:rPr>
          <w:sz w:val="20"/>
          <w:szCs w:val="20"/>
          <w:color w:val="auto"/>
        </w:rPr>
      </w:pPr>
    </w:p>
    <w:p>
      <w:pPr>
        <w:ind w:right="300" w:firstLine="255"/>
        <w:spacing w:after="0" w:line="256" w:lineRule="auto"/>
        <w:rPr>
          <w:sz w:val="20"/>
          <w:szCs w:val="20"/>
          <w:color w:val="auto"/>
        </w:rPr>
      </w:pPr>
      <w:r>
        <w:rPr>
          <w:rFonts w:ascii="Times New Roman" w:cs="Times New Roman" w:eastAsia="Times New Roman" w:hAnsi="Times New Roman"/>
          <w:sz w:val="18"/>
          <w:szCs w:val="18"/>
          <w:color w:val="auto"/>
        </w:rPr>
        <w:t>In September 2024, the Company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the Company’s option at any time at par plus a “make whole” premium. Total proceeds from the issuance of the January 2030 Notes, net of underwriting discounts, offering costs and original issue discount, were $591.7 million. The Company used the net proceeds of the January 2030 Notes to repay outstanding indebtedness under the Revolving Credit Facility and Subscription Facility.</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January 2030 Notes, the Company entered into an interest rate swap to align the interest rate of its liability with the Company’s investment portfolio, which consists of predominately floating rate loans. The notional amount of the interest rate swap is $600.0 million which matures on January 15, 2030, matching the maturity date of the January 2030 Notes. As a result of the swap, the Company’s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the Company’s Consolidated Statements of Operations. As of June 30, 2025 and December 31, 2024, the effective hedge interest rate swaps had a fair value of $(6.6) million and $(24.1) million, respectively, which is offset within interest expense by an equal, but opposite, fair value change for the hedged risk on the January 2030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2030 Notes</w:t>
      </w:r>
    </w:p>
    <w:p>
      <w:pPr>
        <w:spacing w:after="0" w:line="227"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In January 2025, the Company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the Company's option at any time at par plus a "make whole" premium. Total proceeds from the issuance of the July 2030 Notes, net of underwriting discounts, offering costs and original issue discount, were $737.6 million. The Company used the net proceeds of the July 2030 Notes to repay outstanding indebtedness under the Revolving Credit Facility and Subscription Facility.</w:t>
      </w:r>
    </w:p>
    <w:p>
      <w:pPr>
        <w:spacing w:after="0" w:line="187"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July 2030 Notes, the Company entered into an interest rate swap to align the interest rate of its liability with the Company's investment portfolio, which consists of predominately floating rate loans. The notional amount of the interest rate swap is $750.0 million which matures on July 15, 2030, matching the maturity date of the July 2030 Notes. As a result of the swap, the Company's effective interest rate on the July 2030 Notes is SOFR plus 2.01%. The interest expense related to the July 2030 Notes is offset by proceeds received from the interest rate swaps designed as a hedge. The swap adjusted interest expense is included as a component of interest expense on the Company's Consolidated Statements of Operations. As of June 30, 2025, the effective hedge interest rate swaps had a fair value of $22.4 million which is offset within interest expense by an equal, but opposite, fair value change for the hedged risk on the July 2030 Notes.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8" w:name="page39"/>
    <w:bookmarkEnd w:id="38"/>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respectively, the components of interest expense related to the 2029 Notes, January 2030 Notes and July 2030 Notes are as follows.</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r>
      <w:tr>
        <w:trPr>
          <w:trHeight w:val="182"/>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5"/>
                <w:szCs w:val="15"/>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63,063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603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596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2029 Notes, January 2030 Notes and July 2030 Notes. During the three and six months ended June 30, 2025, the Company received $32.3 million and $62.3 million, respectively, and paid $35.8 million and $68.0 million, respectively, related to the settlements of its interest expense in the Company's Consolidated Statement of Operations. During the three and six months ended June 30, 2024, the Company received $10.0 million and $11.5 million, respectively, and paid $12.3 million and $14.1 million, respectively, related to the settlements of its interest expense in the Company's Consolidated Statement of Operations. See Note 5 for further information about the Company's interest rate swaps.</w:t>
      </w:r>
    </w:p>
    <w:p>
      <w:pPr>
        <w:spacing w:after="0" w:line="18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As of June 30, 2025, the components of the carrying value of the 2029 Notes, January 2030 Notes and July 2030 Notes and the stated interest rates were as follows.</w:t>
      </w:r>
    </w:p>
    <w:p>
      <w:pPr>
        <w:spacing w:after="0" w:line="317"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January 2030 Notes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July 2030 Notes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(5,101)</w:t>
            </w:r>
          </w:p>
        </w:tc>
        <w:tc>
          <w:tcPr>
            <w:tcW w:w="2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(7,523)</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(6,947)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an effective hedge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value of debt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753,047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585,641</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758,847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26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-173990</wp:posOffset>
            </wp:positionV>
            <wp:extent cx="11112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-156845</wp:posOffset>
            </wp:positionV>
            <wp:extent cx="11112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-173990</wp:posOffset>
            </wp:positionV>
            <wp:extent cx="1111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-156845</wp:posOffset>
            </wp:positionV>
            <wp:extent cx="1111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-173990</wp:posOffset>
            </wp:positionV>
            <wp:extent cx="1117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-156845</wp:posOffset>
            </wp:positionV>
            <wp:extent cx="11176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the components of the carrying value of the 2029 Notes and January 2030 Notes and the stated interest rates were as follows.</w:t>
      </w:r>
    </w:p>
    <w:p>
      <w:pPr>
        <w:spacing w:after="0" w:line="273" w:lineRule="exact"/>
        <w:rPr>
          <w:sz w:val="20"/>
          <w:szCs w:val="20"/>
          <w:color w:val="auto"/>
        </w:rPr>
      </w:pPr>
    </w:p>
    <w:tbl>
      <w:tblPr>
        <w:tblLayout w:type="fixed"/>
        <w:tblInd w:w="18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January 2030 Notes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(5,695)</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(8,486)</w:t>
            </w: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an effective hedge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value of debt</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734,740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567,276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c>
          <w:tcPr>
            <w:tcW w:w="28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-173990</wp:posOffset>
            </wp:positionV>
            <wp:extent cx="1111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-156845</wp:posOffset>
            </wp:positionV>
            <wp:extent cx="1111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-173990</wp:posOffset>
            </wp:positionV>
            <wp:extent cx="1111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-156845</wp:posOffset>
            </wp:positionV>
            <wp:extent cx="1111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As of June 30, 2025, the Company's swap-adjusted interest rate on the 2029 Notes, January 2030 Notes and July 2030 Notes was SOFR plus 2.45% (on a weighted average basis), 2.55% and 2.01%, respectively. As of December 31, 2024, the Company's swap-adjusted interest rate on the 2029 Notes and January 2030 Notes was SOFR plus 2.45% (on a weighted average basis) and 2.55%, respectively.</w:t>
      </w:r>
    </w:p>
    <w:p>
      <w:pPr>
        <w:spacing w:after="0" w:line="180"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As of June 30, 2025, the Company was in compliance with the terms of the indentures governing the 2029 Notes, January 2030 Notes and July 2030 Notes. As of December 31, 2024, the Company was in compliance with the terms of the indentures governing the 2029 Notes and January 2030 Notes.</w:t>
      </w:r>
    </w:p>
    <w:p>
      <w:pPr>
        <w:spacing w:after="0" w:line="162" w:lineRule="exact"/>
        <w:rPr>
          <w:sz w:val="20"/>
          <w:szCs w:val="20"/>
          <w:color w:val="auto"/>
        </w:rPr>
      </w:pPr>
    </w:p>
    <w:p>
      <w:pPr>
        <w:jc w:val="both"/>
        <w:ind w:right="340" w:firstLine="255"/>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150% after such borrowing. As of June 30, 2025 and December 31, 2024, the Company's asset coverage was 200.2% and 193.0%,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June 30, 2025 and December 31, 2024:</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1,477,316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2,090,113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5,880,000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4,212,797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1,635,687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-170815</wp:posOffset>
            </wp:positionV>
            <wp:extent cx="603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603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6" w:lineRule="exact"/>
        <w:rPr>
          <w:sz w:val="20"/>
          <w:szCs w:val="20"/>
          <w:color w:val="auto"/>
        </w:rPr>
      </w:pPr>
    </w:p>
    <w:p>
      <w:pPr>
        <w:ind w:left="520" w:right="660" w:hanging="512"/>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outstanding letters of credit issued and asset coverage requirements.</w:t>
      </w:r>
    </w:p>
    <w:p>
      <w:pPr>
        <w:jc w:val="both"/>
        <w:ind w:left="520" w:right="140" w:hanging="512"/>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Revolving Credit Facility, the 2029 Notes, January 2030 Notes and July 2030 Notes are presented net of the combination of deferred financing costs and original issue discounts totaling $0.8 million, $15.6 million, $12.6 million, $7.8 million and $13.6 million, respectively.</w:t>
      </w:r>
    </w:p>
    <w:p>
      <w:pPr>
        <w:spacing w:after="0" w:line="1" w:lineRule="exact"/>
        <w:rPr>
          <w:rFonts w:ascii="Times New Roman" w:cs="Times New Roman" w:eastAsia="Times New Roman" w:hAnsi="Times New Roman"/>
          <w:sz w:val="18"/>
          <w:szCs w:val="18"/>
          <w:color w:val="auto"/>
        </w:rPr>
      </w:pPr>
    </w:p>
    <w:p>
      <w:pPr>
        <w:ind w:left="520" w:right="140" w:hanging="512"/>
        <w:spacing w:after="0" w:line="255"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January 2030 Notes, and July 2030 Notes are presented inclusive of an incremental $15.7 million, $(6.6) million and $22.4 million, respectively, which represents an adjustment in the carrying value of the 2029 Notes, January 2030 Notes and July 2030 Notes, resulting from a hedge accounting relationship.</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Available </w:t>
            </w:r>
            <w:r>
              <w:rPr>
                <w:rFonts w:ascii="Times New Roman" w:cs="Times New Roman" w:eastAsia="Times New Roman" w:hAnsi="Times New Roman"/>
                <w:sz w:val="19"/>
                <w:szCs w:val="19"/>
                <w:b w:val="1"/>
                <w:bCs w:val="1"/>
                <w:color w:val="auto"/>
                <w:w w:val="95"/>
                <w:vertAlign w:val="superscript"/>
              </w:rPr>
              <w:t>(1)</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2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1,496,759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4,348,724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-24765</wp:posOffset>
            </wp:positionV>
            <wp:extent cx="603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03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03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left="520" w:right="38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the Revolving Credit Facility, outstanding letters of credit issued, and asset coverage requirements.</w:t>
      </w:r>
    </w:p>
    <w:p>
      <w:pPr>
        <w:ind w:left="520" w:right="20" w:hanging="512"/>
        <w:spacing w:after="0" w:line="25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Revolving Credit Facility, 2029 Notes and January 2030 Notes are presented net deferred financing costs $3.0 million, $9.1 million, $14.2 million, and $8.6 million, respectively.</w:t>
      </w:r>
    </w:p>
    <w:p>
      <w:pPr>
        <w:ind w:left="520" w:right="320" w:hanging="512"/>
        <w:spacing w:after="0" w:line="255"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and January 2030 Notes are presented inclusive of an incremental $(1.1) million and $(24.1) million, respectively, which represents an adjustment in the carrying value of the 2029 Notes and January 2030 Notes, resulting from a hedge accounting relationship.</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and six months ended June 30, 2025 and 2024, the components of interest expense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8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20" w:type="dxa"/>
            <w:vAlign w:val="bottom"/>
            <w:gridSpan w:val="2"/>
          </w:tcPr>
          <w:p>
            <w:pPr>
              <w:spacing w:after="0"/>
              <w:rPr>
                <w:sz w:val="12"/>
                <w:szCs w:val="12"/>
                <w:color w:val="auto"/>
              </w:rPr>
            </w:pPr>
          </w:p>
        </w:tc>
      </w:tr>
      <w:tr>
        <w:trPr>
          <w:trHeight w:val="210"/>
        </w:trPr>
        <w:tc>
          <w:tcPr>
            <w:tcW w:w="86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99,008</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73,561</w:t>
            </w:r>
          </w:p>
        </w:tc>
        <w:tc>
          <w:tcPr>
            <w:tcW w:w="18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8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4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80" w:type="dxa"/>
            <w:vAlign w:val="bottom"/>
            <w:tcBorders>
              <w:bottom w:val="single" w:sz="8" w:color="CFF0FC"/>
            </w:tcBorders>
            <w:shd w:val="clear" w:color="auto" w:fill="CFF0FC"/>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59,054</w:t>
            </w:r>
          </w:p>
        </w:tc>
        <w:tc>
          <w:tcPr>
            <w:tcW w:w="2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47,024</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115,169</w:t>
            </w:r>
          </w:p>
        </w:tc>
        <w:tc>
          <w:tcPr>
            <w:tcW w:w="2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82,103</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debt outstanding (in millions)</w:t>
            </w:r>
          </w:p>
        </w:tc>
        <w:tc>
          <w:tcPr>
            <w:tcW w:w="5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3,609.7</w:t>
            </w:r>
          </w:p>
        </w:tc>
        <w:tc>
          <w:tcPr>
            <w:tcW w:w="2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2,381.4</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3,478.4</w:t>
            </w:r>
          </w:p>
        </w:tc>
        <w:tc>
          <w:tcPr>
            <w:tcW w:w="2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2,078.0</w:t>
            </w:r>
          </w:p>
        </w:tc>
        <w:tc>
          <w:tcPr>
            <w:tcW w:w="180" w:type="dxa"/>
            <w:vAlign w:val="bottom"/>
            <w:shd w:val="clear" w:color="auto" w:fill="CFF0FC"/>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8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840" w:type="dxa"/>
            <w:vAlign w:val="bottom"/>
          </w:tcPr>
          <w:p>
            <w:pPr>
              <w:spacing w:after="0"/>
              <w:rPr>
                <w:sz w:val="20"/>
                <w:szCs w:val="20"/>
                <w:color w:val="auto"/>
              </w:rPr>
            </w:pPr>
          </w:p>
        </w:tc>
      </w:tr>
      <w:tr>
        <w:trPr>
          <w:trHeight w:val="630"/>
        </w:trPr>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-1353820</wp:posOffset>
            </wp:positionV>
            <wp:extent cx="1111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-1353820</wp:posOffset>
            </wp:positionV>
            <wp:extent cx="11112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-1353820</wp:posOffset>
            </wp:positionV>
            <wp:extent cx="11112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-1353820</wp:posOffset>
            </wp:positionV>
            <wp:extent cx="11176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As of June 30, 2025 and December 31, 2024, the Company had the following commitments to fund investments in current portfolio companies: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20" w:type="dxa"/>
            <w:vAlign w:val="bottom"/>
            <w:gridSpan w:val="2"/>
          </w:tcPr>
          <w:p>
            <w:pPr>
              <w:spacing w:after="0"/>
              <w:rPr>
                <w:sz w:val="15"/>
                <w:szCs w:val="15"/>
                <w:color w:val="auto"/>
              </w:rPr>
            </w:pPr>
          </w:p>
        </w:tc>
      </w:tr>
      <w:tr>
        <w:trPr>
          <w:trHeight w:val="209"/>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Apellis Pharmaceuticals, Inc.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Aptean, Inc.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Arrowhead Pharmaceuticals, Inc.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125,751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135,222</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Avalara, Inc.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AVSC Holding Corp.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Azurite Intermediate Holdings, Inc. - Revolver &amp; Equity</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Babylon Finco Limited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 Nevis Midco Limited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27,307</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Big Wombat Holdings, Inc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Cirrus (Bidco) Ltd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Cordance Operations LLC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Elysium BidCo Limited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Eventus Buyer, LLC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Flight Intermediate HoldCo, Inc.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44,012</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Greenshoot Bidco B.V.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Heritage Environmental Services, Inc.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HireVue, Inc.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Ingenovis Health Finance, LLC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Kryptona BidCo US, LLC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Lynx BidCo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Merit Software Finance Holdings, LLC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PDI TA Holdings, Inc.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26,516</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QSR Acquisition Co.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Rail Acquisitions LLC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RainFocus, LLC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Raptor US Buyer II Corp.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Sapphire Software Buyer, Inc.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Scorpio Bidco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Severin Acquisition, LLC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72,475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Shiftmove GmbH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Sky Bidco S.p.A.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SkyLark UK DebtCo Limited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SMA Technologies Holdings, LLC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Sport Alliance GmbH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Tango Management Consulting, LLC #2 -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Truck-Lite Co., LLC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61,202</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USA Debusk, LLC - Delayed Draw &amp; Revolver</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4"/>
        </w:trPr>
        <w:tc>
          <w:tcPr>
            <w:tcW w:w="68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2" w:name="page43"/>
    <w:bookmarkEnd w:id="42"/>
    <w:tbl>
      <w:tblPr>
        <w:tblLayout w:type="fixed"/>
        <w:tblInd w:w="620" w:type="dxa"/>
        <w:tblCellMar>
          <w:top w:w="0" w:type="dxa"/>
          <w:left w:w="0" w:type="dxa"/>
          <w:bottom w:w="0" w:type="dxa"/>
          <w:right w:w="0" w:type="dxa"/>
        </w:tblCellMar>
      </w:tblP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Varinem German Bidco GmbH - Delayed Draw</w:t>
            </w: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Wrangler Topco, LLC - Delayed Draw &amp; Revolver</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32,377</w:t>
            </w:r>
          </w:p>
        </w:tc>
        <w:tc>
          <w:tcPr>
            <w:tcW w:w="100" w:type="dxa"/>
            <w:vAlign w:val="bottom"/>
          </w:tcPr>
          <w:p>
            <w:pPr>
              <w:spacing w:after="0"/>
              <w:rPr>
                <w:sz w:val="18"/>
                <w:szCs w:val="18"/>
                <w:color w:val="auto"/>
              </w:rPr>
            </w:pPr>
          </w:p>
        </w:tc>
      </w:tr>
      <w:tr>
        <w:trPr>
          <w:trHeight w:val="249"/>
        </w:trPr>
        <w:tc>
          <w:tcPr>
            <w:tcW w:w="6200" w:type="dxa"/>
            <w:vAlign w:val="bottom"/>
            <w:tcBorders>
              <w:bottom w:val="single" w:sz="8" w:color="CFF0FC"/>
            </w:tcBorders>
            <w:shd w:val="clear" w:color="auto" w:fill="CFF0FC"/>
          </w:tcPr>
          <w:p>
            <w:pPr>
              <w:ind w:left="1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870,158</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1,050,384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603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03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520" w:right="320" w:hanging="512"/>
        <w:spacing w:after="0" w:line="26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 of the fair value of the current investments in these portfolio companies includes an analysis of the fair value of any unfunded commitments.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227"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did not have any unfunded commitments to fund investments to new borrowers that were not current portfolio companies as of such date.</w:t>
      </w:r>
    </w:p>
    <w:p>
      <w:pPr>
        <w:spacing w:after="0" w:line="162"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June 30, 2025 and December 31, 2024, management is not aware of any material pending or threatened litigation that would require accounting recognition or financial statement disclosure.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180"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Company has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June 30, 2025, the Company had received Capital Commitments totaling $7.4 billion ($3.7 billion remaining undrawn). As of December 31, 2024, the Company had received Capital Commitments totaling $7.4 billion ($3.7 billion remaining undrawn).</w:t>
      </w:r>
    </w:p>
    <w:p>
      <w:pPr>
        <w:spacing w:after="0" w:line="18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spacing w:after="0" w:line="187"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 summarizes the Common Shares issued to shareholders who have not opted out of the Company’s dividend reinvestment plan for the six months ended June 30, 2025 and 2024. All shares issued to shareholders in the tables below are newly issued shares.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80" w:type="dxa"/>
            <w:vAlign w:val="bottom"/>
            <w:vMerge w:val="restart"/>
          </w:tcPr>
          <w:p>
            <w:pPr>
              <w:spacing w:after="0"/>
              <w:rPr>
                <w:sz w:val="10"/>
                <w:szCs w:val="10"/>
                <w:color w:val="auto"/>
              </w:rPr>
            </w:pPr>
          </w:p>
        </w:tc>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40" w:type="dxa"/>
            <w:vAlign w:val="bottom"/>
            <w:vMerge w:val="restart"/>
          </w:tcPr>
          <w:p>
            <w:pPr>
              <w:spacing w:after="0"/>
              <w:rPr>
                <w:sz w:val="10"/>
                <w:szCs w:val="10"/>
                <w:color w:val="auto"/>
              </w:rPr>
            </w:pPr>
          </w:p>
        </w:tc>
        <w:tc>
          <w:tcPr>
            <w:tcW w:w="16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0"/>
                <w:szCs w:val="10"/>
                <w:color w:val="auto"/>
              </w:rPr>
            </w:pPr>
          </w:p>
        </w:tc>
        <w:tc>
          <w:tcPr>
            <w:tcW w:w="1660" w:type="dxa"/>
            <w:vAlign w:val="bottom"/>
          </w:tcPr>
          <w:p>
            <w:pPr>
              <w:jc w:val="right"/>
              <w:ind w:right="622"/>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Pr>
          <w:p>
            <w:pPr>
              <w:spacing w:after="0"/>
              <w:rPr>
                <w:sz w:val="10"/>
                <w:szCs w:val="10"/>
                <w:color w:val="auto"/>
              </w:rPr>
            </w:pPr>
          </w:p>
        </w:tc>
        <w:tc>
          <w:tcPr>
            <w:tcW w:w="146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14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80" w:type="dxa"/>
            <w:vAlign w:val="bottom"/>
            <w:vMerge w:val="continue"/>
          </w:tcPr>
          <w:p>
            <w:pPr>
              <w:spacing w:after="0"/>
              <w:rPr>
                <w:sz w:val="15"/>
                <w:szCs w:val="15"/>
                <w:color w:val="auto"/>
              </w:rPr>
            </w:pPr>
          </w:p>
        </w:tc>
        <w:tc>
          <w:tcPr>
            <w:tcW w:w="38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30, 2025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1,456,909</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6,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1,479,035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4000" w:type="dxa"/>
            <w:vAlign w:val="bottom"/>
            <w:tcBorders>
              <w:top w:val="single" w:sz="8" w:color="CFF0FC"/>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Common Shares Issued</w:t>
            </w:r>
          </w:p>
        </w:tc>
        <w:tc>
          <w:tcPr>
            <w:tcW w:w="16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6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2,935,944</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0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-933450</wp:posOffset>
            </wp:positionV>
            <wp:extent cx="514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-916305</wp:posOffset>
            </wp:positionV>
            <wp:extent cx="514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-1079500</wp:posOffset>
            </wp:positionV>
            <wp:extent cx="514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3" w:name="page44"/>
    <w:bookmarkEnd w:id="43"/>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8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0"/>
                <w:szCs w:val="10"/>
                <w:color w:val="auto"/>
              </w:rPr>
            </w:pPr>
          </w:p>
        </w:tc>
        <w:tc>
          <w:tcPr>
            <w:tcW w:w="1660" w:type="dxa"/>
            <w:vAlign w:val="bottom"/>
          </w:tcPr>
          <w:p>
            <w:pPr>
              <w:jc w:val="right"/>
              <w:ind w:right="622"/>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Pr>
          <w:p>
            <w:pPr>
              <w:spacing w:after="0"/>
              <w:rPr>
                <w:sz w:val="10"/>
                <w:szCs w:val="10"/>
                <w:color w:val="auto"/>
              </w:rPr>
            </w:pPr>
          </w:p>
        </w:tc>
        <w:tc>
          <w:tcPr>
            <w:tcW w:w="1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173"/>
        </w:trPr>
        <w:tc>
          <w:tcPr>
            <w:tcW w:w="4000" w:type="dxa"/>
            <w:vAlign w:val="bottom"/>
            <w:gridSpan w:val="3"/>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14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21, 2024</w:t>
            </w:r>
          </w:p>
        </w:tc>
        <w:tc>
          <w:tcPr>
            <w:tcW w:w="8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7,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CFF0FC"/>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Common Shares Issued</w:t>
            </w:r>
          </w:p>
        </w:tc>
        <w:tc>
          <w:tcPr>
            <w:tcW w:w="16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6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1,664,806</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-170815</wp:posOffset>
            </wp:positionV>
            <wp:extent cx="514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issued 2,935,944 Common Shares to investors who have not opted out of our dividend reinvestment plan for proceeds of $84.9 million. During the six months ended June 30, 2024, the Company issued 1,664,806 Common Shares to investors who have not opted out of our dividend reinvestment plan for proceeds of $46.8 million.</w:t>
      </w:r>
    </w:p>
    <w:p>
      <w:pPr>
        <w:spacing w:after="0" w:line="17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There were no Common Shares issued and proceeds received related to the Company's capital drawdowns delivered pursuant to the Subscription Agreements for the six months ended June 30, 2025. The following table summarizes the total Common Shares issued and proceeds received related to the Company’s capital drawdowns delivered for the three and six months ended June 30, 2024:</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20" w:type="dxa"/>
            <w:vAlign w:val="bottom"/>
          </w:tcPr>
          <w:p>
            <w:pPr>
              <w:spacing w:after="0"/>
              <w:rPr>
                <w:sz w:val="13"/>
                <w:szCs w:val="13"/>
                <w:color w:val="auto"/>
              </w:rPr>
            </w:pPr>
          </w:p>
        </w:tc>
        <w:tc>
          <w:tcPr>
            <w:tcW w:w="20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6, 2024</w:t>
            </w:r>
          </w:p>
        </w:tc>
        <w:tc>
          <w:tcPr>
            <w:tcW w:w="12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12,174,753</w:t>
            </w:r>
          </w:p>
        </w:tc>
        <w:tc>
          <w:tcPr>
            <w:tcW w:w="52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March 26, 2024</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5,174,155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25, 2024</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10,152,231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27,501,139</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right="180" w:firstLine="255"/>
        <w:spacing w:after="0" w:line="257"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earnings per common share for the three and six months ended June 30, 2025 and 2024:</w:t>
      </w:r>
    </w:p>
    <w:tbl>
      <w:tblPr>
        <w:tblLayout w:type="fixed"/>
        <w:tblInd w:w="120" w:type="dxa"/>
        <w:tblCellMar>
          <w:top w:w="0" w:type="dxa"/>
          <w:left w:w="0" w:type="dxa"/>
          <w:bottom w:w="0" w:type="dxa"/>
          <w:right w:w="0" w:type="dxa"/>
        </w:tblCellMar>
      </w:tblPr>
      <w:tr>
        <w:trPr>
          <w:trHeight w:val="156"/>
        </w:trPr>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4"/>
          </w:tcPr>
          <w:p>
            <w:pPr>
              <w:jc w:val="right"/>
              <w:ind w:right="895"/>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gridSpan w:val="5"/>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Increase (decrease) in net assets resulting from</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157,926</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107,594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286,033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205,319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142,575,112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84,817,784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141,881,062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77,232,840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common share—basic and diluted</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00" w:lineRule="exact"/>
        <w:rPr>
          <w:rFonts w:ascii="Times New Roman" w:cs="Times New Roman" w:eastAsia="Times New Roman" w:hAnsi="Times New Roman"/>
          <w:sz w:val="18"/>
          <w:szCs w:val="18"/>
          <w:b w:val="1"/>
          <w:bCs w:val="1"/>
          <w:color w:val="auto"/>
        </w:rPr>
      </w:pPr>
    </w:p>
    <w:p>
      <w:pPr>
        <w:spacing w:after="0" w:line="245"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dividends declared during the six months ended June 30, 2025 and 2024:</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jc w:val="center"/>
              <w:ind w:right="6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center"/>
              <w:ind w:right="64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vMerge w:val="continue"/>
          </w:tcPr>
          <w:p>
            <w:pPr>
              <w:spacing w:after="0"/>
              <w:rPr>
                <w:sz w:val="12"/>
                <w:szCs w:val="12"/>
                <w:color w:val="auto"/>
              </w:rPr>
            </w:pPr>
          </w:p>
        </w:tc>
        <w:tc>
          <w:tcPr>
            <w:tcW w:w="222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2"/>
                <w:szCs w:val="12"/>
                <w:color w:val="auto"/>
              </w:rPr>
            </w:pPr>
          </w:p>
        </w:tc>
        <w:tc>
          <w:tcPr>
            <w:tcW w:w="2360" w:type="dxa"/>
            <w:vAlign w:val="bottom"/>
            <w:tcBorders>
              <w:bottom w:val="single" w:sz="8" w:color="auto"/>
            </w:tcBorders>
          </w:tcPr>
          <w:p>
            <w:pPr>
              <w:jc w:val="right"/>
              <w:ind w:right="681"/>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5, 2025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2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August 4, 2025</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2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3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jc w:val="center"/>
              <w:ind w:right="6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center"/>
              <w:ind w:right="64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vMerge w:val="continue"/>
          </w:tcPr>
          <w:p>
            <w:pPr>
              <w:spacing w:after="0"/>
              <w:rPr>
                <w:sz w:val="12"/>
                <w:szCs w:val="12"/>
                <w:color w:val="auto"/>
              </w:rPr>
            </w:pPr>
          </w:p>
        </w:tc>
        <w:tc>
          <w:tcPr>
            <w:tcW w:w="222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2"/>
                <w:szCs w:val="12"/>
                <w:color w:val="auto"/>
              </w:rPr>
            </w:pPr>
          </w:p>
        </w:tc>
        <w:tc>
          <w:tcPr>
            <w:tcW w:w="2360" w:type="dxa"/>
            <w:vAlign w:val="bottom"/>
            <w:tcBorders>
              <w:bottom w:val="single" w:sz="8" w:color="auto"/>
            </w:tcBorders>
          </w:tcPr>
          <w:p>
            <w:pPr>
              <w:jc w:val="right"/>
              <w:ind w:right="681"/>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6, 2024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June 28, 2024</w:t>
            </w:r>
          </w:p>
        </w:tc>
        <w:tc>
          <w:tcPr>
            <w:tcW w:w="2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August 5, 2024</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2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6532880</wp:posOffset>
            </wp:positionH>
            <wp:positionV relativeFrom="paragraph">
              <wp:posOffset>-1452245</wp:posOffset>
            </wp:positionV>
            <wp:extent cx="85725" cy="13652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-908050</wp:posOffset>
            </wp:positionV>
            <wp:extent cx="603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-890905</wp:posOffset>
            </wp:positionV>
            <wp:extent cx="6032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-1053465</wp:posOffset>
            </wp:positionV>
            <wp:extent cx="603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six months ended June 30, 2025 and 2024 were derived from net investment income and long-term capital gains, determined on a tax basis.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5" w:right="419" w:bottom="1440" w:gutter="0" w:footer="0" w:header="0"/>
        </w:sectPr>
      </w:pPr>
    </w:p>
    <w:bookmarkStart w:id="44" w:name="page45"/>
    <w:bookmarkEnd w:id="44"/>
    <w:p>
      <w:pPr>
        <w:ind w:firstLine="255"/>
        <w:spacing w:after="0" w:line="261" w:lineRule="auto"/>
        <w:rPr>
          <w:sz w:val="20"/>
          <w:szCs w:val="20"/>
          <w:color w:val="auto"/>
        </w:rPr>
      </w:pPr>
      <w:r>
        <w:rPr>
          <w:rFonts w:ascii="Times New Roman" w:cs="Times New Roman" w:eastAsia="Times New Roman" w:hAnsi="Times New Roman"/>
          <w:sz w:val="18"/>
          <w:szCs w:val="18"/>
          <w:color w:val="auto"/>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Highlights</w:t>
      </w:r>
    </w:p>
    <w:p>
      <w:pPr>
        <w:spacing w:after="0" w:line="121"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Shares outstanding for the six months ended June 30, 2025 and 2024:</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24"/>
                <w:szCs w:val="24"/>
                <w:b w:val="1"/>
                <w:bCs w:val="1"/>
                <w:color w:val="auto"/>
                <w:vertAlign w:val="superscript"/>
              </w:rPr>
              <w:t>(1)</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and unrealized gain (loss)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from operations</w:t>
            </w: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Common Share Issuance </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Dividends declared </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24"/>
                <w:szCs w:val="24"/>
                <w:color w:val="auto"/>
                <w:vertAlign w:val="superscript"/>
              </w:rPr>
              <w:t>(5)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143,143,972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94,644,720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24"/>
                <w:szCs w:val="24"/>
                <w:b w:val="1"/>
                <w:bCs w:val="1"/>
                <w:color w:val="auto"/>
                <w:vertAlign w:val="superscript"/>
              </w:rPr>
              <w:t>(6)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 management fee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waiver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Ratio of net expenses to average net assets with</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 waiver</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fee waiver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fee waiver</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4,212,253</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2,749,507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-2510790</wp:posOffset>
            </wp:positionV>
            <wp:extent cx="1117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-2510790</wp:posOffset>
            </wp:positionV>
            <wp:extent cx="1111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-1945640</wp:posOffset>
            </wp:positionV>
            <wp:extent cx="11176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-1945640</wp:posOffset>
            </wp:positionV>
            <wp:extent cx="11112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9"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20" w:right="300" w:hanging="512"/>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1D1C1D"/>
        </w:rPr>
        <w:t>he ratios, excluding nonrecurring expenses, such as organization costs, are annualized.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six months ended June 30, 2025.</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II, LLC and Sixth Street Lending Partners Sub, LLC in which we may hold certain investments.</w:t>
      </w:r>
    </w:p>
    <w:p>
      <w:pPr>
        <w:spacing w:after="0" w:line="176"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have elected to be treated as a RIC under the Code. As a result, we are required to comply with various statutory and regulatory requirements, such as:</w:t>
      </w:r>
    </w:p>
    <w:p>
      <w:pPr>
        <w:spacing w:after="0" w:line="54" w:lineRule="exact"/>
        <w:rPr>
          <w:sz w:val="20"/>
          <w:szCs w:val="20"/>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340" w:hanging="257"/>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June 30, 2025, we have originated approximately $23.8 billion aggregate principal amount of investments and retained approximately $8.4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June 30, 2025, our core portfolio companies had a weighted average annual revenue of $773.8 million and weighted average annual EBITDA of $248.3 million. As of June 30, 2025, our core portfolio companies had a median annual revenue of $222.4 million and median annual EBITDA of $73.1 million.</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June 30, 2025, the largest investment in a single issuer based on fair value represented 5.1% of our total investment portfolio.</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2025, the average investment size in each of our portfolio companies was approximately $105.7 million based on fair value.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jc w:val="both"/>
        <w:ind w:right="60"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values above $750 million. When reviewing potential investments, we will seek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w:t>
      </w:r>
    </w:p>
    <w:p>
      <w:pPr>
        <w:spacing w:after="0" w:line="18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2025, the largest industry represented 19.9% of our total investment portfolio based on fair value.</w:t>
      </w:r>
    </w:p>
    <w:p>
      <w:pPr>
        <w:spacing w:after="0" w:line="223"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June 30, 2025, approximately 95.1%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portfolio was invested in secured debt, including 94.6%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June 30, 2025, the weighted average term on new debt investment commitments in new portfolio companies was 6.2 years.</w:t>
      </w:r>
    </w:p>
    <w:p>
      <w:pPr>
        <w:spacing w:after="0" w:line="183" w:lineRule="exact"/>
        <w:rPr>
          <w:sz w:val="20"/>
          <w:szCs w:val="20"/>
          <w:color w:val="auto"/>
        </w:rPr>
      </w:pPr>
    </w:p>
    <w:p>
      <w:pPr>
        <w:jc w:val="both"/>
        <w:ind w:right="2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17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As of June 30, 2025, we had call protection on 95.0% of our debt investments based on fair value, with weighted average call prices of 108.1% for the first year, 104.0% for the second year and 101.9% for the third year, in each case from the date of the initial investment. As of June 30, 2025, 96.7% of our debt investments based on fair value bore interest at floating rates, with 100% of these subject to interest rate floors, which we believe helps act as a portfolio-wide hedge against inflation.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Sixth Street</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7"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$115 billion of assets under management as of June 30, 2025.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690 investment and operating professionals. As of June 30, 2025, seventy-two (72) of these personnel are dedicated to direct lending, including fifty-seven (57) investment professionals.</w:t>
      </w:r>
    </w:p>
    <w:p>
      <w:pPr>
        <w:spacing w:after="0" w:line="19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7" w:name="page48"/>
    <w:bookmarkEnd w:id="47"/>
    <w:p>
      <w:pPr>
        <w:ind w:right="340"/>
        <w:spacing w:after="0" w:line="266" w:lineRule="auto"/>
        <w:rPr>
          <w:sz w:val="20"/>
          <w:szCs w:val="20"/>
          <w:color w:val="auto"/>
        </w:rPr>
      </w:pPr>
      <w:r>
        <w:rPr>
          <w:rFonts w:ascii="Times New Roman" w:cs="Times New Roman" w:eastAsia="Times New Roman" w:hAnsi="Times New Roman"/>
          <w:sz w:val="18"/>
          <w:szCs w:val="18"/>
          <w:color w:val="auto"/>
        </w:rPr>
        <w:t>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76"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(the "Incentive Fees").</w:t>
      </w:r>
    </w:p>
    <w:p>
      <w:pPr>
        <w:spacing w:after="0" w:line="176"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Conditions</w:t>
      </w:r>
    </w:p>
    <w:p>
      <w:pPr>
        <w:spacing w:after="0" w:line="175"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To date, 2025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Ukraine and the Middle East.</w:t>
      </w:r>
    </w:p>
    <w:p>
      <w:pPr>
        <w:spacing w:after="0" w:line="176"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Further contributing to economic uncertainty, the current U.S. presidential administration has signaled its intention to implement, and has started to implement, significant changes to U.S. trade policy, the size of the federal government, tax policy and the enforcement of various regulations. These policy shifts could introduce additional market instability and reduce investor confidence. For example, the U.S. government recently announced tariffs on goods imported from various countries to the United States. Countries subject to such tariffs have imposed, or may in the future, impose reciprocal or retaliatory tariffs and other trade measures. We are actively monitoring the tariff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upper middle-market companies domiciled in the United States.</w:t>
      </w:r>
    </w:p>
    <w:p>
      <w:pPr>
        <w:spacing w:after="0" w:line="22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8" w:name="page49"/>
    <w:bookmarkEnd w:id="48"/>
    <w:p>
      <w:pPr>
        <w:ind w:right="80"/>
        <w:spacing w:after="0" w:line="258" w:lineRule="auto"/>
        <w:rPr>
          <w:sz w:val="20"/>
          <w:szCs w:val="20"/>
          <w:color w:val="auto"/>
        </w:rPr>
      </w:pPr>
      <w:r>
        <w:rPr>
          <w:rFonts w:ascii="Times New Roman" w:cs="Times New Roman" w:eastAsia="Times New Roman" w:hAnsi="Times New Roman"/>
          <w:sz w:val="18"/>
          <w:szCs w:val="18"/>
          <w:color w:val="auto"/>
        </w:rPr>
        <w:t>debt investments typically have a term of two to seven years, and, as of June 30, 2025, 96.7%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and six months ended June 30, 2025, 6.9% and 6.5%, respectively, of our total investment income was comprised of PIK interest. For the three and six months ended June 30, 2024, 5.0% and 4.7%, respectively, of our total investment income was comprised of PIK interest.</w:t>
      </w:r>
    </w:p>
    <w:p>
      <w:pPr>
        <w:spacing w:after="0" w:line="18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3"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jc w:val="both"/>
        <w:ind w:left="520" w:right="400" w:hanging="257"/>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240" w:hanging="257"/>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9" w:name="page50"/>
    <w:bookmarkEnd w:id="49"/>
    <w:p>
      <w:pPr>
        <w:ind w:left="520" w:hanging="257"/>
        <w:spacing w:after="0" w:line="258"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w:t>
      </w:r>
    </w:p>
    <w:p>
      <w:pPr>
        <w:spacing w:after="0" w:line="75"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Trustees fees and expenses;</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0" w:name="page51"/>
    <w:bookmarkEnd w:id="50"/>
    <w:p>
      <w:pPr>
        <w:ind w:firstLine="255"/>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As of June 30, 2025, our portfolio based on fair value consisted of 94.6% first-lien debt investments, 0.5% second-lien debt investments, 2.8% mezzanine investments and 2.1% equity and other investments. As of December 31, 2024, our portfolio based on fair value consisted of 94.9% first-lien debt investments, 1.3% second-lien debt investments, 1.7% mezzanine investments and 2.1% equity and other investments.</w:t>
      </w:r>
    </w:p>
    <w:p>
      <w:pPr>
        <w:spacing w:after="0" w:line="68"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our weighted average total yield of debt and income-producing securities at fair value (which includes interest income and amortization of fees and discounts) was 10.4% and 11.0% respectively, and our weighted average total yield of debt and income-producing securities at amortized cost (which includes interest income and amortization of fees and discounts) was 10.8% and 11.3%, respectively.</w:t>
      </w:r>
    </w:p>
    <w:p>
      <w:pPr>
        <w:spacing w:after="0" w:line="68"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we had investments in 71 and 67 portfolio companies, respectively, with an aggregate fair value of $7,506.5 million and $7,244.3 million.</w:t>
      </w:r>
    </w:p>
    <w:p>
      <w:pPr>
        <w:spacing w:after="0" w:line="54"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the principal amount of new investments funded was $381.4 million in seventeen new portfolio companies and five existing portfolio companies. For this period, we had $464.6 million aggregate principal amount in exits, sales and repayments.</w:t>
      </w:r>
    </w:p>
    <w:p>
      <w:pPr>
        <w:spacing w:after="0" w:line="54"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the principal amount of new investments funded was $810.9 million in nine new portfolio companies. For this period, we had $247.5 million aggregate principal amount in exits, sales and repayments.</w:t>
      </w:r>
    </w:p>
    <w:p>
      <w:pPr>
        <w:spacing w:after="0" w:line="54"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Our investment activity for the three months ended June 30, 2025 and June 30, 2024, is presented below (information presented herein is at par value unless otherwise indicated).</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6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 in millions)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566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First-lien</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Second-lien</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Mezzanine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 and other</w:t>
            </w: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First-lien</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Second-lien</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Mezzanine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 and other</w:t>
            </w: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w:t>
            </w: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new floating rate investment commitments</w:t>
            </w: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73"/>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5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Includes affiliates of Sixth Street.</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-4439920</wp:posOffset>
            </wp:positionV>
            <wp:extent cx="1111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-4439920</wp:posOffset>
            </wp:positionV>
            <wp:extent cx="1117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-3608070</wp:posOffset>
            </wp:positionV>
            <wp:extent cx="1111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-3608070</wp:posOffset>
            </wp:positionV>
            <wp:extent cx="1117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-2776855</wp:posOffset>
            </wp:positionV>
            <wp:extent cx="1111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-2776855</wp:posOffset>
            </wp:positionV>
            <wp:extent cx="1117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2025 and December 31, 2024, our investments consisted of the following:</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30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2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7,103.9</w:t>
            </w:r>
          </w:p>
        </w:tc>
        <w:tc>
          <w:tcPr>
            <w:tcW w:w="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7,506.5</w:t>
            </w:r>
          </w:p>
        </w:tc>
        <w:tc>
          <w:tcPr>
            <w:tcW w:w="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514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514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514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514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514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596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596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no non-accrual investments as of June 30, 2025 and December 31, 2024.</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20" w:top="1006" w:right="1399" w:bottom="1440" w:gutter="0" w:footer="0" w:header="0"/>
        </w:sectPr>
      </w:pPr>
    </w:p>
    <w:bookmarkStart w:id="52" w:name="page53"/>
    <w:bookmarkEnd w:id="52"/>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June 30, 2025 and December 31, 2024 were as follows:</w:t>
      </w:r>
    </w:p>
    <w:p>
      <w:pPr>
        <w:spacing w:after="0" w:line="155"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171"/>
        </w:trPr>
        <w:tc>
          <w:tcPr>
            <w:tcW w:w="6140" w:type="dxa"/>
            <w:vAlign w:val="bottom"/>
            <w:gridSpan w:val="2"/>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254"/>
        </w:trPr>
        <w:tc>
          <w:tcPr>
            <w:tcW w:w="6140" w:type="dxa"/>
            <w:vAlign w:val="bottom"/>
            <w:gridSpan w:val="2"/>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24"/>
                <w:szCs w:val="24"/>
                <w:color w:val="auto"/>
                <w:vertAlign w:val="superscript"/>
              </w:rPr>
              <w:t>(1)</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198"/>
        </w:trPr>
        <w:tc>
          <w:tcPr>
            <w:tcW w:w="6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198"/>
        </w:trPr>
        <w:tc>
          <w:tcPr>
            <w:tcW w:w="61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spread over reference rate of all</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61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floating rate investments</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bl>
    <w:p>
      <w:pPr>
        <w:spacing w:after="0" w:line="265"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10.2% at June 30, 2025 and 10.8% at December 31, 2024.</w:t>
      </w:r>
    </w:p>
    <w:p>
      <w:pPr>
        <w:spacing w:after="0" w:line="225"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580" w:hanging="257"/>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20" w:right="60" w:hanging="257"/>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140" w:hanging="257"/>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40" w:hanging="257"/>
        <w:spacing w:after="0" w:line="25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240" w:hanging="257"/>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3" w:name="page54"/>
    <w:bookmarkEnd w:id="53"/>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June 30, 2025 and December 31, 2024. Investment performance ratings are accurate only as of those dates and may change due to subsequent developments relating to a portfolio company’s business or financial condition, market conditions or developments, and other factors.</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0" w:type="dxa"/>
            <w:vAlign w:val="bottom"/>
            <w:gridSpan w:val="3"/>
          </w:tcPr>
          <w:p>
            <w:pPr>
              <w:jc w:val="center"/>
              <w:ind w:right="900"/>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40" w:type="dxa"/>
            <w:vAlign w:val="bottom"/>
          </w:tcPr>
          <w:p>
            <w:pPr>
              <w:spacing w:after="0"/>
              <w:rPr>
                <w:sz w:val="11"/>
                <w:szCs w:val="11"/>
                <w:color w:val="auto"/>
              </w:rPr>
            </w:pPr>
          </w:p>
        </w:tc>
        <w:tc>
          <w:tcPr>
            <w:tcW w:w="19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right"/>
              <w:ind w:right="455"/>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1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7,452.4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c>
          <w:tcPr>
            <w:tcW w:w="68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7,037.9</w:t>
            </w:r>
          </w:p>
        </w:tc>
        <w:tc>
          <w:tcPr>
            <w:tcW w:w="2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7,244.3</w:t>
            </w: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-170815</wp:posOffset>
            </wp:positionV>
            <wp:extent cx="603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-170815</wp:posOffset>
            </wp:positionV>
            <wp:extent cx="11112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1117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for the three and six months ended June 30, 2025 and June 30,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gridSpan w:val="7"/>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5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Borders>
              <w:top w:val="single" w:sz="8" w:color="auto"/>
              <w:bottom w:val="single" w:sz="8" w:color="auto"/>
            </w:tcBorders>
            <w:gridSpan w:val="3"/>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5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241.1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157.5</w:t>
            </w:r>
          </w:p>
        </w:tc>
        <w:tc>
          <w:tcPr>
            <w:tcW w:w="820" w:type="dxa"/>
            <w:vAlign w:val="bottom"/>
            <w:gridSpan w:val="3"/>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50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8"/>
                <w:szCs w:val="18"/>
                <w:color w:val="auto"/>
              </w:rPr>
              <w:t>Net investment income before income taxes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w w:val="93"/>
              </w:rPr>
              <w:t>147.0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8"/>
                <w:szCs w:val="18"/>
                <w:color w:val="auto"/>
              </w:rPr>
              <w:t>299.6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0"/>
              <w:spacing w:after="0" w:line="157" w:lineRule="exact"/>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5500" w:type="dxa"/>
            <w:vAlign w:val="bottom"/>
            <w:gridSpan w:val="3"/>
          </w:tcPr>
          <w:p>
            <w:pPr>
              <w:ind w:left="100"/>
              <w:spacing w:after="0" w:line="267" w:lineRule="exact"/>
              <w:rPr>
                <w:sz w:val="20"/>
                <w:szCs w:val="20"/>
                <w:color w:val="auto"/>
              </w:rPr>
            </w:pPr>
            <w:r>
              <w:rPr>
                <w:rFonts w:ascii="Times New Roman" w:cs="Times New Roman" w:eastAsia="Times New Roman" w:hAnsi="Times New Roman"/>
                <w:sz w:val="18"/>
                <w:szCs w:val="18"/>
                <w:color w:val="auto"/>
              </w:rPr>
              <w:t xml:space="preserve">Less: Income taxes, including excise taxes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50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w w:val="93"/>
              </w:rPr>
              <w:t>147.0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8"/>
                <w:szCs w:val="18"/>
                <w:color w:val="auto"/>
              </w:rPr>
              <w:t>299.6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0"/>
              <w:spacing w:after="0" w:line="157" w:lineRule="exact"/>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50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5500" w:type="dxa"/>
            <w:vAlign w:val="bottom"/>
            <w:gridSpan w:val="3"/>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55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157.9</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107.6</w:t>
            </w:r>
          </w:p>
        </w:tc>
        <w:tc>
          <w:tcPr>
            <w:tcW w:w="820" w:type="dxa"/>
            <w:vAlign w:val="bottom"/>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5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Table may not sum due to rounding.</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gridSpan w:val="2"/>
            <w:vMerge w:val="continue"/>
          </w:tcPr>
          <w:p>
            <w:pPr>
              <w:spacing w:after="0"/>
              <w:rPr>
                <w:sz w:val="24"/>
                <w:szCs w:val="24"/>
                <w:color w:val="auto"/>
              </w:rPr>
            </w:pPr>
          </w:p>
        </w:tc>
        <w:tc>
          <w:tcPr>
            <w:tcW w:w="5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Amounts round to less than $0.1 million.</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2"/>
                <w:szCs w:val="12"/>
                <w:color w:val="auto"/>
              </w:rPr>
            </w:pPr>
          </w:p>
        </w:tc>
        <w:tc>
          <w:tcPr>
            <w:tcW w:w="1140" w:type="dxa"/>
            <w:vAlign w:val="bottom"/>
            <w:tcBorders>
              <w:bottom w:val="single" w:sz="8" w:color="auto"/>
            </w:tcBorders>
            <w:gridSpan w:val="5"/>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2"/>
                <w:szCs w:val="12"/>
                <w:color w:val="auto"/>
              </w:rPr>
            </w:pPr>
          </w:p>
        </w:tc>
        <w:tc>
          <w:tcPr>
            <w:tcW w:w="1060" w:type="dxa"/>
            <w:vAlign w:val="bottom"/>
            <w:tcBorders>
              <w:bottom w:val="single" w:sz="8" w:color="auto"/>
            </w:tcBorders>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bottom w:val="single" w:sz="8" w:color="auto"/>
            </w:tcBorders>
            <w:gridSpan w:val="5"/>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5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6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Interest from investments</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rPr>
              <w:t>213.3</w:t>
            </w:r>
          </w:p>
        </w:tc>
        <w:tc>
          <w:tcPr>
            <w:tcW w:w="420" w:type="dxa"/>
            <w:vAlign w:val="bottom"/>
            <w:gridSpan w:val="2"/>
          </w:tcPr>
          <w:p>
            <w:pPr>
              <w:jc w:val="right"/>
              <w:ind w:right="48"/>
              <w:spacing w:after="0" w:line="157"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140.3</w:t>
            </w:r>
          </w:p>
        </w:tc>
        <w:tc>
          <w:tcPr>
            <w:tcW w:w="440" w:type="dxa"/>
            <w:vAlign w:val="bottom"/>
            <w:gridSpan w:val="2"/>
          </w:tcPr>
          <w:p>
            <w:pPr>
              <w:jc w:val="right"/>
              <w:ind w:right="88"/>
              <w:spacing w:after="0" w:line="15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8"/>
                <w:szCs w:val="18"/>
                <w:color w:val="auto"/>
              </w:rPr>
              <w:t>432.5</w:t>
            </w:r>
          </w:p>
        </w:tc>
        <w:tc>
          <w:tcPr>
            <w:tcW w:w="460" w:type="dxa"/>
            <w:vAlign w:val="bottom"/>
            <w:gridSpan w:val="3"/>
          </w:tcPr>
          <w:p>
            <w:pPr>
              <w:jc w:val="right"/>
              <w:ind w:right="68"/>
              <w:spacing w:after="0" w:line="15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Arranger fees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4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46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-3025140</wp:posOffset>
            </wp:positionV>
            <wp:extent cx="7054850" cy="13716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-2742565</wp:posOffset>
            </wp:positionV>
            <wp:extent cx="7054850" cy="13716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-2468245</wp:posOffset>
            </wp:positionV>
            <wp:extent cx="7054850" cy="1460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-856615</wp:posOffset>
            </wp:positionV>
            <wp:extent cx="6489065" cy="13716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489065" cy="13716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596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596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round to less than $0.1 million.</w:t>
      </w:r>
    </w:p>
    <w:p>
      <w:pPr>
        <w:spacing w:after="0" w:line="20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$140.3 million for the three months ended June 30, 2024 to $213.3 million for the three months ended June 30, 2025. The increase in interest from investments was primarily the result of growth in our investment portfolio. Arranger fees decreased from $5.9 million for the three months ended June 30, 2024 to less than $0.1 million for the three months ended June 30, 2025. Paid-in-kind interest income increased from $7.9 million for the three months ended June 30, 2024 to $16.5 million for the three months ended June 30, 2025, primarily due to increased PIK investments. For the three months ended June 30, 2024, there was no dividend income. For the three months ended June 30, 2025, we had dividend income of $2.6 million. Other income increased from $3.4 million for the three months ended June 30, 2024 to $8.5 million for the three months ended June 30, 2025, primarily due to interest from cash and cash equivalents.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4" w:name="page55"/>
    <w:bookmarkEnd w:id="54"/>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$254.2 million for the six months ended June 30, 2024 to $432.5 million for the six months ended June 30, 2025. The increase in interest from investments was primarily the result of growth in our investment portfolio. Arranger fees decreased from $15.9 for the six months ended June 30, 2024 to less than $0.1 million for the six months ended June 30, 2025. Paid-in-kind interest income increased from $13.7 million for the six months ended June 30, 2024 to $31.3 million for the six months ended June 30, 2025, primarily due to increased PIK investments. For the six months ended June 30, 2024, we had no dividend income. For the six months ended June 30, 2025, we had dividend income of $4.6 million. Other income increased from $5.3 million for the six months ended June 30, 2024 to $13.2 million for the six months ended June 30, 2025, primarily due to interest from cash and cash equivalents.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three and six months ended June 30, 2025 and 2024,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43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43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on net investment income</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on net capital gains (losses)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Organizational and offering expense</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Trustees fees</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Table may not sum due to rounding.</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-573405</wp:posOffset>
            </wp:positionV>
            <wp:extent cx="514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-556895</wp:posOffset>
            </wp:positionV>
            <wp:extent cx="514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-573405</wp:posOffset>
            </wp:positionV>
            <wp:extent cx="514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-556895</wp:posOffset>
            </wp:positionV>
            <wp:extent cx="5143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-573405</wp:posOffset>
            </wp:positionV>
            <wp:extent cx="514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-556895</wp:posOffset>
            </wp:positionV>
            <wp:extent cx="514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-573405</wp:posOffset>
            </wp:positionV>
            <wp:extent cx="514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-556895</wp:posOffset>
            </wp:positionV>
            <wp:extent cx="514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Interest expense, including other debt financing costs, increased from $47.0 million for the three months ended June 30, 2024 to $59.1 million for the three months ended June 30, 2025. This increase was primarily due to an increase in average debt outstanding from $2.4 billion for the three months ended June 30, 2024 to $3.6 billion for the three months ended June 30, 2025.</w:t>
      </w:r>
    </w:p>
    <w:p>
      <w:pPr>
        <w:spacing w:after="0" w:line="176"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Interest expense, including other debt financing expenses, increased from $82.1 million for the six months ended June 30, 2024 to $115.2 million for the six months ended June 30, 2025. This increase was primarily due to an increase in the average debt outstanding from $2.1 billion for the six months ended June 30, 2024 to $3.5 billion for the six months ended June 30, 2025.</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2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Management Fees (gross of waivers) increased from $14.9 million for the three months ended June 30, 2024 to $26.2 million for the three months ended June 30, 2025 due to an increase in average assets for the three months ended June 30, 2025 compared to the same period in 2024. Management Fees (net of waivers) increased from $5.7 million for the three months ended June 30, 2024 to $9.9 million for the three months ended June 30, 2025. For the three months ended June 30, 2025 and 2024, the Adviser waived Management Fees of $16.3 million and $9.3 million, respectively.</w:t>
      </w:r>
    </w:p>
    <w:p>
      <w:pPr>
        <w:spacing w:after="0" w:line="180"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Management Fees (gross of waivers) increased from $26.2 million for the six months ended June 30, 2024 to $51.9 million for the six months ended June 30, 2025 due to an increase in average assets for the six months ended June 30, 2025 compared to the same period in 2024. Management Fees (net of waivers) increased from $10.1 million for the six months ended June 30, 2024 to $19.6 million for the six months ended June 30, 2025. For the six months ended June 30, 2025 and 2024, the Adviser waived Management Fees of $32.2 million and $16.1 million, respectively.</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227" w:lineRule="exact"/>
        <w:rPr>
          <w:sz w:val="20"/>
          <w:szCs w:val="20"/>
          <w:color w:val="auto"/>
        </w:rPr>
      </w:pPr>
    </w:p>
    <w:p>
      <w:pPr>
        <w:jc w:val="both"/>
        <w:ind w:right="160" w:firstLine="255"/>
        <w:spacing w:after="0" w:line="266" w:lineRule="auto"/>
        <w:rPr>
          <w:sz w:val="20"/>
          <w:szCs w:val="20"/>
          <w:color w:val="auto"/>
        </w:rPr>
      </w:pPr>
      <w:r>
        <w:rPr>
          <w:rFonts w:ascii="Times New Roman" w:cs="Times New Roman" w:eastAsia="Times New Roman" w:hAnsi="Times New Roman"/>
          <w:sz w:val="18"/>
          <w:szCs w:val="18"/>
          <w:color w:val="auto"/>
        </w:rPr>
        <w:t>Incentive Fees related to pre-incentive net investment income increased from $12.7 million for the three months ended June 30, 2024 to $21.0 million for the three months ended June 30, 2025. This increase resulted from an increase in the portfolio size for the three months ended June 30, 2025. For the three months ended June 30, 2025 and 2024, $0.2 million and $2.7 million were accrued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related to Capital Gains Fees, respectively. As of June 30, 2025, these accrued Incentive Fees are not contractually payable to the Adviser.</w:t>
      </w:r>
    </w:p>
    <w:p>
      <w:pPr>
        <w:spacing w:after="0" w:line="22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Incentive Fees related to pre-Incentive Fee net investment income increased from $23.5 million for the six months ended June 30, 2024 to $42.4 million for the six months ended June 30, 2025. This increase resulted from an increase in the portfolio size for the six months ended June 30, 2025. For the six months ended June 30, 2025 and 2024, $(2.8) million and $5.8 million were accrued related to Capital Gains Fees, respectively. As of June 30, 2025, these accrued Incentive Fees are not contractually payable to the Adviser.</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Organizational and Offering Expense</w:t>
      </w:r>
    </w:p>
    <w:p>
      <w:pPr>
        <w:spacing w:after="0" w:line="227"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organizational and offering expenses were $0.4 million. For the three months ended June 30, 2025, there were no organizational and offering expenses.</w:t>
      </w:r>
    </w:p>
    <w:p>
      <w:pPr>
        <w:spacing w:after="0" w:line="162"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organizational and offering expenses were $0.9 million. For the six months ended June 30, 2025, there were no organizational and offering expenses. We will not bear more than an amount equal to 0.10% of the aggregate capital commitments for organizational and offering expenses in connection with the offering of our Common Shares.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Professional Fees and Other General and Administrative Expenses</w:t>
      </w:r>
    </w:p>
    <w:p>
      <w:pPr>
        <w:spacing w:after="0" w:line="225"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Professional fees increased from $1.2 million for the three months ended June 30, 2024 to $2.2 million for the three months ended June 30, 2025. Trustees Fees increased from $0.1 million for the three months ended June 30, 2024 to $0.2 million for the three months ended June 30, 2025. Other general and administrative expenses increased from $1.3 million for the three months ended June 30, 2024 to $1.4 million for the three months ended June 30, 2025.</w:t>
      </w:r>
    </w:p>
    <w:p>
      <w:pPr>
        <w:spacing w:after="0" w:line="180" w:lineRule="exact"/>
        <w:rPr>
          <w:sz w:val="20"/>
          <w:szCs w:val="20"/>
          <w:color w:val="auto"/>
        </w:rPr>
      </w:pPr>
    </w:p>
    <w:p>
      <w:pPr>
        <w:jc w:val="both"/>
        <w:ind w:right="140" w:firstLine="255"/>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$2.5 million for the six months ended June 30, 2024 to $4.2 million for the six months ended June 30, 2025. Trustees Fees remained constant at $0.3 million for the six months ended June 30, 2024 and 2025. Other general and administrative expenses increased from $2.7 million for the six months ended June 30, 2024 to $3.1 million for the six months ended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22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We elected to be treated as a RIC under Subchapter M of the Code, and we operate in a manner so as to continue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p>
    <w:p>
      <w:pPr>
        <w:spacing w:after="0" w:line="183"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For both the three and six months ended June 30, 2025, we recorded a net expense of less than $0.1 million for U.S. federal excise tax and other taxes. For the three and six months ended June 30, 2024, we recorded a net expense of less than $0.1 million and $2.2 million, respectively, for U.S. federal excise tax and other taxes.</w:t>
      </w:r>
    </w:p>
    <w:p>
      <w:pPr>
        <w:spacing w:after="0" w:line="176"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we recorded a deferred tax liability of $0.8 million pertaining to net unrealized gains from one of our investments. For the three and six months ended June 30, 2024, there was no recorded deferred tax liability.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three and six months ended June 30, 2025 and June 30, 2024:</w:t>
      </w:r>
    </w:p>
    <w:p>
      <w:pPr>
        <w:spacing w:after="0" w:line="327"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5"/>
                <w:szCs w:val="15"/>
                <w:color w:val="auto"/>
              </w:rPr>
            </w:pPr>
          </w:p>
        </w:tc>
        <w:tc>
          <w:tcPr>
            <w:tcW w:w="24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investments </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transactions </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borrowings</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vMerge w:val="continue"/>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w:t>
            </w: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foreign currency borrowings</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Unrealized gains (losses) on foreign currency transactions </w:t>
            </w:r>
            <w:r>
              <w:rPr>
                <w:rFonts w:ascii="Times New Roman" w:cs="Times New Roman" w:eastAsia="Times New Roman" w:hAnsi="Times New Roman"/>
                <w:sz w:val="24"/>
                <w:szCs w:val="24"/>
                <w:color w:val="auto"/>
                <w:vertAlign w:val="superscript"/>
              </w:rPr>
              <w:t>(2)(3)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on unrealized gains (losses)</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0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Currency Transactions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-1859280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-1842135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-1859280</wp:posOffset>
            </wp:positionV>
            <wp:extent cx="603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-1842135</wp:posOffset>
            </wp:positionV>
            <wp:extent cx="603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-1859280</wp:posOffset>
            </wp:positionV>
            <wp:extent cx="603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-1842135</wp:posOffset>
            </wp:positionV>
            <wp:extent cx="6032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-1859280</wp:posOffset>
            </wp:positionV>
            <wp:extent cx="596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-1842135</wp:posOffset>
            </wp:positionV>
            <wp:extent cx="596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-590550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-590550</wp:posOffset>
            </wp:positionV>
            <wp:extent cx="603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-590550</wp:posOffset>
            </wp:positionV>
            <wp:extent cx="603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-590550</wp:posOffset>
            </wp:positionV>
            <wp:extent cx="596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032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round to less than $0.1 million.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hedging activity.</w:t>
      </w:r>
    </w:p>
    <w:p>
      <w:pPr>
        <w:spacing w:after="0" w:line="11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2025, we had net realized gains on investments of $8.5 million and $9.0 million, respectively. For the three and six months ended June 30, 2024, we had a net realized gains on investments of $1.3 million and $3.6 million, respectively. For both the three and six months ended June 30, 2025, we had net realized gains on foreign currency investments of less than $0.1 million. For the three and six months ended June 30, 2024, we had a net realized gains on foreign currency investments of $0.3 million and $0.8 million, respectively. For both the three and six months ended June 30, 2025, we had net realized losses of $10.8 million on foreign currency transactions, primarily as a result of translating foreign currency related to our non-USD denominated investments. For both the three and six months ended June 30, 2024, we had net realized gains of $0.2 million on foreign currency transactions. For the three and six months ended June 30, 2025, we had net realized losses of $0.6 million and $0.7 million, respectively, on foreign currency borrowings. For the three and six months ended June 30, 2024, we had a net realized gains of $2.8 million and $2.3 million, respectively, on foreign currency borrowings.</w:t>
      </w:r>
    </w:p>
    <w:p>
      <w:pPr>
        <w:spacing w:after="0" w:line="188"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2025, we had $161.7 million in unrealized gains on 61 portfolio company investments, which was offset by $42.3 million in unrealized losses on 15 portfolio company investments. Unrealized gains primarily resulted from fluctuations in GBP, EUR, CAD, and SEK exchange rates, positive portfolio company specific developments, and tightening credit spreads. Unrealized losses primarily resulted from the reversal of prior period unrealized gains due to the realization of investments and negative portfolio company specific developments. For the six months ended June 30, 2025, we had $211.6 million in unrealized gains on 53 portfolio company investments, which was offset by $72.7 million in unrealized losses on 26 portfolio company investments. Unrealized gains primarily resulted from fluctuations in GBP, EUR, CAD, and SEK exchange rates and tightening credit spreads. Unrealized losses primarily resulted from the reversal of prior period unrealized gains due to the realization of investments and negative portfolio company specific developments.</w:t>
      </w:r>
    </w:p>
    <w:p>
      <w:pPr>
        <w:spacing w:after="0" w:line="19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we had $29.2 million in unrealized gains on 38 portfolio company investments, which was offset by $13.3 million in unrealized losses on 16 portfolio company investments. Unrealized gains primarily resulted from tightening credit spreads and positive portfolio company specific developments. Unrealized losses primarily resulted from negative portfolio company specific developments. For the six months ended June 30, 2024, we had $47.0 million in unrealized gains on 38 portfolio company investments, which was offset by $12.5 million in unrealized losses on 17 portfolio company investments. Unrealized gains primarily resulted from tightening credit spreads and positive portfolio company specific developments. Unrealized losses primarily resulted from negative portfolio company specific developments.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7" w:name="page58"/>
    <w:bookmarkEnd w:id="57"/>
    <w:p>
      <w:pPr>
        <w:ind w:firstLine="255"/>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2025, we had $101.7 million and $143.4 million, respectively, in unrealized losses on foreign currency borrowings, primarily as a result of fluctuations in the GBP, EUR, and SEK exchange rates. For the three and six months ended June 30, 2024, we had $0.8 million and $4.9 million, respectively, in unrealized gains on foreign currency borrowings, primarily as a result of fluctuations in EUR, GBP and SEK exchange rates. For the three and six months ended June 30, 2025, we had $3.1 million and $5.7 million, respectively, in unrealized losses on foreign currency transactions. For the three and six months ended June 30, 2024, we had less than $0.1 million and less than $0.1 million, respectively, in unrealized gains on foreign currency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22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Since we began investing in 2022 through June 30, 2025, weighted by capital invested, our exited investments have generated an average realized gross internal rate of return to us of 19.9% (based on total capital invested of $1.2 billion and total proceeds from these exited investments of $1.5 billion). One hundred percent of these exited investments resulted in a realized gross internal rate of return to us of 10% or greater.</w:t>
      </w:r>
    </w:p>
    <w:p>
      <w:pPr>
        <w:spacing w:after="0" w:line="176"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shareholders. Initial investments are assumed to occur at time zero, and all cash flows are deemed to occur on the fifteenth of each month in which they occur.</w:t>
      </w:r>
    </w:p>
    <w:p>
      <w:pPr>
        <w:spacing w:after="0" w:line="176" w:lineRule="exact"/>
        <w:rPr>
          <w:sz w:val="20"/>
          <w:szCs w:val="20"/>
          <w:color w:val="auto"/>
        </w:rPr>
      </w:pPr>
    </w:p>
    <w:p>
      <w:pPr>
        <w:jc w:val="both"/>
        <w:ind w:right="120" w:firstLine="255"/>
        <w:spacing w:after="0" w:line="282" w:lineRule="auto"/>
        <w:rPr>
          <w:sz w:val="20"/>
          <w:szCs w:val="20"/>
          <w:color w:val="auto"/>
        </w:rPr>
      </w:pPr>
      <w:r>
        <w:rPr>
          <w:rFonts w:ascii="Times New Roman" w:cs="Times New Roman" w:eastAsia="Times New Roman" w:hAnsi="Times New Roman"/>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shareholders, and would be lower if it did.</w:t>
      </w:r>
    </w:p>
    <w:p>
      <w:pPr>
        <w:spacing w:after="0" w:line="162"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62"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76"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76"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Foreign Currency Hedging</w:t>
      </w:r>
    </w:p>
    <w:p>
      <w:pPr>
        <w:spacing w:after="0" w:line="121"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par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local currency under our Credit Facilities to fund these investments. For the three and six months ended June 30, 2025, we had $101.7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$143.4 million, respectively, in unrealized losses on the translation of our non-U.S. dollar denominated debt into U.S. dollars; such amounts approximate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corresponding unrealized losses on the translation of our non-U.S. dollar denominated investments into U.S. dollars for the three and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For the three and six months ended June 30, 2024, we had $0.8 million and $4.9 million, respectively, of unrealized gains on the translation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non-U.S. dollar denominated debt into U.S. dollars; such amounts approximate the corresponding unrealized gains on the translation of our non-U.S.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denominated investments into U.S. dollars for the three and six months ended June 30, 2024. See Note 2 for additional disclosure regarding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for foreign currency. See our Consolidated Schedule of Investments for additional disclosure regarding the foreign currency amounts (in both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and fair value) of our non-U.S. dollar denominated investments.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7"/>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cs="Times New Roman" w:eastAsia="Times New Roman" w:hAnsi="Times New Roman"/>
          <w:sz w:val="18"/>
          <w:szCs w:val="18"/>
          <w:i w:val="1"/>
          <w:iCs w:val="1"/>
          <w:color w:val="auto"/>
        </w:rPr>
        <w:t>Key Components of Our Results of Operations —Leverage</w:t>
      </w:r>
      <w:r>
        <w:rPr>
          <w:rFonts w:ascii="Times New Roman" w:cs="Times New Roman" w:eastAsia="Times New Roman" w:hAnsi="Times New Roman"/>
          <w:sz w:val="18"/>
          <w:szCs w:val="18"/>
          <w:color w:val="auto"/>
        </w:rPr>
        <w:t>” above. As of June 30, 2025 and December 31, 2024, our asset coverage ratio was 200.2% and 193.0%,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8"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as of June 30, 2025 taken together with cash available under our Credit Facilities, and cash available from undrawn Capital Commitments, is expected to be sufficient for our investing activities and to conduct our operations in the near term. As of June 30, 2025, we had approximately $1.5 billion and $158.4 million of availability on our Subscription Facility and Revolving Credit Facility, respectively, subject to asset coverage limitations.</w:t>
      </w:r>
    </w:p>
    <w:p>
      <w:pPr>
        <w:spacing w:after="0" w:line="180"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As of June 30, 2025, we had $1,048.4 million in cash and cash equivalents, including $109.5 million of restricted cash. For the six months ended June 30, 2025, cash provided by operating activities was $256.4 million, primarily attributable to repayments and proceeds from investments of $1,255.5 million, an increase in net assets resulting from operations of $286.0 million and other net operating activities of $22.4 million, which was partially offset by funding portfolio investments of $1,307.5 million. Cash used in financing activities was $406.0 million during the period due to paydowns on debt of $2,201.9 million and other financing activities of $121.8 million, which were partially offset by borrowings of $1,917.7 million.</w:t>
      </w:r>
    </w:p>
    <w:p>
      <w:pPr>
        <w:spacing w:after="0" w:line="183"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As of June 30, 2024, we had $425.6 million in cash and cash equivalents, including $32.7 million of restricted cash. For the six months ended June 30, 2024, cash used in operating activities was $1,697.9 million, primarily attributable to funding portfolio investments of $2,295.6 million and other net operating activities of $57.8 million which was offset by repayments and proceeds from investments of $450.2 million and an increase in net assets resulting from operations of $205.3 million. Cash provided by financing activities was $2,114.7 million during the period due to borrowings of $3,256.0 million and proceeds from the capital calls of $799.7 million, which were partially offset by paydowns on debt of $1,872.3 million and other financing activities of $68.7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We have entered into subscription agreements (the “Subscription Agreements”) with investors providing for the private placement of our Common Shares. Under the terms of the Subscription Agreements, investors are required to fund drawdowns to purchase our Common Shares up to the amount of their respective Capital Commitment on an as-needed basis each time we deliver a drawdown notice to our investors. As of June 30, 2025, we had received Capital Commitments totaling $7.4 billion ($3.7 billion remaining undrawn). As of December 31, 2024, we had received Capital Commitments totaling $7.4 billion ($3.7 billion remaining undrawn).</w:t>
      </w:r>
    </w:p>
    <w:p>
      <w:pPr>
        <w:spacing w:after="0" w:line="75"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There were no Common Shares issued and proceeds received related to the Company's capital drawdowns delivered pursuant to the Subscription Agreements for the six months ended June 30, 2025. The following table summarizes the total Common Shares issued and proceeds received related to the Company’s capital drawdowns delivered for the six months ended June 30,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40" w:type="dxa"/>
            <w:vAlign w:val="bottom"/>
          </w:tcPr>
          <w:p>
            <w:pPr>
              <w:spacing w:after="0"/>
              <w:rPr>
                <w:sz w:val="13"/>
                <w:szCs w:val="13"/>
                <w:color w:val="auto"/>
              </w:rPr>
            </w:pPr>
          </w:p>
        </w:tc>
        <w:tc>
          <w:tcPr>
            <w:tcW w:w="21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4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6, 2024</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12,174,753</w:t>
            </w:r>
          </w:p>
        </w:tc>
        <w:tc>
          <w:tcPr>
            <w:tcW w:w="4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80" w:type="dxa"/>
            <w:vAlign w:val="bottom"/>
            <w:shd w:val="clear" w:color="auto" w:fill="CFF0FC"/>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March 26, 2024</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5,174,155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25, 2024</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10,152,231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FF0FC"/>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27,501,139</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60" w:type="dxa"/>
            <w:vAlign w:val="bottom"/>
            <w:gridSpan w:val="2"/>
          </w:tcPr>
          <w:p>
            <w:pPr>
              <w:jc w:val="right"/>
              <w:ind w:right="1862"/>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9" w:name="page60"/>
    <w:bookmarkEnd w:id="59"/>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issued 2,935,944 Common Shares to investors who have not opted out of our dividend reinvestment plan for proceeds of $84.9 million. During the six months ended June 30, 2024, we issued 1,664,806 Common Shares to investors who have not opted out of our dividend reinvestment plan for proceeds of $46.8 million.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227" w:lineRule="exact"/>
        <w:rPr>
          <w:sz w:val="20"/>
          <w:szCs w:val="20"/>
          <w:color w:val="auto"/>
        </w:rPr>
      </w:pPr>
    </w:p>
    <w:p>
      <w:pPr>
        <w:jc w:val="both"/>
        <w:ind w:right="38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we entered into a revolving credit agreement (the “Subscription Facility”) with Wells Fargo Bank, National Association, as administrative agent (the “Administrative Agent”), letter of credit issuer, lead arranger, as a lender and aggregate commitments under the Subscription Facility were $400 million.</w:t>
      </w:r>
    </w:p>
    <w:p>
      <w:pPr>
        <w:spacing w:after="0" w:line="176"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July 3, 2024, we exercised our option to extend the stated maturity date to August 29, 2025. The Subscription Facility will mature upon the earliest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 August 29, 2025; (ii) the date upon which the Administrative Agent declares the obligations under the Subscription Facility due and payable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an event of default; (iii) forty-five (45) days prior to the date on which our ability to call capital commitments for purposes of repaying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Subscription Facility is terminated; and (iv) the date we terminate the commitments pursuant to the Subscription Facility.</w:t>
      </w:r>
    </w:p>
    <w:p>
      <w:pPr>
        <w:spacing w:after="0" w:line="20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92"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June 30, 2025, we had outstanding debt denominated in British pounds of (GBP) 10.3 million, and Euros (EUR) of 7.3 million on our Subscription Facility, included in the outstanding principal amount in the table below. As of December 31, 2024, the Company had outstanding debt denominated in British pounds (GBP) of 10.3 million, and Euros (EUR) of 7.3 million on its Subscription Facility, included in the outstanding principal amount in the table below.</w:t>
      </w:r>
    </w:p>
    <w:p>
      <w:pPr>
        <w:spacing w:after="0" w:line="180"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Subscription Facility also provides for the issuance of letters of credit up to an aggregate amount of 10% of the Maximum Commitment. As of June 30, 2025 and December 31, 2024, we had no outstanding letters of credit issued through the Subscription Facility. The amount available for borrowing under the Subscription Facility is reduced by any letters of credit issued through the Subscription Facility.</w:t>
      </w:r>
    </w:p>
    <w:p>
      <w:pPr>
        <w:spacing w:after="0" w:line="176" w:lineRule="exact"/>
        <w:rPr>
          <w:sz w:val="20"/>
          <w:szCs w:val="20"/>
          <w:color w:val="auto"/>
        </w:rPr>
      </w:pPr>
    </w:p>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54"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We expect to amend the Subscription Facility and extend the maturity date in addition to other changes. There can be no assurance regarding if or when any such amendment will be executed.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2025 and December 31, 2024, the Company was in compliance with the terms of the Subscription Facility.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76"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The aggregate commitments under the Revolving Credit Facility were $600 million and included an uncommitted accordion feature that allows the Company, under certain circumstances, to increase the size of the Revolving Credit Facility up to $1 billion. On February 28, 2023, the aggregate commitments under the Revolving Credit Facility were upsized to $700 million. On July 27, 2023, the aggregate commitments under the Revolving Credit Facility were upsized to $725 million. Pursuant to the first amendment to the Revolving Credit Facility dated February 8, 2024, the aggregate commitments under the Revolving Credit Facility were upsized to $1.0 billion and the stated maturity date was extended to February 8, 2029. On April 8, 2024, the aggregate commitments under the Revolving Credit Facility were upsized to $1.2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On December 18, 2024, the aggregate commitments under the Revolving Credit Facility were upsized to $1.55 billion, which included a term loan commitment of $50 million, due at the stated maturity. On January 17, 2025, the aggregate commitments under the Revolving Credit Facility were upsized to $1.65 billion, due at the stated maturity. On March 4, 2025, pursuant to the third amendment, the aggregate commitments under the Revolving Credit Facility were upsized to $2.28 billion and the stated maturity was extended to March 4, 2030. The Revolving Credit Facility includes an uncommitted accordion feature that allows the Company, under certain circumstances, to increase the size of the Revolving Credit Facility to up to $3.42 billion. The Revolving Credit Facility will mature on March 4, 2030.</w:t>
      </w:r>
    </w:p>
    <w:p>
      <w:pPr>
        <w:spacing w:after="0" w:line="197" w:lineRule="exact"/>
        <w:rPr>
          <w:sz w:val="20"/>
          <w:szCs w:val="20"/>
          <w:color w:val="auto"/>
        </w:rPr>
      </w:pPr>
    </w:p>
    <w:p>
      <w:pPr>
        <w:ind w:right="480" w:firstLine="255"/>
        <w:spacing w:after="0" w:line="261" w:lineRule="auto"/>
        <w:rPr>
          <w:sz w:val="20"/>
          <w:szCs w:val="20"/>
          <w:color w:val="auto"/>
        </w:rPr>
      </w:pPr>
      <w:r>
        <w:rPr>
          <w:rFonts w:ascii="Times New Roman" w:cs="Times New Roman" w:eastAsia="Times New Roman" w:hAnsi="Times New Roman"/>
          <w:sz w:val="18"/>
          <w:szCs w:val="18"/>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1.525%, 1.65% or</w:t>
      </w:r>
    </w:p>
    <w:p>
      <w:pPr>
        <w:ind w:right="20"/>
        <w:spacing w:after="0" w:line="253" w:lineRule="auto"/>
        <w:rPr>
          <w:sz w:val="20"/>
          <w:szCs w:val="20"/>
          <w:color w:val="auto"/>
        </w:rPr>
      </w:pPr>
      <w:r>
        <w:rPr>
          <w:rFonts w:ascii="Times New Roman" w:cs="Times New Roman" w:eastAsia="Times New Roman" w:hAnsi="Times New Roman"/>
          <w:sz w:val="18"/>
          <w:szCs w:val="18"/>
          <w:color w:val="auto"/>
        </w:rPr>
        <w:t>1.775%, based on certain borrowing base conditions and (b) an alternative base rate plus 0.525%, 0.65% or 0.775%, based on certain borrowing base conditions, (ii) in the case of loans denominated in other permitted currencies at the relevant rate specified plus 0.525%, 0.65% or 0.775%, based on certain borrowing base conditions, plus in the case of amounts denominated in certain other permitted currencies, an adjustment. We also will pay an unused commitment fee of 0.325% per annum on the unused commitments.</w:t>
      </w:r>
    </w:p>
    <w:p>
      <w:pPr>
        <w:spacing w:after="0" w:line="189"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June 30, 2025, we had outstanding debt denominated in British pounds (GBP) of 300.6 million, Euros (EUR) 899.7 million and Swedish Krona (SEK) 209.7 million on its Revolving Credit Facility, included in the outstanding principal amount in the table below. As of December 31, 2024, we had outstanding debt denominated in British pounds (GBP) of 299.2 million, Euros (EUR) 640.1 million and Swedish Krona (SEK) 80.2 million on our Revolving Credit Facility, included in the outstanding principal amount in the table below.</w:t>
      </w:r>
    </w:p>
    <w:p>
      <w:pPr>
        <w:spacing w:after="0" w:line="183"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$100 million. As of June 30, 2025, we had $31.5 million in outstanding letters of credit issued through the Revolving Credit Facility. As of December 31, 2024, the Company had $5.9 million in outstanding letters of credit issued through the Revolving Credit Facility. The amount available for borrowing under the Revolving Credit Facility is reduced by any letters of credit issued through the Revolving Credit Facility.</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Revolving Credit Facility includes customary events of default (with customary cure and notice provisions).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further details, see Note 7 "Debt - Revolving Credit Facility" to our consolidated financial statements included in this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March 2024, we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our option at any time at par plus a “make whole” premium. Total proceeds from the issuance of the 2029 Notes, net of underwriting discounts, offering costs and original issue discount, were $586.0 million. We used the net proceeds of the 2029 Notes to repay outstanding indebtedness under the Revolving Credit Facility and Subscription Facility.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1" w:name="page62"/>
    <w:bookmarkEnd w:id="61"/>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June 2024, we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We used the net proceeds of the 2029 Notes to repay outstanding indebtedness under the Revolving Credit Facility and Subscription Facility.</w:t>
      </w:r>
    </w:p>
    <w:p>
      <w:pPr>
        <w:spacing w:after="0" w:line="18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We entered into two interest rate swaps to align the interest rates of its liabilities with our investment portfolio, which consists of predominately floating rate loans. The notional amount of the two interest rates swaps are $600.0 million and $150.0 million, respectively, each of which matures on March 11, 2029, matching the maturity date of the 2029 Notes. As a result of the swap, the Company’s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the Company’s Consolidated Statements of Operations. As of June 30, 2025 and December 31, 2024, the effective hedge interest rate swaps had a fair value of $15.7 million and $(1.1) million, respectively, which is offset within interest expense by an equal, but opposite, fair value change for the hedged risk on the 2029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2030 Notes</w:t>
      </w:r>
    </w:p>
    <w:p>
      <w:pPr>
        <w:spacing w:after="0" w:line="22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In September 2024, we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the Company’s option at any time at par plus a “make whole” premium. Total proceeds from the issuance of the January 2030 Notes, net of underwriting discounts, offering costs and original issue discount, were $591.7 million. We used the net proceeds of the January 2030 Notes to repay outstanding indebtedness under the Revolving Credit Facility and Subscription Facility.</w:t>
      </w:r>
    </w:p>
    <w:p>
      <w:pPr>
        <w:spacing w:after="0" w:line="187"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January 2030 Notes, we entered into an interest rate swap to align the interest rate of its liability with our investment portfolio, which consists of predominately floating rate loans. The notional amount of the interest rate swap is $600.0 million which matures on January 15, 2030, matching the maturity date of the January 2030 Notes. As a result of the swap, the Company’s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the Company’s Consolidated Statements of Operations. As of June 30, 2025 and December 31, 2024, the effective hedge interest rate swaps had a fair value of $(6.6) and $(24.1) million, respectively, which is offset within interest expense by an equal, but opposite, fair value change for the hedged risk on the January 2030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2030 Notes</w:t>
      </w:r>
    </w:p>
    <w:p>
      <w:pPr>
        <w:spacing w:after="0" w:line="227"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In January 2025, we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the Company's option at any time at par plus a "make whole" premium. Total proceeds from the issuance of the July 2030 Notes, net of underwriting discounts, offering costs and original issue discount, were $737.6 million. We used the net proceeds of the July 2030 Notes to repay outstanding indebtedness under the Revolving Credit Facility and Subscription Facility.</w:t>
      </w:r>
    </w:p>
    <w:p>
      <w:pPr>
        <w:spacing w:after="0" w:line="18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July 2030 Notes, we entered into an interest rate swap to align the interest rate of its liability with our investment portfolio, which consists of predominately floating rate loans. The notional amount of the interest rate swap is $750.0 million which matures on July 15, 2030, matching the maturity date of the July 2030 Notes. As a result of the swap, the Company's effective interest rate on the July 2030 Notes is SOFR plus 2.01%. The interest expense related to the July 2030 Notes is offset by proceeds received from the interest rate swaps designed as a hedge. The swap adjusted interest expense is included as a component of interest expense on the Company's Consolidated Statements of Operations. As of June 30, 2025, the effective hedge interest rate swaps had a fair value of $22.4 million which is offset within interest expense by an equal, but opposite, fair value change for the hedged risk on the July 2030 Notes.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2" w:name="page63"/>
    <w:bookmarkEnd w:id="62"/>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June 30, 2025 and December 31, 2024:</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Pr>
          <w:p>
            <w:pPr>
              <w:spacing w:after="0"/>
              <w:rPr>
                <w:sz w:val="10"/>
                <w:szCs w:val="10"/>
                <w:color w:val="auto"/>
              </w:rPr>
            </w:pPr>
          </w:p>
        </w:tc>
        <w:tc>
          <w:tcPr>
            <w:tcW w:w="1500" w:type="dxa"/>
            <w:vAlign w:val="bottom"/>
          </w:tcPr>
          <w:p>
            <w:pPr>
              <w:jc w:val="right"/>
              <w:ind w:right="115"/>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197"/>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220"/>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59"/>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3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-170815</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6032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032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520" w:right="360" w:hanging="512"/>
        <w:spacing w:after="0" w:line="273"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the Revolving Credit Facility, outstanding letters of credit issued and asset coverage requirements.</w:t>
      </w:r>
    </w:p>
    <w:p>
      <w:pPr>
        <w:spacing w:after="0" w:line="1" w:lineRule="exact"/>
        <w:rPr>
          <w:rFonts w:ascii="Times New Roman" w:cs="Times New Roman" w:eastAsia="Times New Roman" w:hAnsi="Times New Roman"/>
          <w:sz w:val="18"/>
          <w:szCs w:val="18"/>
          <w:color w:val="auto"/>
        </w:rPr>
      </w:pPr>
    </w:p>
    <w:p>
      <w:pPr>
        <w:ind w:left="520" w:right="160" w:hanging="512"/>
        <w:spacing w:after="0" w:line="260"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the Revolving Credit Facility, the 2029 Notes, January 2030 Notes and July 2030 Notes are presented net of deferred financing costs and original issue discounts of $0.8 million, $15.6 million, $12.6 million, $7.8 million and $13.6 million, respectively.</w:t>
      </w:r>
    </w:p>
    <w:p>
      <w:pPr>
        <w:spacing w:after="0" w:line="2"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January 2030 Notes and July 2030 Notes are presented inclusive of an incremental $15.7 million, $(6.6) million and $22.4 million respectively, which represents an adjustment in the carrying value of the 2029 Notes, January 2030 Notes and July 2030 Notes, each resulting from a hedge accounting relationship.</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Pr>
          <w:p>
            <w:pPr>
              <w:spacing w:after="0"/>
              <w:rPr>
                <w:sz w:val="10"/>
                <w:szCs w:val="10"/>
                <w:color w:val="auto"/>
              </w:rPr>
            </w:pPr>
          </w:p>
        </w:tc>
        <w:tc>
          <w:tcPr>
            <w:tcW w:w="1480" w:type="dxa"/>
            <w:vAlign w:val="bottom"/>
          </w:tcPr>
          <w:p>
            <w:pPr>
              <w:jc w:val="right"/>
              <w:ind w:right="116"/>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right"/>
              <w:ind w:right="217"/>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0"/>
                <w:szCs w:val="10"/>
                <w:color w:val="auto"/>
              </w:rPr>
            </w:pP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right"/>
              <w:ind w:right="276"/>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4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6"/>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100" w:type="dxa"/>
            <w:vAlign w:val="bottom"/>
            <w:gridSpan w:val="2"/>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4,348.7</w:t>
            </w:r>
          </w:p>
        </w:tc>
        <w:tc>
          <w:tcPr>
            <w:tcW w:w="1100" w:type="dxa"/>
            <w:vAlign w:val="bottom"/>
            <w:gridSpan w:val="2"/>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603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03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03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03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-24765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00" w:hanging="512"/>
        <w:spacing w:after="0" w:line="26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the Revolving Credit Facility and asset coverage requirements.</w:t>
      </w:r>
    </w:p>
    <w:p>
      <w:pPr>
        <w:ind w:left="52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Revolving Credit Facility, 2029 Notes and January 2030 Notes are presented net deferred financing costs and original issue discounts totaling $3.0 million, $9.1 million, $14.2 million and $8.6 million, respectively.</w:t>
      </w:r>
    </w:p>
    <w:p>
      <w:pPr>
        <w:jc w:val="both"/>
        <w:ind w:left="520" w:right="700" w:hanging="512"/>
        <w:spacing w:after="0" w:line="255"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and January 2030 Notes are presented inclusive of an incremental $(1.1) million and $(24.1) million, respectively, which represents an adjustment in the carrying value of the 2029 Notes and January 2030 Notes, each resulting from a hedge accounting relationship.</w:t>
      </w:r>
    </w:p>
    <w:p>
      <w:pPr>
        <w:spacing w:after="0" w:line="186" w:lineRule="exact"/>
        <w:rPr>
          <w:sz w:val="20"/>
          <w:szCs w:val="20"/>
          <w:color w:val="auto"/>
        </w:rPr>
      </w:pPr>
    </w:p>
    <w:p>
      <w:pPr>
        <w:ind w:right="192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w:t>
      </w:r>
    </w:p>
    <w:p>
      <w:pPr>
        <w:spacing w:after="0" w:line="162"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we were in compliance with the terms of our debt arrangements. We intend to continue to utilize our Credit Facilities to fund investments and for other general corporate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June 30, 2025 and December 31, 2024, we had the following commitments to fund investments in current portfolio companies: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20" w:type="dxa"/>
            <w:vAlign w:val="bottom"/>
            <w:gridSpan w:val="2"/>
          </w:tcPr>
          <w:p>
            <w:pPr>
              <w:spacing w:after="0"/>
              <w:rPr>
                <w:sz w:val="15"/>
                <w:szCs w:val="15"/>
                <w:color w:val="auto"/>
              </w:rPr>
            </w:pPr>
          </w:p>
        </w:tc>
      </w:tr>
      <w:tr>
        <w:trPr>
          <w:trHeight w:val="210"/>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Apellis Pharmaceuticals, Inc.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Aptean, Inc.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Arrowhead Pharmaceuticals, Inc.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Avalara, Inc.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AVSC Holding Corp.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Azurite Intermediate Holdings, Inc. - Revolver &amp; Equity</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Babylon Finco Limited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 Nevis Midco Limited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Big Wombat Holdings, Inc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Cirrus (Bidco) Ltd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Cordance Operations LLC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Elysium BidCo Limited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Eventus Buyer, LLC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Flight Intermediate HoldCo, Inc.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Greenshoot Bidco B.V.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Heritage Environmental Services, Inc.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HireVue, Inc.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Ingenovis Health Finance, LLC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Kryptona BidCo US, LLC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Lynx BidCo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Merit Software Finance Holdings, LLC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PDI TA Holdings, Inc.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QSR Acquisition Co.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Rail Acquisitions LLC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RainFocus, LLC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Raptor US Buyer II Corp.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Sapphire Software Buyer, Inc.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Scorpio Bidco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Severin Acquisition, LLC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Shiftmove GmbH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Sky Bidco S.p.A.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SkyLark UK DebtCo Limited - Delayed Draw</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SMA Technologies Holdings, LLC -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Sport Alliance GmbH -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Tango Management Consulting, LLC #2 -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Truck-Lite Co., LLC - Delayed Draw &amp; Revolver</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USA Debusk, LLC - Delayed Draw &amp; Revolver</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Varinem German Bidco GmbH - Delayed Draw</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432"/>
        </w:trPr>
        <w:tc>
          <w:tcPr>
            <w:tcW w:w="68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64" w:name="page65"/>
    <w:bookmarkEnd w:id="64"/>
    <w:tbl>
      <w:tblPr>
        <w:tblLayout w:type="fixed"/>
        <w:tblInd w:w="62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Wrangler Topco, LLC - Delayed Draw &amp; Revolver</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0"/>
                <w:szCs w:val="20"/>
                <w:color w:val="auto"/>
              </w:rPr>
            </w:pPr>
          </w:p>
        </w:tc>
      </w:tr>
      <w:tr>
        <w:trPr>
          <w:trHeight w:val="250"/>
        </w:trPr>
        <w:tc>
          <w:tcPr>
            <w:tcW w:w="6200" w:type="dxa"/>
            <w:vAlign w:val="bottom"/>
            <w:tcBorders>
              <w:bottom w:val="single" w:sz="8" w:color="CFF0FC"/>
            </w:tcBorders>
            <w:shd w:val="clear" w:color="auto" w:fill="CFF0FC"/>
          </w:tcPr>
          <w:p>
            <w:pPr>
              <w:ind w:left="1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660" w:type="dxa"/>
            <w:vAlign w:val="bottom"/>
            <w:tcBorders>
              <w:bottom w:val="single" w:sz="8" w:color="auto"/>
            </w:tcBorders>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2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6032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03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left="520" w:right="28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ind w:left="520" w:right="6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an analysis of the fair value of any unfunded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we did not have any unfunded commitments to fund investments to new borrowers that were not current portfolio companies as of such date.</w:t>
      </w:r>
    </w:p>
    <w:p>
      <w:pPr>
        <w:spacing w:after="0" w:line="162" w:lineRule="exact"/>
        <w:rPr>
          <w:sz w:val="20"/>
          <w:szCs w:val="20"/>
          <w:color w:val="auto"/>
        </w:rPr>
      </w:pPr>
    </w:p>
    <w:p>
      <w:pPr>
        <w:jc w:val="both"/>
        <w:ind w:right="50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June 30, 2025 and December 31, 2024, management is not aware of any material pending or threatened litigation that would require accounting recognition or financial statement disclosure.</w:t>
      </w:r>
    </w:p>
    <w:p>
      <w:pPr>
        <w:spacing w:after="0" w:line="176"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June 30, 2025 is as follows: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90"/>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100" w:type="dxa"/>
            <w:vAlign w:val="bottom"/>
          </w:tcPr>
          <w:p>
            <w:pPr>
              <w:spacing w:after="0"/>
              <w:rPr>
                <w:sz w:val="24"/>
                <w:szCs w:val="24"/>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-170815</wp:posOffset>
            </wp:positionV>
            <wp:extent cx="6032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-170815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220" w:hanging="257"/>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5" w:name="page66"/>
    <w:bookmarkEnd w:id="65"/>
    <w:p>
      <w:pPr>
        <w:ind w:left="520" w:right="260" w:hanging="257"/>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tax-exempt interest income over certain disallowed deductions) for such taxable year.</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As a RIC, we (but not our shareholders) generally will not be subject to U.S. federal income tax on investment company taxable income and net capital gains that we distribute to our shareholders.</w:t>
      </w:r>
    </w:p>
    <w:p>
      <w:pPr>
        <w:spacing w:after="0" w:line="162"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68" w:lineRule="exact"/>
        <w:rPr>
          <w:sz w:val="20"/>
          <w:szCs w:val="20"/>
          <w:color w:val="auto"/>
        </w:rPr>
      </w:pPr>
    </w:p>
    <w:p>
      <w:pPr>
        <w:ind w:left="520" w:hanging="257"/>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including those relating to the valuation of our investment portfolio, are described in our Annual Report on Form 10-K for the fiscal year ended December 31, 2024, filed with the SEC on February 14, 2025, and elsewhere in our filings with the SEC. The critical accounting policies and estimates should be read in connection with our risk factors discussed in Part I, “Item 1A. Risk Factors” in our Annual Report on Form 10-K for the fiscal year ended December 31, 2024.</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76" w:lineRule="exact"/>
        <w:rPr>
          <w:sz w:val="20"/>
          <w:szCs w:val="20"/>
          <w:color w:val="auto"/>
        </w:rPr>
      </w:pPr>
    </w:p>
    <w:p>
      <w:pPr>
        <w:ind w:right="480" w:firstLine="255"/>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39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As of June 30, 2025, 96.7% of our debt investments based on fair value in our portfolio bore interest at floating rates, with 100% of these subject to interest rate floors. Our credit facilities also bear interest at floating rates, and in connection with our 2029 Notes, January 2030 Notes and July 2030 Notes, which bear interest at fixed rates, we entered into fixed-to-floating interest rate swaps in order to align the interest rates of our liabilities with our investment portfolio.</w:t>
      </w:r>
    </w:p>
    <w:p>
      <w:pPr>
        <w:spacing w:after="0" w:line="180"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June 30, 2025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0" w:type="dxa"/>
            <w:vAlign w:val="bottom"/>
          </w:tcPr>
          <w:p>
            <w:pPr>
              <w:spacing w:after="0"/>
              <w:rPr>
                <w:sz w:val="1"/>
                <w:szCs w:val="1"/>
                <w:color w:val="auto"/>
              </w:rPr>
            </w:pPr>
          </w:p>
        </w:tc>
      </w:tr>
      <w:tr>
        <w:trPr>
          <w:trHeight w:val="173"/>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Down 50 basis points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7" w:name="page68"/>
    <w:bookmarkEnd w:id="67"/>
    <w:p>
      <w:pPr>
        <w:spacing w:after="0" w:line="261" w:lineRule="auto"/>
        <w:rPr>
          <w:sz w:val="20"/>
          <w:szCs w:val="20"/>
          <w:color w:val="auto"/>
        </w:rPr>
      </w:pPr>
      <w:r>
        <w:rPr>
          <w:rFonts w:ascii="Times New Roman" w:cs="Times New Roman" w:eastAsia="Times New Roman" w:hAnsi="Times New Roman"/>
          <w:sz w:val="18"/>
          <w:szCs w:val="18"/>
          <w:color w:val="auto"/>
        </w:rPr>
        <w:t>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3" w:lineRule="exact"/>
        <w:rPr>
          <w:sz w:val="20"/>
          <w:szCs w:val="20"/>
          <w:color w:val="auto"/>
        </w:rPr>
      </w:pPr>
    </w:p>
    <w:p>
      <w:pPr>
        <w:jc w:val="both"/>
        <w:ind w:right="44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our most recently completed fiscal quarter that have materially affected, or are reasonably likely to materially affect, our internal control over financial reporting.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 for the fiscal year ended December 31, 2024.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Second Amended and Restated Declaration of Trust (incorporated by reference to Exhibit 3.1 to the Company’s Registration Statement on</w:t>
              </w:r>
            </w:hyperlink>
          </w:p>
        </w:tc>
        <w:tc>
          <w:tcPr>
            <w:tcW w:w="1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160" w:type="dxa"/>
            <w:vAlign w:val="bottom"/>
            <w:gridSpan w:val="6"/>
          </w:tcPr>
          <w:p>
            <w:pPr>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Form 10, filed on August 22, 2022)</w:t>
              </w:r>
            </w:hyperlink>
          </w:p>
        </w:tc>
      </w:tr>
      <w:tr>
        <w:trPr>
          <w:trHeight w:val="20"/>
        </w:trPr>
        <w:tc>
          <w:tcPr>
            <w:tcW w:w="10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gridSpan w:val="6"/>
          </w:tcPr>
          <w:p>
            <w:pPr>
              <w:spacing w:after="0"/>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Bylaws (incorporated by reference to Exhibit 3.2 to the Company’s Registration Statement on Form 10, filed on June 28, 2022)</w:t>
              </w:r>
            </w:hyperlink>
          </w:p>
        </w:tc>
      </w:tr>
      <w:tr>
        <w:trPr>
          <w:trHeight w:val="20"/>
        </w:trPr>
        <w:tc>
          <w:tcPr>
            <w:tcW w:w="10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62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302 of the Sarbanes-Oxley Act</w:t>
            </w:r>
          </w:p>
        </w:tc>
      </w:tr>
      <w:tr>
        <w:trPr>
          <w:trHeight w:val="196"/>
        </w:trPr>
        <w:tc>
          <w:tcPr>
            <w:tcW w:w="1000" w:type="dxa"/>
            <w:vAlign w:val="bottom"/>
          </w:tcPr>
          <w:p>
            <w:pPr>
              <w:spacing w:after="0"/>
              <w:rPr>
                <w:sz w:val="17"/>
                <w:szCs w:val="17"/>
                <w:color w:val="auto"/>
              </w:rPr>
            </w:pPr>
          </w:p>
        </w:tc>
        <w:tc>
          <w:tcPr>
            <w:tcW w:w="101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00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9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302 of the Sarbanes-Oxley Act</w:t>
            </w:r>
          </w:p>
        </w:tc>
        <w:tc>
          <w:tcPr>
            <w:tcW w:w="6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1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00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00" w:hanging="99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-7620</wp:posOffset>
            </wp:positionV>
            <wp:extent cx="63722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637222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840" w:type="dxa"/>
            <w:vAlign w:val="bottom"/>
          </w:tcPr>
          <w:p>
            <w:pPr>
              <w:spacing w:after="0"/>
              <w:rPr>
                <w:sz w:val="18"/>
                <w:szCs w:val="18"/>
                <w:color w:val="auto"/>
              </w:rPr>
            </w:pP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5540" w:right="4380" w:hanging="5532"/>
        <w:spacing w:after="0" w:line="902" w:lineRule="auto"/>
        <w:tabs>
          <w:tab w:leader="none" w:pos="10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2" w:right="41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3120"/>
              <w:spacing w:after="0"/>
              <w:rPr>
                <w:sz w:val="20"/>
                <w:szCs w:val="20"/>
                <w:color w:val="auto"/>
              </w:rPr>
            </w:pPr>
            <w:r>
              <w:rPr>
                <w:rFonts w:ascii="Times New Roman" w:cs="Times New Roman" w:eastAsia="Times New Roman" w:hAnsi="Times New Roman"/>
                <w:sz w:val="18"/>
                <w:szCs w:val="18"/>
                <w:color w:val="auto"/>
              </w:rPr>
              <w:t>Sixth Street Lending Partners</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36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Easterly</w:t>
            </w:r>
          </w:p>
        </w:tc>
      </w:tr>
      <w:tr>
        <w:trPr>
          <w:trHeight w:val="191"/>
        </w:trPr>
        <w:tc>
          <w:tcPr>
            <w:tcW w:w="35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16"/>
        </w:trPr>
        <w:tc>
          <w:tcPr>
            <w:tcW w:w="35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36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191"/>
        </w:trPr>
        <w:tc>
          <w:tcPr>
            <w:tcW w:w="35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16"/>
        </w:trPr>
        <w:tc>
          <w:tcPr>
            <w:tcW w:w="35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540" w:type="dxa"/>
            <w:vAlign w:val="bottom"/>
          </w:tcPr>
          <w:p>
            <w:pPr>
              <w:spacing w:after="0"/>
              <w:rPr>
                <w:sz w:val="24"/>
                <w:szCs w:val="24"/>
                <w:color w:val="auto"/>
              </w:rPr>
            </w:pP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70</w:t>
            </w:r>
          </w:p>
        </w:tc>
        <w:tc>
          <w:tcPr>
            <w:tcW w:w="410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0" w:name="page71"/>
    <w:bookmarkEnd w:id="7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620" w:hanging="357"/>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Lending Partners;</w:t>
      </w:r>
    </w:p>
    <w:p>
      <w:pPr>
        <w:spacing w:after="0" w:line="117" w:lineRule="exact"/>
        <w:rPr>
          <w:rFonts w:ascii="Times New Roman" w:cs="Times New Roman" w:eastAsia="Times New Roman" w:hAnsi="Times New Roman"/>
          <w:sz w:val="18"/>
          <w:szCs w:val="18"/>
          <w:color w:val="auto"/>
        </w:rPr>
      </w:pPr>
    </w:p>
    <w:p>
      <w:pPr>
        <w:ind w:left="780" w:hanging="517"/>
        <w:spacing w:after="0" w:line="266" w:lineRule="auto"/>
        <w:tabs>
          <w:tab w:leader="none" w:pos="6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100" w:hanging="517"/>
        <w:spacing w:after="0" w:line="282" w:lineRule="auto"/>
        <w:tabs>
          <w:tab w:leader="none" w:pos="6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right"/>
        <w:ind w:left="780" w:right="300" w:hanging="517"/>
        <w:spacing w:after="0" w:line="276" w:lineRule="auto"/>
        <w:tabs>
          <w:tab w:leader="none" w:pos="63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40" w:hanging="509"/>
        <w:spacing w:after="0" w:line="266" w:lineRule="auto"/>
        <w:tabs>
          <w:tab w:leader="none" w:pos="11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280" w:right="220" w:hanging="509"/>
        <w:spacing w:after="0" w:line="312" w:lineRule="auto"/>
        <w:tabs>
          <w:tab w:leader="none" w:pos="113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hanging="517"/>
        <w:spacing w:after="0" w:line="282" w:lineRule="auto"/>
        <w:tabs>
          <w:tab w:leader="none" w:pos="6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600" w:hanging="509"/>
        <w:spacing w:after="0" w:line="282" w:lineRule="auto"/>
        <w:tabs>
          <w:tab w:leader="none" w:pos="11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280" w:hanging="509"/>
        <w:spacing w:after="0" w:line="282" w:lineRule="auto"/>
        <w:tabs>
          <w:tab w:leader="none" w:pos="11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1" w:name="page72"/>
    <w:bookmarkEnd w:id="7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620" w:hanging="357"/>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Lending Partners (the “registrant”);</w:t>
      </w:r>
    </w:p>
    <w:p>
      <w:pPr>
        <w:spacing w:after="0" w:line="117" w:lineRule="exact"/>
        <w:rPr>
          <w:rFonts w:ascii="Times New Roman" w:cs="Times New Roman" w:eastAsia="Times New Roman" w:hAnsi="Times New Roman"/>
          <w:sz w:val="18"/>
          <w:szCs w:val="18"/>
          <w:color w:val="auto"/>
        </w:rPr>
      </w:pPr>
    </w:p>
    <w:p>
      <w:pPr>
        <w:ind w:left="780" w:hanging="517"/>
        <w:spacing w:after="0" w:line="266" w:lineRule="auto"/>
        <w:tabs>
          <w:tab w:leader="none" w:pos="6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100" w:hanging="517"/>
        <w:spacing w:after="0" w:line="282" w:lineRule="auto"/>
        <w:tabs>
          <w:tab w:leader="none" w:pos="6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right"/>
        <w:ind w:left="780" w:right="300" w:hanging="517"/>
        <w:spacing w:after="0" w:line="276" w:lineRule="auto"/>
        <w:tabs>
          <w:tab w:leader="none" w:pos="63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40" w:hanging="509"/>
        <w:spacing w:after="0" w:line="266" w:lineRule="auto"/>
        <w:tabs>
          <w:tab w:leader="none" w:pos="11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280" w:right="220" w:hanging="509"/>
        <w:spacing w:after="0" w:line="312" w:lineRule="auto"/>
        <w:tabs>
          <w:tab w:leader="none" w:pos="113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hanging="517"/>
        <w:spacing w:after="0" w:line="282" w:lineRule="auto"/>
        <w:tabs>
          <w:tab w:leader="none" w:pos="6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600" w:hanging="509"/>
        <w:spacing w:after="0" w:line="282" w:lineRule="auto"/>
        <w:tabs>
          <w:tab w:leader="none" w:pos="11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280" w:hanging="509"/>
        <w:spacing w:after="0" w:line="282" w:lineRule="auto"/>
        <w:tabs>
          <w:tab w:leader="none" w:pos="11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2" w:name="page73"/>
    <w:bookmarkEnd w:id="72"/>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Sixth Street Lending Partners (the “Company”) for the quarterly period ended June 30, 2025,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263"/>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Joshua Easterly</w:t>
      </w:r>
    </w:p>
    <w:p>
      <w:pPr>
        <w:spacing w:after="0" w:line="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Ian Simmonds</w:t>
      </w:r>
    </w:p>
    <w:p>
      <w:pPr>
        <w:spacing w:after="0" w:line="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 2025</w:t>
      </w:r>
    </w:p>
    <w:p>
      <w:pPr>
        <w:spacing w:after="0" w:line="207"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lvl w:ilvl="1">
      <w:lvlJc w:val="left"/>
      <w:lvlText w:val="(%2)"/>
      <w:numFmt w:val="lowerLetter"/>
      <w:start w:val="1"/>
    </w:lvl>
  </w:abstractNum>
  <w:abstractNum w:abstractNumId="4">
    <w:nsid w:val="75A2A8D4"/>
    <w:multiLevelType w:val="hybridMultilevel"/>
    <w:lvl w:ilvl="0">
      <w:lvlJc w:val="left"/>
      <w:lvlText w:val="(%1)"/>
      <w:numFmt w:val="decimal"/>
      <w:start w:val="1"/>
    </w:lvl>
    <w:lvl w:ilvl="1">
      <w:lvlJc w:val="left"/>
      <w:lvlText w:val="%2"/>
      <w:numFmt w:val="lowerLetter"/>
      <w:start w:val="1"/>
    </w:lvl>
  </w:abstractNum>
  <w:abstractNum w:abstractNumId="5">
    <w:nsid w:val="8EDBDAB"/>
    <w:multiLevelType w:val="hybridMultilevel"/>
    <w:lvl w:ilvl="0">
      <w:lvlJc w:val="left"/>
      <w:lvlText w:val="%1"/>
      <w:numFmt w:val="decimal"/>
      <w:start w:val="1"/>
    </w:lvl>
    <w:lvl w:ilvl="1">
      <w:lvlJc w:val="left"/>
      <w:lvlText w:val="(%2)"/>
      <w:numFmt w:val="lowerLetter"/>
      <w:start w:val="1"/>
    </w:lvl>
  </w:abstractNum>
  <w:abstractNum w:abstractNumId="6">
    <w:nsid w:val="79838CB2"/>
    <w:multiLevelType w:val="hybridMultilevel"/>
    <w:lvl w:ilvl="0">
      <w:lvlJc w:val="left"/>
      <w:lvlText w:val="(%1)"/>
      <w:numFmt w:val="decimal"/>
      <w:start w:val="1"/>
    </w:lvl>
    <w:lvl w:ilvl="1">
      <w:lvlJc w:val="left"/>
      <w:lvlText w:val="%2"/>
      <w:numFmt w:val="lowerLetter"/>
      <w:start w:val="1"/>
    </w:lvl>
  </w:abstractNum>
  <w:abstractNum w:abstractNumId="7">
    <w:nsid w:val="4353D0CD"/>
    <w:multiLevelType w:val="hybridMultilevel"/>
    <w:lvl w:ilvl="0">
      <w:lvlJc w:val="left"/>
      <w:lvlText w:val="(%1)"/>
      <w:numFmt w:val="decimal"/>
      <w:start w:val="3"/>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Roman"/>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32"/>
    </w:lvl>
  </w:abstractNum>
  <w:abstractNum w:abstractNumId="39">
    <w:nsid w:val="3855585C"/>
    <w:multiLevelType w:val="hybridMultilevel"/>
    <w:lvl w:ilvl="0">
      <w:lvlJc w:val="left"/>
      <w:lvlText w:val="%1"/>
      <w:numFmt w:val="decimal"/>
      <w:start w:val="104"/>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32" Type="http://schemas.openxmlformats.org/officeDocument/2006/relationships/hyperlink" Target="https://www.sec.gov/Archives/edgar/data/1925309/000119312522226504/d260658dex31.htm" TargetMode="External"/><Relationship Id="rId633" Type="http://schemas.openxmlformats.org/officeDocument/2006/relationships/hyperlink" Target="https://www.sec.gov/Archives/edgar/data/1925309/000119312522183512/d26065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2025-08-01T15:17:57Z</dcterms:created>
  <dcterms:modified xsi:type="dcterms:W3CDTF">2025-08-01T15:17:57Z</dcterms:modified>
</cp:coreProperties>
</file>