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6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56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5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Victorian Funds Management Corporation</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100" w:type="dxa"/>
            <w:vAlign w:val="bottom"/>
            <w:gridSpan w:val="2"/>
          </w:tcPr>
          <w:p>
            <w:pPr>
              <w:jc w:val="right"/>
              <w:ind w:right="53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3580" w:type="dxa"/>
            <w:vAlign w:val="bottom"/>
          </w:tcPr>
          <w:p>
            <w:pPr>
              <w:spacing w:after="0"/>
              <w:rPr>
                <w:sz w:val="24"/>
                <w:szCs w:val="24"/>
                <w:color w:val="auto"/>
              </w:rPr>
            </w:pP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5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3,031,622</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tcBorders>
          </w:tcPr>
          <w:p>
            <w:pPr>
              <w:spacing w:after="0"/>
              <w:rPr>
                <w:sz w:val="6"/>
                <w:szCs w:val="6"/>
                <w:color w:val="auto"/>
              </w:rPr>
            </w:pPr>
          </w:p>
        </w:tc>
        <w:tc>
          <w:tcPr>
            <w:tcW w:w="9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tcPr>
          <w:p>
            <w:pPr>
              <w:spacing w:after="0"/>
              <w:rPr>
                <w:sz w:val="20"/>
                <w:szCs w:val="20"/>
                <w:color w:val="auto"/>
              </w:rPr>
            </w:pPr>
          </w:p>
        </w:tc>
        <w:tc>
          <w:tcPr>
            <w:tcW w:w="920" w:type="dxa"/>
            <w:vAlign w:val="bottom"/>
            <w:vMerge w:val="continue"/>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5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5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0</w:t>
            </w:r>
          </w:p>
        </w:tc>
        <w:tc>
          <w:tcPr>
            <w:tcW w:w="5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4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50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00" w:type="dxa"/>
            <w:vAlign w:val="bottom"/>
            <w:tcBorders>
              <w:left w:val="single" w:sz="8" w:color="auto"/>
            </w:tcBorders>
          </w:tcPr>
          <w:p>
            <w:pPr>
              <w:spacing w:after="0"/>
              <w:rPr>
                <w:sz w:val="6"/>
                <w:szCs w:val="6"/>
                <w:color w:val="auto"/>
              </w:rPr>
            </w:pPr>
          </w:p>
        </w:tc>
        <w:tc>
          <w:tcPr>
            <w:tcW w:w="920" w:type="dxa"/>
            <w:vAlign w:val="bottom"/>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3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5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3580" w:type="dxa"/>
            <w:vAlign w:val="bottom"/>
            <w:vMerge w:val="continue"/>
          </w:tcPr>
          <w:p>
            <w:pPr>
              <w:spacing w:after="0"/>
              <w:rPr>
                <w:sz w:val="18"/>
                <w:szCs w:val="18"/>
                <w:color w:val="auto"/>
              </w:rPr>
            </w:pPr>
          </w:p>
        </w:tc>
        <w:tc>
          <w:tcPr>
            <w:tcW w:w="5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3,031,622</w:t>
            </w:r>
          </w:p>
        </w:tc>
        <w:tc>
          <w:tcPr>
            <w:tcW w:w="5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 With</w:t>
            </w:r>
          </w:p>
        </w:tc>
        <w:tc>
          <w:tcPr>
            <w:tcW w:w="5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3580" w:type="dxa"/>
            <w:vAlign w:val="bottom"/>
            <w:vMerge w:val="continue"/>
          </w:tcPr>
          <w:p>
            <w:pPr>
              <w:spacing w:after="0"/>
              <w:rPr>
                <w:sz w:val="20"/>
                <w:szCs w:val="20"/>
                <w:color w:val="auto"/>
              </w:rPr>
            </w:pPr>
          </w:p>
        </w:tc>
        <w:tc>
          <w:tcPr>
            <w:tcW w:w="5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0</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gridSpan w:val="2"/>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3,031,622</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right w:val="single" w:sz="8" w:color="auto"/>
            </w:tcBorders>
          </w:tcPr>
          <w:p>
            <w:pPr>
              <w:spacing w:after="0"/>
              <w:rPr>
                <w:sz w:val="6"/>
                <w:szCs w:val="6"/>
                <w:color w:val="auto"/>
              </w:rPr>
            </w:pPr>
          </w:p>
        </w:tc>
        <w:tc>
          <w:tcPr>
            <w:tcW w:w="5600" w:type="dxa"/>
            <w:vAlign w:val="bottom"/>
            <w:tcBorders>
              <w:bottom w:val="single" w:sz="8" w:color="auto"/>
            </w:tcBorders>
            <w:gridSpan w:val="4"/>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504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60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tcBorders>
            <w:gridSpan w:val="4"/>
          </w:tcPr>
          <w:p>
            <w:pPr>
              <w:spacing w:after="0"/>
              <w:rPr>
                <w:sz w:val="22"/>
                <w:szCs w:val="22"/>
                <w:color w:val="auto"/>
              </w:rPr>
            </w:pPr>
          </w:p>
        </w:tc>
        <w:tc>
          <w:tcPr>
            <w:tcW w:w="50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4.63%</w:t>
            </w:r>
            <w:r>
              <w:rPr>
                <w:rFonts w:ascii="Times New Roman" w:cs="Times New Roman" w:eastAsia="Times New Roman" w:hAnsi="Times New Roman"/>
                <w:sz w:val="29"/>
                <w:szCs w:val="29"/>
                <w:b w:val="1"/>
                <w:bCs w:val="1"/>
                <w:color w:val="auto"/>
                <w:vertAlign w:val="superscript"/>
              </w:rPr>
              <w:t>(1)</w:t>
            </w: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5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65,478,775 common shares of beneficial interest, par value $0.001 per share (“Common Shares”) outstanding as of December 31, 2023, as provided by the Issuer.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Sixth Street Lending Partners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the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Names of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statement is filed by Victorian Funds Management Corporation, referred to herein as the “Reporting Person.”</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the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L13 101 Collins St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Melbourne 3000 VIC Australia</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response to Item 4 on the cover page.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shares of beneficial interest, par value $0.001 per share</w:t>
      </w:r>
    </w:p>
    <w:p>
      <w:pPr>
        <w:spacing w:after="0" w:line="221" w:lineRule="exact"/>
        <w:rPr>
          <w:sz w:val="20"/>
          <w:szCs w:val="20"/>
          <w:color w:val="auto"/>
        </w:rPr>
      </w:pPr>
    </w:p>
    <w:p>
      <w:pPr>
        <w:jc w:val="center"/>
        <w:ind w:right="7939"/>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 (n):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5" w:lineRule="exact"/>
        <w:rPr>
          <w:sz w:val="20"/>
          <w:szCs w:val="20"/>
          <w:color w:val="auto"/>
        </w:rPr>
      </w:pPr>
    </w:p>
    <w:p>
      <w:pPr>
        <w:ind w:left="1620" w:hanging="640"/>
        <w:spacing w:after="0"/>
        <w:tabs>
          <w:tab w:leader="none" w:pos="1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2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response to Item 9 on the cover page.</w:t>
      </w:r>
    </w:p>
    <w:p>
      <w:pPr>
        <w:spacing w:after="0" w:line="221"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response to Item 11 on the cover page.</w:t>
      </w:r>
    </w:p>
    <w:p>
      <w:pPr>
        <w:spacing w:after="0" w:line="221"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Reporting Person has:</w:t>
      </w:r>
    </w:p>
    <w:p>
      <w:pPr>
        <w:spacing w:after="0" w:line="225" w:lineRule="exact"/>
        <w:rPr>
          <w:rFonts w:ascii="Times New Roman" w:cs="Times New Roman" w:eastAsia="Times New Roman" w:hAnsi="Times New Roman"/>
          <w:sz w:val="18"/>
          <w:szCs w:val="18"/>
          <w:b w:val="1"/>
          <w:bCs w:val="1"/>
          <w:color w:val="auto"/>
        </w:rPr>
      </w:pPr>
    </w:p>
    <w:p>
      <w:pPr>
        <w:jc w:val="both"/>
        <w:ind w:left="2280" w:right="5940" w:hanging="652"/>
        <w:spacing w:after="0" w:line="500" w:lineRule="auto"/>
        <w:tabs>
          <w:tab w:leader="none" w:pos="22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See response to Item 5 on the cover page.</w:t>
      </w:r>
    </w:p>
    <w:p>
      <w:pPr>
        <w:spacing w:after="0" w:line="1" w:lineRule="exact"/>
        <w:rPr>
          <w:rFonts w:ascii="Times New Roman" w:cs="Times New Roman" w:eastAsia="Times New Roman" w:hAnsi="Times New Roman"/>
          <w:sz w:val="18"/>
          <w:szCs w:val="18"/>
          <w:b w:val="1"/>
          <w:bCs w:val="1"/>
          <w:color w:val="auto"/>
        </w:rPr>
      </w:pPr>
    </w:p>
    <w:p>
      <w:pPr>
        <w:ind w:left="2280" w:right="5720" w:hanging="652"/>
        <w:spacing w:after="0" w:line="530" w:lineRule="auto"/>
        <w:tabs>
          <w:tab w:leader="none" w:pos="2280"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Shared power to vote or to direct the vote: </w:t>
      </w:r>
      <w:r>
        <w:rPr>
          <w:rFonts w:ascii="Times New Roman" w:cs="Times New Roman" w:eastAsia="Times New Roman" w:hAnsi="Times New Roman"/>
          <w:sz w:val="17"/>
          <w:szCs w:val="17"/>
          <w:color w:val="auto"/>
        </w:rPr>
        <w:t>See response to Item 6 on the cover page.</w:t>
      </w:r>
    </w:p>
    <w:p>
      <w:pPr>
        <w:ind w:left="2280" w:right="5000" w:hanging="652"/>
        <w:spacing w:after="0" w:line="500" w:lineRule="auto"/>
        <w:tabs>
          <w:tab w:leader="none" w:pos="22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See response to Item 7 on the cover page.</w:t>
      </w:r>
    </w:p>
    <w:p>
      <w:pPr>
        <w:spacing w:after="0" w:line="1" w:lineRule="exact"/>
        <w:rPr>
          <w:rFonts w:ascii="Times New Roman" w:cs="Times New Roman" w:eastAsia="Times New Roman" w:hAnsi="Times New Roman"/>
          <w:sz w:val="18"/>
          <w:szCs w:val="18"/>
          <w:b w:val="1"/>
          <w:bCs w:val="1"/>
          <w:color w:val="auto"/>
        </w:rPr>
      </w:pPr>
    </w:p>
    <w:p>
      <w:pPr>
        <w:ind w:left="2280" w:right="4780" w:hanging="652"/>
        <w:spacing w:after="0" w:line="503" w:lineRule="auto"/>
        <w:tabs>
          <w:tab w:leader="none" w:pos="22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See response to Item 8 on the cover page.</w:t>
      </w: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Reporting Person has voting and investment discretion over the reported securities, which are held directly by VFMC Opportunistic Strategies Trust and managed by the Reporting Person on behalf of various pensions and client accounts. The filing of this Statement shall not be construed as an admission that either the Reporting Person or the VFMC Opportunistic Strategies Trust is, for the purpose of Section 13(d) or 13(g) of the Exchange Act, the beneficial owner of any securities covered by this Statement.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left="9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ind w:left="980" w:right="5120" w:hanging="971"/>
        <w:spacing w:after="0" w:line="500"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 xml:space="preserve">Ownership of More than Five Percent on Behalf of Another Person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980" w:right="140" w:hanging="971"/>
        <w:spacing w:after="0" w:line="500"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 xml:space="preserve">Identification and Classification of the Subsidiary Which Acquired the Security Being Reported on by the Parent Holding Company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Victorian Fund Management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Aarons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Mark Aarons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2024-02-09T15:24:27Z</dcterms:created>
  <dcterms:modified xsi:type="dcterms:W3CDTF">2024-02-09T15:24:27Z</dcterms:modified>
</cp:coreProperties>
</file>