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Sixth Street Lending Partners</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Common shares of beneficial interest, par value $0.001 per share</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52"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52" w:lineRule="exact"/>
        <w:rPr>
          <w:sz w:val="24"/>
          <w:szCs w:val="24"/>
          <w:color w:val="auto"/>
        </w:rPr>
      </w:pPr>
    </w:p>
    <w:p>
      <w:pPr>
        <w:ind w:left="960" w:hanging="532"/>
        <w:spacing w:after="0"/>
        <w:tabs>
          <w:tab w:leader="none" w:pos="9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3" w:lineRule="exact"/>
        <w:rPr>
          <w:sz w:val="24"/>
          <w:szCs w:val="24"/>
          <w:color w:val="auto"/>
        </w:rPr>
      </w:pPr>
    </w:p>
    <w:p>
      <w:pPr>
        <w:ind w:left="420"/>
        <w:spacing w:after="0" w:line="207" w:lineRule="exact"/>
        <w:rPr>
          <w:sz w:val="24"/>
          <w:szCs w:val="24"/>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Rule 13d-1(d)</w:t>
      </w:r>
    </w:p>
    <w:p>
      <w:pPr>
        <w:spacing w:after="0" w:line="280" w:lineRule="exact"/>
        <w:rPr>
          <w:sz w:val="24"/>
          <w:szCs w:val="24"/>
          <w:color w:val="auto"/>
        </w:rPr>
      </w:pPr>
    </w:p>
    <w:p>
      <w:pPr>
        <w:ind w:left="420" w:hanging="432"/>
        <w:spacing w:after="0" w:line="282" w:lineRule="auto"/>
        <w:rPr>
          <w:sz w:val="24"/>
          <w:szCs w:val="24"/>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157480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200660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0"/>
          </w:cols>
          <w:pgMar w:left="440" w:top="511" w:right="5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N/A</w:t>
      </w:r>
    </w:p>
    <w:p>
      <w:pPr>
        <w:spacing w:after="0" w:line="266" w:lineRule="exact"/>
        <w:rPr>
          <w:sz w:val="20"/>
          <w:szCs w:val="20"/>
          <w:color w:val="auto"/>
        </w:rPr>
      </w:pPr>
    </w:p>
    <w:p>
      <w:pPr>
        <w:ind w:left="620" w:hanging="377"/>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26580" cy="6111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Arizona PSPRS Trust</w:t>
      </w:r>
    </w:p>
    <w:p>
      <w:pPr>
        <w:spacing w:after="0" w:line="36" w:lineRule="exact"/>
        <w:rPr>
          <w:sz w:val="20"/>
          <w:szCs w:val="20"/>
          <w:color w:val="auto"/>
        </w:rPr>
      </w:pPr>
    </w:p>
    <w:p>
      <w:pPr>
        <w:ind w:left="620" w:hanging="377"/>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0"/>
        <w:spacing w:after="0" w:line="207" w:lineRule="exact"/>
        <w:tabs>
          <w:tab w:leader="none" w:pos="140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0" w:hanging="377"/>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OO</w:t>
      </w:r>
    </w:p>
    <w:p>
      <w:pPr>
        <w:spacing w:after="0" w:line="36" w:lineRule="exact"/>
        <w:rPr>
          <w:sz w:val="20"/>
          <w:szCs w:val="20"/>
          <w:color w:val="auto"/>
        </w:rPr>
      </w:pPr>
    </w:p>
    <w:p>
      <w:pPr>
        <w:ind w:left="620" w:hanging="377"/>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Arizona</w:t>
      </w:r>
    </w:p>
    <w:p>
      <w:pPr>
        <w:spacing w:after="0" w:line="3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05"/>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60" w:type="dxa"/>
            <w:vAlign w:val="bottom"/>
          </w:tcPr>
          <w:p>
            <w:pPr>
              <w:spacing w:after="0"/>
              <w:rPr>
                <w:sz w:val="24"/>
                <w:szCs w:val="24"/>
                <w:color w:val="auto"/>
              </w:rPr>
            </w:pP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2,162,793</w:t>
            </w:r>
          </w:p>
        </w:tc>
        <w:tc>
          <w:tcPr>
            <w:tcW w:w="0" w:type="dxa"/>
            <w:vAlign w:val="bottom"/>
          </w:tcPr>
          <w:p>
            <w:pPr>
              <w:spacing w:after="0"/>
              <w:rPr>
                <w:sz w:val="1"/>
                <w:szCs w:val="1"/>
                <w:color w:val="auto"/>
              </w:rPr>
            </w:pPr>
          </w:p>
        </w:tc>
      </w:tr>
      <w:tr>
        <w:trPr>
          <w:trHeight w:val="67"/>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460" w:type="dxa"/>
            <w:vAlign w:val="bottom"/>
            <w:tcBorders>
              <w:bottom w:val="single" w:sz="8" w:color="auto"/>
            </w:tcBorders>
          </w:tcPr>
          <w:p>
            <w:pPr>
              <w:spacing w:after="0"/>
              <w:rPr>
                <w:sz w:val="5"/>
                <w:szCs w:val="5"/>
                <w:color w:val="auto"/>
              </w:rPr>
            </w:pPr>
          </w:p>
        </w:tc>
        <w:tc>
          <w:tcPr>
            <w:tcW w:w="8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300" w:type="dxa"/>
            <w:vAlign w:val="bottom"/>
            <w:vMerge w:val="continue"/>
          </w:tcPr>
          <w:p>
            <w:pPr>
              <w:spacing w:after="0"/>
              <w:rPr>
                <w:sz w:val="10"/>
                <w:szCs w:val="10"/>
                <w:color w:val="auto"/>
              </w:rPr>
            </w:pPr>
          </w:p>
        </w:tc>
        <w:tc>
          <w:tcPr>
            <w:tcW w:w="4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60" w:type="dxa"/>
            <w:vAlign w:val="bottom"/>
            <w:vMerge w:val="continue"/>
          </w:tcPr>
          <w:p>
            <w:pPr>
              <w:spacing w:after="0"/>
              <w:rPr>
                <w:sz w:val="9"/>
                <w:szCs w:val="9"/>
                <w:color w:val="auto"/>
              </w:rPr>
            </w:pPr>
          </w:p>
        </w:tc>
        <w:tc>
          <w:tcPr>
            <w:tcW w:w="8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30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8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0"/>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4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2,162,793</w:t>
            </w:r>
          </w:p>
        </w:tc>
        <w:tc>
          <w:tcPr>
            <w:tcW w:w="0" w:type="dxa"/>
            <w:vAlign w:val="bottom"/>
          </w:tcPr>
          <w:p>
            <w:pPr>
              <w:spacing w:after="0"/>
              <w:rPr>
                <w:sz w:val="1"/>
                <w:szCs w:val="1"/>
                <w:color w:val="auto"/>
              </w:rPr>
            </w:pPr>
          </w:p>
        </w:tc>
      </w:tr>
      <w:tr>
        <w:trPr>
          <w:trHeight w:val="180"/>
        </w:trPr>
        <w:tc>
          <w:tcPr>
            <w:tcW w:w="130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4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30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20" w:right="3740" w:hanging="467"/>
        <w:spacing w:after="0" w:line="406" w:lineRule="auto"/>
        <w:tabs>
          <w:tab w:leader="none" w:pos="61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2,162,793</w:t>
      </w:r>
    </w:p>
    <w:p>
      <w:pPr>
        <w:spacing w:after="0" w:line="1" w:lineRule="exact"/>
        <w:rPr>
          <w:rFonts w:ascii="Times New Roman" w:cs="Times New Roman" w:eastAsia="Times New Roman" w:hAnsi="Times New Roman"/>
          <w:sz w:val="18"/>
          <w:szCs w:val="18"/>
          <w:color w:val="auto"/>
        </w:rPr>
      </w:pPr>
    </w:p>
    <w:p>
      <w:pPr>
        <w:ind w:left="620" w:hanging="467"/>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0" w:right="5140" w:hanging="467"/>
        <w:spacing w:after="0" w:line="400" w:lineRule="auto"/>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9.9%</w:t>
      </w:r>
    </w:p>
    <w:p>
      <w:pPr>
        <w:ind w:left="620" w:right="5960" w:hanging="467"/>
        <w:spacing w:after="0" w:line="563" w:lineRule="auto"/>
        <w:tabs>
          <w:tab w:leader="none" w:pos="61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EP</w:t>
      </w:r>
    </w:p>
    <w:p>
      <w:pPr>
        <w:spacing w:after="0" w:line="1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440" w:top="270" w:right="559" w:bottom="1440" w:gutter="0" w:footer="0" w:header="0"/>
        </w:sectPr>
      </w:pPr>
    </w:p>
    <w:bookmarkStart w:id="2" w:name="page3"/>
    <w:bookmarkEnd w:id="2"/>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121" w:lineRule="exact"/>
        <w:rPr>
          <w:sz w:val="20"/>
          <w:szCs w:val="20"/>
          <w:color w:val="auto"/>
        </w:rPr>
      </w:pPr>
    </w:p>
    <w:p>
      <w:pPr>
        <w:ind w:left="1104"/>
        <w:spacing w:after="0"/>
        <w:rPr>
          <w:sz w:val="20"/>
          <w:szCs w:val="20"/>
          <w:color w:val="auto"/>
        </w:rPr>
      </w:pPr>
      <w:r>
        <w:rPr>
          <w:rFonts w:ascii="Times New Roman" w:cs="Times New Roman" w:eastAsia="Times New Roman" w:hAnsi="Times New Roman"/>
          <w:sz w:val="18"/>
          <w:szCs w:val="18"/>
          <w:color w:val="auto"/>
        </w:rPr>
        <w:t>Sixth Street Lending Partners (the “Issuer”)</w:t>
      </w:r>
    </w:p>
    <w:p>
      <w:pPr>
        <w:spacing w:after="0" w:line="370"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8"/>
          <w:szCs w:val="18"/>
          <w:b w:val="1"/>
          <w:bCs w:val="1"/>
          <w:color w:val="auto"/>
        </w:rPr>
        <w:t>Address of Issuer’s Principal Executive Office</w:t>
      </w:r>
    </w:p>
    <w:p>
      <w:pPr>
        <w:spacing w:after="0" w:line="121" w:lineRule="exact"/>
        <w:rPr>
          <w:sz w:val="20"/>
          <w:szCs w:val="20"/>
          <w:color w:val="auto"/>
        </w:rPr>
      </w:pPr>
    </w:p>
    <w:p>
      <w:pPr>
        <w:ind w:left="1104"/>
        <w:spacing w:after="0"/>
        <w:rPr>
          <w:sz w:val="20"/>
          <w:szCs w:val="20"/>
          <w:color w:val="auto"/>
        </w:rPr>
      </w:pPr>
      <w:r>
        <w:rPr>
          <w:rFonts w:ascii="Times New Roman" w:cs="Times New Roman" w:eastAsia="Times New Roman" w:hAnsi="Times New Roman"/>
          <w:sz w:val="18"/>
          <w:szCs w:val="18"/>
          <w:color w:val="auto"/>
        </w:rPr>
        <w:t>2100 McKinney Avenue, Suite 1500, Dallas, Texas 75201</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2(a).</w:t>
      </w:r>
    </w:p>
    <w:p>
      <w:pPr>
        <w:spacing w:after="0" w:line="131" w:lineRule="exact"/>
        <w:rPr>
          <w:sz w:val="20"/>
          <w:szCs w:val="20"/>
          <w:color w:val="auto"/>
        </w:rPr>
      </w:pPr>
    </w:p>
    <w:p>
      <w:pPr>
        <w:ind w:left="424" w:hanging="424"/>
        <w:spacing w:after="0"/>
        <w:tabs>
          <w:tab w:leader="none" w:pos="424"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Name of Person Filing: </w:t>
      </w:r>
      <w:r>
        <w:rPr>
          <w:rFonts w:ascii="Times New Roman" w:cs="Times New Roman" w:eastAsia="Times New Roman" w:hAnsi="Times New Roman"/>
          <w:sz w:val="18"/>
          <w:szCs w:val="18"/>
          <w:color w:val="auto"/>
        </w:rPr>
        <w:t>Arizona PSPRS Trust (“Arizona PSPRS”)</w:t>
      </w:r>
    </w:p>
    <w:p>
      <w:pPr>
        <w:spacing w:after="0" w:line="373" w:lineRule="exact"/>
        <w:rPr>
          <w:rFonts w:ascii="Times New Roman" w:cs="Times New Roman" w:eastAsia="Times New Roman" w:hAnsi="Times New Roman"/>
          <w:sz w:val="18"/>
          <w:szCs w:val="18"/>
          <w:b w:val="1"/>
          <w:bCs w:val="1"/>
          <w:color w:val="auto"/>
        </w:rPr>
      </w:pPr>
    </w:p>
    <w:p>
      <w:pPr>
        <w:ind w:left="444" w:right="5940" w:hanging="444"/>
        <w:spacing w:after="0" w:line="263" w:lineRule="auto"/>
        <w:tabs>
          <w:tab w:leader="none" w:pos="436"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Address of Principal Business Office or, if None, Residence: </w:t>
      </w:r>
      <w:r>
        <w:rPr>
          <w:rFonts w:ascii="Times New Roman" w:cs="Times New Roman" w:eastAsia="Times New Roman" w:hAnsi="Times New Roman"/>
          <w:sz w:val="18"/>
          <w:szCs w:val="18"/>
          <w:color w:val="auto"/>
        </w:rPr>
        <w:t>3010 E. Camelback Road, Suite 200</w:t>
      </w: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Phoenix, Arizona 85016</w:t>
      </w:r>
    </w:p>
    <w:p>
      <w:pPr>
        <w:spacing w:after="0" w:line="108" w:lineRule="exact"/>
        <w:rPr>
          <w:sz w:val="20"/>
          <w:szCs w:val="20"/>
          <w:color w:val="auto"/>
        </w:rPr>
      </w:pPr>
    </w:p>
    <w:p>
      <w:pPr>
        <w:ind w:left="4"/>
        <w:spacing w:after="0"/>
        <w:tabs>
          <w:tab w:leader="none" w:pos="404" w:val="left"/>
          <w:tab w:leader="none" w:pos="1744" w:val="left"/>
        </w:tabs>
        <w:rPr>
          <w:sz w:val="20"/>
          <w:szCs w:val="20"/>
          <w:color w:val="auto"/>
        </w:rPr>
      </w:pPr>
      <w:r>
        <w:rPr>
          <w:rFonts w:ascii="Times New Roman" w:cs="Times New Roman" w:eastAsia="Times New Roman" w:hAnsi="Times New Roman"/>
          <w:sz w:val="18"/>
          <w:szCs w:val="18"/>
          <w:b w:val="1"/>
          <w:bCs w:val="1"/>
          <w:color w:val="auto"/>
        </w:rPr>
        <w:t>(c)</w:t>
        <w:tab/>
        <w:t>Citizenship:</w:t>
      </w:r>
      <w:r>
        <w:rPr>
          <w:sz w:val="20"/>
          <w:szCs w:val="20"/>
          <w:color w:val="auto"/>
        </w:rPr>
        <w:tab/>
      </w:r>
      <w:r>
        <w:rPr>
          <w:rFonts w:ascii="Times New Roman" w:cs="Times New Roman" w:eastAsia="Times New Roman" w:hAnsi="Times New Roman"/>
          <w:sz w:val="18"/>
          <w:szCs w:val="18"/>
          <w:color w:val="auto"/>
        </w:rPr>
        <w:t>Arizona, USA</w:t>
      </w:r>
    </w:p>
    <w:p>
      <w:pPr>
        <w:spacing w:after="0" w:line="131" w:lineRule="exact"/>
        <w:rPr>
          <w:sz w:val="20"/>
          <w:szCs w:val="20"/>
          <w:color w:val="auto"/>
        </w:rPr>
      </w:pPr>
    </w:p>
    <w:p>
      <w:pPr>
        <w:ind w:left="424" w:hanging="424"/>
        <w:spacing w:after="0"/>
        <w:tabs>
          <w:tab w:leader="none" w:pos="424"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Title and Class of Securities: </w:t>
      </w:r>
      <w:r>
        <w:rPr>
          <w:rFonts w:ascii="Times New Roman" w:cs="Times New Roman" w:eastAsia="Times New Roman" w:hAnsi="Times New Roman"/>
          <w:sz w:val="18"/>
          <w:szCs w:val="18"/>
          <w:color w:val="auto"/>
        </w:rPr>
        <w:t>Common shares of beneficial interest, par value $0.001 per share (the “Common Shares”)</w:t>
      </w:r>
    </w:p>
    <w:p>
      <w:pPr>
        <w:spacing w:after="0" w:line="130"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color w:val="auto"/>
        </w:rPr>
        <w:t>N/A</w:t>
      </w:r>
    </w:p>
    <w:p>
      <w:pPr>
        <w:spacing w:after="0" w:line="374"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Rule 13d-1(b), or 13d-2(b) or (c), check whether the person filing is a:</w:t>
      </w:r>
    </w:p>
    <w:p>
      <w:pPr>
        <w:spacing w:after="0" w:line="121" w:lineRule="exact"/>
        <w:rPr>
          <w:sz w:val="20"/>
          <w:szCs w:val="20"/>
          <w:color w:val="auto"/>
        </w:rPr>
      </w:pPr>
    </w:p>
    <w:p>
      <w:pPr>
        <w:ind w:left="1104"/>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131" w:lineRule="exact"/>
        <w:rPr>
          <w:sz w:val="20"/>
          <w:szCs w:val="20"/>
          <w:color w:val="auto"/>
        </w:rPr>
      </w:pPr>
    </w:p>
    <w:p>
      <w:pPr>
        <w:ind w:left="964" w:hanging="532"/>
        <w:spacing w:after="0"/>
        <w:tabs>
          <w:tab w:leader="none" w:pos="964"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Amount beneficially owned:</w:t>
      </w:r>
    </w:p>
    <w:p>
      <w:pPr>
        <w:spacing w:after="0" w:line="121" w:lineRule="exact"/>
        <w:rPr>
          <w:sz w:val="20"/>
          <w:szCs w:val="20"/>
          <w:color w:val="auto"/>
        </w:rPr>
      </w:pPr>
    </w:p>
    <w:p>
      <w:pPr>
        <w:ind w:left="4" w:right="240"/>
        <w:spacing w:after="0" w:line="282" w:lineRule="auto"/>
        <w:rPr>
          <w:sz w:val="20"/>
          <w:szCs w:val="20"/>
          <w:color w:val="auto"/>
        </w:rPr>
      </w:pPr>
      <w:r>
        <w:rPr>
          <w:rFonts w:ascii="Times New Roman" w:cs="Times New Roman" w:eastAsia="Times New Roman" w:hAnsi="Times New Roman"/>
          <w:sz w:val="18"/>
          <w:szCs w:val="18"/>
          <w:color w:val="auto"/>
        </w:rPr>
        <w:t>Calculation of the percentage of Common Shares beneficially owned is based on 21,882,028 Common Shares outstanding as of December 31, 2022, based on information provided by the Issuer.</w:t>
      </w:r>
    </w:p>
    <w:p>
      <w:pPr>
        <w:spacing w:after="0" w:line="162"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Sixth Street Palo Verde Feeder, L.P. (the “Feeder”) directly holds 2,162,793 Common Shares. Arizona PSPRS has the sole power to vote and dispose of the Common Shares held directly by the Feeder and as such may be deemed to be the beneficial owner of the Common Shares held directly by the Feeder. Arizona PSPRS is a public pension trust governed by a nine-member Board of Trustees.</w:t>
      </w:r>
    </w:p>
    <w:p>
      <w:pPr>
        <w:spacing w:after="0" w:line="320" w:lineRule="exact"/>
        <w:rPr>
          <w:sz w:val="20"/>
          <w:szCs w:val="20"/>
          <w:color w:val="auto"/>
        </w:rPr>
      </w:pPr>
    </w:p>
    <w:p>
      <w:pPr>
        <w:ind w:left="964" w:hanging="532"/>
        <w:spacing w:after="0"/>
        <w:tabs>
          <w:tab w:leader="none" w:pos="964"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w:t>
      </w:r>
    </w:p>
    <w:p>
      <w:pPr>
        <w:spacing w:after="0" w:line="121" w:lineRule="exact"/>
        <w:rPr>
          <w:sz w:val="20"/>
          <w:szCs w:val="20"/>
          <w:color w:val="auto"/>
        </w:rPr>
      </w:pPr>
    </w:p>
    <w:p>
      <w:pPr>
        <w:ind w:left="4" w:right="200"/>
        <w:spacing w:after="0" w:line="282" w:lineRule="auto"/>
        <w:rPr>
          <w:sz w:val="20"/>
          <w:szCs w:val="20"/>
          <w:color w:val="auto"/>
        </w:rPr>
      </w:pPr>
      <w:r>
        <w:rPr>
          <w:rFonts w:ascii="Times New Roman" w:cs="Times New Roman" w:eastAsia="Times New Roman" w:hAnsi="Times New Roman"/>
          <w:sz w:val="18"/>
          <w:szCs w:val="18"/>
          <w:color w:val="auto"/>
        </w:rPr>
        <w:t>As of the date hereof, the Reporting Person may be deemed to be the beneficial owner of the percentage of Common Shares listed on such Reporting Person’s cover page.</w:t>
      </w:r>
    </w:p>
    <w:p>
      <w:pPr>
        <w:spacing w:after="0" w:line="306" w:lineRule="exact"/>
        <w:rPr>
          <w:sz w:val="20"/>
          <w:szCs w:val="20"/>
          <w:color w:val="auto"/>
        </w:rPr>
      </w:pPr>
    </w:p>
    <w:p>
      <w:pPr>
        <w:ind w:left="964" w:hanging="532"/>
        <w:spacing w:after="0"/>
        <w:tabs>
          <w:tab w:leader="none" w:pos="964"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Number of Shares as to which the Reporting Person has:</w:t>
      </w:r>
    </w:p>
    <w:p>
      <w:pPr>
        <w:spacing w:after="0" w:line="135" w:lineRule="exact"/>
        <w:rPr>
          <w:sz w:val="20"/>
          <w:szCs w:val="20"/>
          <w:color w:val="auto"/>
        </w:rPr>
      </w:pPr>
    </w:p>
    <w:p>
      <w:pPr>
        <w:ind w:left="1984" w:right="6640" w:hanging="999"/>
        <w:spacing w:after="0" w:line="383" w:lineRule="auto"/>
        <w:tabs>
          <w:tab w:leader="none" w:pos="141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See the cover page hereof.</w:t>
      </w:r>
    </w:p>
    <w:p>
      <w:pPr>
        <w:ind w:left="1424" w:hanging="439"/>
        <w:spacing w:after="0"/>
        <w:tabs>
          <w:tab w:leader="none" w:pos="1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117" w:lineRule="exact"/>
        <w:rPr>
          <w:rFonts w:ascii="Times New Roman" w:cs="Times New Roman" w:eastAsia="Times New Roman" w:hAnsi="Times New Roman"/>
          <w:sz w:val="18"/>
          <w:szCs w:val="18"/>
          <w:color w:val="auto"/>
        </w:rPr>
      </w:pPr>
    </w:p>
    <w:p>
      <w:pPr>
        <w:ind w:left="1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cover page hereof.</w:t>
      </w:r>
    </w:p>
    <w:p>
      <w:pPr>
        <w:spacing w:after="0" w:line="130" w:lineRule="exact"/>
        <w:rPr>
          <w:rFonts w:ascii="Times New Roman" w:cs="Times New Roman" w:eastAsia="Times New Roman" w:hAnsi="Times New Roman"/>
          <w:sz w:val="18"/>
          <w:szCs w:val="18"/>
          <w:color w:val="auto"/>
        </w:rPr>
      </w:pPr>
    </w:p>
    <w:p>
      <w:pPr>
        <w:ind w:left="1984" w:right="5740" w:hanging="999"/>
        <w:spacing w:after="0" w:line="383" w:lineRule="auto"/>
        <w:tabs>
          <w:tab w:leader="none" w:pos="141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See the cover page hereof.</w:t>
      </w:r>
    </w:p>
    <w:p>
      <w:pPr>
        <w:ind w:left="1984" w:right="5560" w:hanging="999"/>
        <w:spacing w:after="0" w:line="399" w:lineRule="auto"/>
        <w:tabs>
          <w:tab w:leader="none" w:pos="141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See the cover page hereof.</w:t>
      </w:r>
    </w:p>
    <w:p>
      <w:pPr>
        <w:jc w:val="center"/>
        <w:ind w:right="-10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4"/>
          </w:cols>
          <w:pgMar w:left="436" w:top="266" w:right="539" w:bottom="1440" w:gutter="0" w:footer="0" w:header="0"/>
        </w:sectPr>
      </w:pPr>
    </w:p>
    <w:bookmarkStart w:id="3" w:name="page4"/>
    <w:bookmarkEnd w:id="3"/>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121" w:lineRule="exact"/>
        <w:rPr>
          <w:sz w:val="20"/>
          <w:szCs w:val="20"/>
          <w:color w:val="auto"/>
        </w:rPr>
      </w:pPr>
    </w:p>
    <w:p>
      <w:pPr>
        <w:ind w:right="120"/>
        <w:spacing w:after="0" w:line="235"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32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Ownership of More than Five Percent on Behalf of Another Person</w:t>
      </w:r>
    </w:p>
    <w:p>
      <w:pPr>
        <w:spacing w:after="0" w:line="1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1080" w:right="400" w:hanging="1092"/>
        <w:spacing w:after="0" w:line="286" w:lineRule="auto"/>
        <w:tabs>
          <w:tab w:leader="none" w:pos="10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w:t>
      </w:r>
    </w:p>
    <w:p>
      <w:pPr>
        <w:spacing w:after="0" w:line="5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1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1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Reporting Person hereby makes the following certification:</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By signing below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20"/>
          </w:cols>
          <w:pgMar w:left="440" w:top="266" w:right="6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20, 2023</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ARIZONA PSPRS TRUST</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James Ko</w:t>
            </w:r>
          </w:p>
        </w:tc>
      </w:tr>
      <w:tr>
        <w:trPr>
          <w:trHeight w:val="228"/>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James Ko, Deputy Chief Investment Officer</w:t>
            </w: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bullet"/>
      <w:start w:val="1"/>
    </w:lvl>
  </w:abstractNum>
  <w:abstractNum w:abstractNumId="4">
    <w:nsid w:val="216231B"/>
    <w:multiLevelType w:val="hybridMultilevel"/>
    <w:lvl w:ilvl="0">
      <w:lvlJc w:val="left"/>
      <w:lvlText w:val="2"/>
      <w:numFmt w:val="bullet"/>
      <w:start w:val="1"/>
    </w:lvl>
  </w:abstractNum>
  <w:abstractNum w:abstractNumId="5">
    <w:nsid w:val="1F16E9E8"/>
    <w:multiLevelType w:val="hybridMultilevel"/>
    <w:lvl w:ilvl="0">
      <w:lvlJc w:val="left"/>
      <w:lvlText w:val="3"/>
      <w:numFmt w:val="bullet"/>
      <w:start w:val="1"/>
    </w:lvl>
  </w:abstractNum>
  <w:abstractNum w:abstractNumId="6">
    <w:nsid w:val="1190CDE7"/>
    <w:multiLevelType w:val="hybridMultilevel"/>
    <w:lvl w:ilvl="0">
      <w:lvlJc w:val="left"/>
      <w:lvlText w:val="4"/>
      <w:numFmt w:val="bullet"/>
      <w:start w:val="1"/>
    </w:lvl>
  </w:abstractNum>
  <w:abstractNum w:abstractNumId="7">
    <w:nsid w:val="66EF438D"/>
    <w:multiLevelType w:val="hybridMultilevel"/>
    <w:lvl w:ilvl="0">
      <w:lvlJc w:val="left"/>
      <w:lvlText w:val="5"/>
      <w:numFmt w:val="bullet"/>
      <w:start w:val="1"/>
    </w:lvl>
  </w:abstractNum>
  <w:abstractNum w:abstractNumId="8">
    <w:nsid w:val="140E0F76"/>
    <w:multiLevelType w:val="hybridMultilevel"/>
    <w:lvl w:ilvl="0">
      <w:lvlJc w:val="left"/>
      <w:lvlText w:val="6"/>
      <w:numFmt w:val="bullet"/>
      <w:start w:val="1"/>
    </w:lvl>
  </w:abstractNum>
  <w:abstractNum w:abstractNumId="9">
    <w:nsid w:val="3352255A"/>
    <w:multiLevelType w:val="hybridMultilevel"/>
    <w:lvl w:ilvl="0">
      <w:lvlJc w:val="left"/>
      <w:lvlText w:val="%1"/>
      <w:numFmt w:val="decimal"/>
      <w:start w:val="11"/>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lowerLetter"/>
      <w:start w:val="4"/>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lowerLetter"/>
      <w:start w:val="2"/>
    </w:lvl>
  </w:abstractNum>
  <w:abstractNum w:abstractNumId="14">
    <w:nsid w:val="41A7C4C9"/>
    <w:multiLevelType w:val="hybridMultilevel"/>
    <w:lvl w:ilvl="0">
      <w:lvlJc w:val="left"/>
      <w:lvlText w:val="(%1)"/>
      <w:numFmt w:val="lowerLetter"/>
      <w:start w:val="3"/>
    </w:lvl>
  </w:abstractNum>
  <w:abstractNum w:abstractNumId="15">
    <w:nsid w:val="6B68079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2023-01-20T15:42:16Z</dcterms:created>
  <dcterms:modified xsi:type="dcterms:W3CDTF">2023-01-20T15:42:16Z</dcterms:modified>
</cp:coreProperties>
</file>